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after="0" w:line="560" w:lineRule="exact"/>
        <w:jc w:val="both"/>
        <w:textAlignment w:val="auto"/>
        <w:rPr>
          <w:rFonts w:ascii="宋体" w:eastAsia="宋体"/>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rPr>
          <w:rFonts w:ascii="宋体" w:eastAsia="宋体"/>
          <w:color w:val="auto"/>
          <w:sz w:val="44"/>
          <w:szCs w:val="44"/>
        </w:rPr>
      </w:pPr>
    </w:p>
    <w:p>
      <w:pPr>
        <w:keepNext w:val="0"/>
        <w:keepLines w:val="0"/>
        <w:pageBreakBefore w:val="0"/>
        <w:kinsoku/>
        <w:wordWrap/>
        <w:overflowPunct/>
        <w:topLinePunct w:val="0"/>
        <w:autoSpaceDE/>
        <w:autoSpaceDN/>
        <w:bidi w:val="0"/>
        <w:adjustRightInd/>
        <w:snapToGrid/>
        <w:spacing w:after="0" w:line="560" w:lineRule="exact"/>
        <w:jc w:val="both"/>
        <w:textAlignment w:val="auto"/>
        <w:rPr>
          <w:rFonts w:ascii="宋体" w:eastAsia="宋体"/>
          <w:color w:val="auto"/>
          <w:sz w:val="44"/>
          <w:szCs w:val="44"/>
        </w:rPr>
      </w:pPr>
    </w:p>
    <w:p>
      <w:pPr>
        <w:keepNext w:val="0"/>
        <w:keepLines w:val="0"/>
        <w:pageBreakBefore w:val="0"/>
        <w:kinsoku/>
        <w:wordWrap/>
        <w:overflowPunct/>
        <w:topLinePunct w:val="0"/>
        <w:autoSpaceDE/>
        <w:autoSpaceDN/>
        <w:bidi w:val="0"/>
        <w:adjustRightInd/>
        <w:snapToGrid/>
        <w:spacing w:after="0" w:line="560" w:lineRule="exact"/>
        <w:jc w:val="both"/>
        <w:textAlignment w:val="auto"/>
        <w:rPr>
          <w:rFonts w:ascii="宋体" w:eastAsia="宋体"/>
          <w:color w:val="auto"/>
          <w:sz w:val="44"/>
          <w:szCs w:val="44"/>
        </w:rPr>
      </w:pPr>
    </w:p>
    <w:p>
      <w:pPr>
        <w:widowControl w:val="0"/>
        <w:spacing w:after="0" w:line="240" w:lineRule="auto"/>
        <w:jc w:val="center"/>
        <w:rPr>
          <w:rFonts w:hint="eastAsia" w:ascii="方正小标宋_GBK" w:hAnsi="宋体" w:eastAsia="方正小标宋_GBK" w:cs="Times New Roman"/>
          <w:color w:val="auto"/>
          <w:kern w:val="2"/>
          <w:sz w:val="44"/>
          <w:szCs w:val="44"/>
          <w:lang w:eastAsia="zh-CN"/>
        </w:rPr>
      </w:pPr>
      <w:r>
        <w:rPr>
          <w:rFonts w:hint="eastAsia" w:ascii="方正小标宋_GBK" w:hAnsi="宋体" w:eastAsia="方正小标宋_GBK" w:cs="Times New Roman"/>
          <w:color w:val="auto"/>
          <w:kern w:val="2"/>
          <w:sz w:val="44"/>
          <w:szCs w:val="44"/>
          <w:lang w:eastAsia="zh-CN"/>
        </w:rPr>
        <w:t>库尔勒市上户镇人民政府</w:t>
      </w:r>
    </w:p>
    <w:p>
      <w:pPr>
        <w:widowControl w:val="0"/>
        <w:spacing w:after="0" w:line="240" w:lineRule="auto"/>
        <w:jc w:val="center"/>
        <w:rPr>
          <w:rFonts w:hint="eastAsia" w:ascii="方正小标宋_GBK" w:hAnsi="宋体" w:eastAsia="方正小标宋_GBK" w:cs="Times New Roman"/>
          <w:color w:val="auto"/>
          <w:kern w:val="2"/>
          <w:sz w:val="44"/>
          <w:szCs w:val="44"/>
          <w:lang w:eastAsia="zh-CN"/>
        </w:rPr>
      </w:pPr>
      <w:r>
        <w:rPr>
          <w:rFonts w:hint="eastAsia" w:ascii="方正小标宋_GBK" w:hAnsi="宋体" w:eastAsia="方正小标宋_GBK" w:cs="Times New Roman"/>
          <w:color w:val="auto"/>
          <w:kern w:val="2"/>
          <w:sz w:val="44"/>
          <w:szCs w:val="44"/>
          <w:lang w:eastAsia="zh-CN"/>
        </w:rPr>
        <w:t>2024年度部门决算</w:t>
      </w:r>
    </w:p>
    <w:p>
      <w:pPr>
        <w:widowControl w:val="0"/>
        <w:spacing w:after="0" w:line="240" w:lineRule="auto"/>
        <w:jc w:val="center"/>
        <w:rPr>
          <w:rFonts w:hint="eastAsia" w:ascii="方正小标宋_GBK" w:hAnsi="宋体" w:eastAsia="方正小标宋_GBK" w:cs="Times New Roman"/>
          <w:color w:val="auto"/>
          <w:kern w:val="2"/>
          <w:sz w:val="44"/>
          <w:szCs w:val="44"/>
          <w:lang w:eastAsia="zh-CN"/>
        </w:rPr>
      </w:pPr>
      <w:r>
        <w:rPr>
          <w:rFonts w:hint="eastAsia" w:ascii="方正小标宋_GBK" w:hAnsi="宋体" w:eastAsia="方正小标宋_GBK" w:cs="Times New Roman"/>
          <w:color w:val="auto"/>
          <w:kern w:val="2"/>
          <w:sz w:val="44"/>
          <w:szCs w:val="44"/>
          <w:lang w:eastAsia="zh-CN"/>
        </w:rPr>
        <w:t>公开说明</w:t>
      </w:r>
    </w:p>
    <w:p>
      <w:pPr>
        <w:keepNext w:val="0"/>
        <w:keepLines w:val="0"/>
        <w:pageBreakBefore w:val="0"/>
        <w:kinsoku/>
        <w:wordWrap/>
        <w:overflowPunct/>
        <w:topLinePunct w:val="0"/>
        <w:autoSpaceDE/>
        <w:autoSpaceDN/>
        <w:bidi w:val="0"/>
        <w:adjustRightInd/>
        <w:snapToGrid/>
        <w:spacing w:after="0" w:line="560" w:lineRule="exact"/>
        <w:jc w:val="both"/>
        <w:textAlignment w:val="auto"/>
        <w:rPr>
          <w:color w:val="auto"/>
        </w:rPr>
      </w:pPr>
      <w:r>
        <w:rPr>
          <w:color w:val="auto"/>
          <w:sz w:val="0"/>
          <w:szCs w:val="0"/>
        </w:rPr>
        <w:br w:type="page"/>
      </w:r>
    </w:p>
    <w:p>
      <w:pPr>
        <w:keepNext w:val="0"/>
        <w:keepLines w:val="0"/>
        <w:pageBreakBefore w:val="0"/>
        <w:kinsoku/>
        <w:wordWrap/>
        <w:overflowPunct/>
        <w:topLinePunct w:val="0"/>
        <w:autoSpaceDE/>
        <w:autoSpaceDN/>
        <w:bidi w:val="0"/>
        <w:adjustRightInd/>
        <w:snapToGrid/>
        <w:spacing w:after="0" w:line="560" w:lineRule="exact"/>
        <w:jc w:val="center"/>
        <w:textAlignment w:val="auto"/>
        <w:rPr>
          <w:rFonts w:ascii="黑体" w:eastAsia="黑体"/>
          <w:color w:val="auto"/>
          <w:sz w:val="32"/>
          <w:szCs w:val="32"/>
        </w:rPr>
      </w:pPr>
      <w:r>
        <w:rPr>
          <w:rFonts w:ascii="黑体" w:eastAsia="黑体"/>
          <w:b/>
          <w:color w:val="auto"/>
          <w:sz w:val="32"/>
          <w:szCs w:val="32"/>
        </w:rPr>
        <w:t>目录</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b/>
          <w:color w:val="auto"/>
          <w:sz w:val="32"/>
          <w:szCs w:val="32"/>
        </w:rPr>
        <w:t>第一部分单位概况</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一、主要职能</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二、机构设置及人员情况</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b/>
          <w:color w:val="auto"/>
          <w:sz w:val="32"/>
          <w:szCs w:val="32"/>
        </w:rPr>
        <w:t>第二部分部门决算情况说明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一、收入支出决算总体情况说明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二、收入决算情况说明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三、支出决算情况说明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四、财政拨款收入支出决算总体情况说明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五、一般公共预算财政拨款支出决算情况说明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（一）一般公共预算财政拨款支出决算总体情况</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（二）一般公共预算财政拨款支出决算结构情况</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（三）一般公共预算财政拨款支出决算具体情况</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六、一般公共预算财政拨款基本支出决算情况说明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七、政府性基金预算财政拨款收入支出决算情况说明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八、国有资本经营预算财政拨款收入支出决算情况说明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九、财政拨款“三公”经费支出决算情况说明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十、其他重要事项的情况说明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（一）机关运行经费及公用经费支出情况</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（二）政府采购情况</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（三）国有资产占用情况说明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十一、预算绩效的情况说明</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十二、其他需说明的事项</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b/>
          <w:color w:val="auto"/>
          <w:sz w:val="32"/>
          <w:szCs w:val="32"/>
        </w:rPr>
        <w:t>第三部分专业名词解释</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b/>
          <w:color w:val="auto"/>
          <w:sz w:val="32"/>
          <w:szCs w:val="32"/>
        </w:rPr>
        <w:t>第四部分部门决算报表（见附表）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一、《收入支出决算总表》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二、《收入决算表》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三、《支出决算表》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四、《财政拨款收入支出决算总表》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五、《一般公共预算财政拨款支出决算表》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六、《一般公共预算财政拨款基本支出决算表》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七、《政府性基金预算财政拨款收入支出决算表》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八、《国有资本经营预算财政拨款收入支出决算表》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rFonts w:ascii="仿宋_GB2312" w:eastAsia="仿宋_GB2312"/>
          <w:color w:val="auto"/>
          <w:sz w:val="32"/>
          <w:szCs w:val="32"/>
        </w:rPr>
      </w:pPr>
      <w:r>
        <w:rPr>
          <w:rFonts w:ascii="仿宋_GB2312" w:eastAsia="仿宋_GB2312"/>
          <w:color w:val="auto"/>
          <w:sz w:val="32"/>
          <w:szCs w:val="32"/>
        </w:rPr>
        <w:t>九、《财政拨款“三公”经费支出决算表》</w:t>
      </w:r>
    </w:p>
    <w:p>
      <w:pPr>
        <w:keepNext w:val="0"/>
        <w:keepLines w:val="0"/>
        <w:pageBreakBefore w:val="0"/>
        <w:kinsoku/>
        <w:wordWrap/>
        <w:overflowPunct/>
        <w:topLinePunct w:val="0"/>
        <w:autoSpaceDE/>
        <w:autoSpaceDN/>
        <w:bidi w:val="0"/>
        <w:adjustRightInd/>
        <w:snapToGrid/>
        <w:spacing w:after="0" w:line="560" w:lineRule="exact"/>
        <w:jc w:val="left"/>
        <w:textAlignment w:val="auto"/>
        <w:rPr>
          <w:color w:val="auto"/>
        </w:rPr>
      </w:pPr>
      <w:r>
        <w:rPr>
          <w:color w:val="auto"/>
          <w:sz w:val="0"/>
          <w:szCs w:val="0"/>
        </w:rPr>
        <w:br w:type="page"/>
      </w:r>
    </w:p>
    <w:p>
      <w:pPr>
        <w:keepNext w:val="0"/>
        <w:keepLines w:val="0"/>
        <w:pageBreakBefore w:val="0"/>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r>
        <w:rPr>
          <w:rFonts w:ascii="黑体" w:eastAsia="黑体"/>
          <w:color w:val="auto"/>
          <w:sz w:val="32"/>
          <w:szCs w:val="32"/>
        </w:rPr>
        <w:t>第一部分</w:t>
      </w:r>
      <w:r>
        <w:rPr>
          <w:rFonts w:hint="eastAsia" w:ascii="黑体" w:eastAsia="黑体"/>
          <w:color w:val="auto"/>
          <w:sz w:val="32"/>
          <w:szCs w:val="32"/>
          <w:lang w:val="en-US" w:eastAsia="zh-CN"/>
        </w:rPr>
        <w:t xml:space="preserve"> </w:t>
      </w:r>
      <w:r>
        <w:rPr>
          <w:rFonts w:ascii="黑体" w:eastAsia="黑体"/>
          <w:color w:val="auto"/>
          <w:sz w:val="32"/>
          <w:szCs w:val="32"/>
        </w:rPr>
        <w:t>单位概况</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一、主要职能</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ascii="仿宋_GB2312" w:hAnsi="仿宋_GB2312" w:eastAsia="仿宋_GB2312" w:cs="仿宋_GB2312"/>
          <w:color w:val="auto"/>
          <w:sz w:val="31"/>
          <w:szCs w:val="31"/>
          <w:shd w:val="clear" w:color="auto" w:fill="FFFFFF"/>
          <w:lang w:eastAsia="zh-CN"/>
        </w:rPr>
      </w:pPr>
      <w:r>
        <w:rPr>
          <w:rFonts w:hint="eastAsia" w:ascii="仿宋_GB2312" w:hAnsi="仿宋_GB2312" w:eastAsia="仿宋_GB2312" w:cs="仿宋_GB2312"/>
          <w:color w:val="auto"/>
          <w:sz w:val="31"/>
          <w:szCs w:val="31"/>
          <w:shd w:val="clear" w:color="auto" w:fill="FFFFFF"/>
          <w:lang w:eastAsia="zh-CN"/>
        </w:rPr>
        <w:t>单位主要工作职责：落实国家政策，严格依法行政，发挥经济管理职能，加强政策引导，制定发展规划，服务市场主体和营造发展环境，大力促进社会事业发展，发展镇村经济、文化和社会事业，提供公共服务，维护社会稳定，构建社会主义和谐。宣传、执行党的路线、方针、政策和国家法律、法规，保证上级党委政府决议、决定的落实，对居民进行思想政治教育和社会主义法治宣传；组织领导乡经济工作，制定乡经济发展规划，检查、督促各经济组织开展工作，负责乡财政预算和收支管理。加强外来人口管理，开展民事调解，保护老人、儿童、妇女、残疾人和青少年的合法权益，保障辖区内政治稳定和社会安定.向上级政府反映群众的意见和要求，办理人民群众来信来访事项，做好为居民群众服务工作；完成上级政府交办的其他事项。</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二、机构设置及人员情况</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eastAsia" w:ascii="仿宋_GB2312" w:hAnsi="仿宋_GB2312" w:eastAsia="仿宋_GB2312" w:cs="仿宋_GB2312"/>
          <w:color w:val="auto"/>
          <w:sz w:val="31"/>
          <w:szCs w:val="31"/>
          <w:shd w:val="clear" w:color="auto" w:fill="FFFFFF"/>
          <w:lang w:eastAsia="zh-CN"/>
        </w:rPr>
      </w:pPr>
      <w:r>
        <w:rPr>
          <w:rFonts w:hint="eastAsia" w:ascii="仿宋_GB2312" w:hAnsi="仿宋_GB2312" w:eastAsia="仿宋_GB2312" w:cs="仿宋_GB2312"/>
          <w:color w:val="auto"/>
          <w:sz w:val="31"/>
          <w:szCs w:val="31"/>
          <w:shd w:val="clear" w:color="auto" w:fill="FFFFFF"/>
          <w:lang w:eastAsia="zh-CN"/>
        </w:rPr>
        <w:t>库尔勒市上户镇人民政府2024年度，实有人数111人，其中：在职人员89人，减少4人；离休人员0人，较上年无变化；退休人员22人，增加6人。</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ascii="仿宋_GB2312" w:hAnsi="仿宋_GB2312" w:eastAsia="仿宋_GB2312" w:cs="仿宋_GB2312"/>
          <w:color w:val="auto"/>
          <w:kern w:val="0"/>
          <w:sz w:val="31"/>
          <w:szCs w:val="31"/>
          <w:shd w:val="clear" w:color="auto" w:fill="FFFFFF"/>
        </w:rPr>
      </w:pPr>
      <w:r>
        <w:rPr>
          <w:rFonts w:hint="eastAsia" w:ascii="仿宋_GB2312" w:hAnsi="仿宋_GB2312" w:eastAsia="仿宋_GB2312" w:cs="仿宋_GB2312"/>
          <w:color w:val="auto"/>
          <w:sz w:val="31"/>
          <w:szCs w:val="31"/>
          <w:shd w:val="clear" w:color="auto" w:fill="FFFFFF"/>
          <w:lang w:eastAsia="zh-CN"/>
        </w:rPr>
        <w:t>库尔勒市上户镇人民政府无下属预算单位，下设5办，5中心，分别是：党政综合办公室，党建工作办公室，经济发展和财政办公室，社会事务办公室（退役军人服务站），综合执法办公室，农业发展中心，公共文化服务中心，村镇建设发展</w:t>
      </w:r>
      <w:r>
        <w:rPr>
          <w:rFonts w:hint="eastAsia" w:ascii="仿宋_GB2312" w:hAnsi="仿宋_GB2312" w:eastAsia="仿宋_GB2312" w:cs="仿宋_GB2312"/>
          <w:color w:val="auto"/>
          <w:kern w:val="0"/>
          <w:sz w:val="31"/>
          <w:szCs w:val="31"/>
          <w:shd w:val="clear" w:color="auto" w:fill="FFFFFF"/>
        </w:rPr>
        <w:t>中心，综治和网格化服务中心，便民服务中心。</w:t>
      </w:r>
    </w:p>
    <w:p>
      <w:pPr>
        <w:keepNext w:val="0"/>
        <w:keepLines w:val="0"/>
        <w:pageBreakBefore w:val="0"/>
        <w:kinsoku/>
        <w:wordWrap/>
        <w:overflowPunct/>
        <w:topLinePunct w:val="0"/>
        <w:autoSpaceDE/>
        <w:autoSpaceDN/>
        <w:bidi w:val="0"/>
        <w:adjustRightInd/>
        <w:snapToGrid/>
        <w:spacing w:after="0" w:line="560" w:lineRule="exact"/>
        <w:ind w:firstLine="0" w:firstLineChars="200"/>
        <w:jc w:val="both"/>
        <w:textAlignment w:val="auto"/>
        <w:rPr>
          <w:color w:val="auto"/>
        </w:rPr>
      </w:pPr>
      <w:r>
        <w:rPr>
          <w:color w:val="auto"/>
          <w:sz w:val="0"/>
          <w:szCs w:val="0"/>
        </w:rPr>
        <w:br w:type="page"/>
      </w:r>
    </w:p>
    <w:p>
      <w:pPr>
        <w:keepNext w:val="0"/>
        <w:keepLines w:val="0"/>
        <w:pageBreakBefore w:val="0"/>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r>
        <w:rPr>
          <w:rFonts w:ascii="黑体" w:eastAsia="黑体"/>
          <w:color w:val="auto"/>
          <w:sz w:val="32"/>
          <w:szCs w:val="32"/>
        </w:rPr>
        <w:t>第二部分</w:t>
      </w:r>
      <w:r>
        <w:rPr>
          <w:rFonts w:hint="eastAsia" w:ascii="黑体" w:eastAsia="黑体"/>
          <w:color w:val="auto"/>
          <w:sz w:val="32"/>
          <w:szCs w:val="32"/>
          <w:lang w:val="en-US" w:eastAsia="zh-CN"/>
        </w:rPr>
        <w:t xml:space="preserve"> </w:t>
      </w:r>
      <w:r>
        <w:rPr>
          <w:rFonts w:ascii="黑体" w:eastAsia="黑体"/>
          <w:color w:val="auto"/>
          <w:sz w:val="32"/>
          <w:szCs w:val="32"/>
        </w:rPr>
        <w:t>部门决算情况说明</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一、收入支出决算总体情况说明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2024年度收入总计3,446.64万元，其中：本年收入合计3,446.64万元，使用非财政拨款结余（含专用结余）0.00万元，年初结转和结余0.00万元。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2024年度支出总计3,446.64万元，其中：本年支出合计3,446.64万元，结余分配0.00万元，年末结转和结余0.00万元。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收入支出总体与上年相比，减少1,676.64万元，下降32.73%，主要原因是：2024年本乡棉花目标价格改革补贴资金减少。</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二、收入决算情况说明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本年收入3,446.64万元，其中：财政拨款收入3,446.64万元,占100.00%；上级补助收入0.00万元,占0.00%；事业收入0.00万元，占0.00%；经营收入0.00万元,占0.00%；附属单位上缴收入0.00万元，占0.00%；其他收入0.00万元，占0.00%。</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三、支出决算情况说明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本年支出3,446.64万元，其中：基本支出2,157.99万元，占62.61%；项目支出1,288.64万元，占37.39%；上缴上级支出0.00万元，占0.00%；经营支出0.00万元，占0.00%；对附属单位补助支出0.00万元，占0.00%。</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四、财政拨款收入支出决算总体情况说明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2024年度财政拨款收入总计3,446.64万元，其中：年初财政拨款结转和结余0.00万元，本年财政拨款收入3,446.64万元。财政拨款支出总计3,446.64万元，其中：年末财政拨款结转和结余0.00万元，本年财政拨款支出3,446.64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财政拨款收入支出总体与上年相比，减少1,676.64万元，下降32.73%，</w:t>
      </w:r>
      <w:r>
        <w:rPr>
          <w:rFonts w:hint="default" w:ascii="Times New Roman" w:hAnsi="Times New Roman" w:eastAsia="仿宋_GB2312" w:cs="Times New Roman"/>
          <w:color w:val="auto"/>
          <w:sz w:val="31"/>
          <w:szCs w:val="31"/>
          <w:highlight w:val="none"/>
          <w:shd w:val="clear" w:color="auto" w:fill="FFFFFF"/>
          <w:lang w:eastAsia="zh-CN"/>
        </w:rPr>
        <w:t>主要原因是：</w:t>
      </w:r>
      <w:r>
        <w:rPr>
          <w:rFonts w:hint="eastAsia" w:ascii="Times New Roman" w:hAnsi="Times New Roman" w:eastAsia="仿宋_GB2312" w:cs="Times New Roman"/>
          <w:color w:val="auto"/>
          <w:sz w:val="31"/>
          <w:szCs w:val="31"/>
          <w:highlight w:val="none"/>
          <w:shd w:val="clear" w:color="auto" w:fill="FFFFFF"/>
          <w:lang w:val="en-US" w:eastAsia="zh-CN"/>
        </w:rPr>
        <w:t>今年比去年减少乡村振兴项目资金投入</w:t>
      </w:r>
      <w:r>
        <w:rPr>
          <w:rFonts w:hint="default" w:ascii="Times New Roman" w:hAnsi="Times New Roman" w:eastAsia="仿宋_GB2312" w:cs="Times New Roman"/>
          <w:color w:val="auto"/>
          <w:sz w:val="31"/>
          <w:szCs w:val="31"/>
          <w:highlight w:val="none"/>
          <w:shd w:val="clear" w:color="auto" w:fill="FFFFFF"/>
          <w:lang w:eastAsia="zh-CN"/>
        </w:rPr>
        <w:t>。与年初</w:t>
      </w:r>
      <w:r>
        <w:rPr>
          <w:rFonts w:hint="default" w:ascii="Times New Roman" w:hAnsi="Times New Roman" w:eastAsia="仿宋_GB2312" w:cs="Times New Roman"/>
          <w:color w:val="auto"/>
          <w:sz w:val="31"/>
          <w:szCs w:val="31"/>
          <w:shd w:val="clear" w:color="auto" w:fill="FFFFFF"/>
          <w:lang w:eastAsia="zh-CN"/>
        </w:rPr>
        <w:t>预算相比，年初预算数3,063.66万元，决算数3,446.64万元，预决算差异率12.50%，主要原因是：</w:t>
      </w:r>
      <w:r>
        <w:rPr>
          <w:rFonts w:hint="eastAsia" w:ascii="Times New Roman" w:hAnsi="Times New Roman" w:eastAsia="仿宋_GB2312" w:cs="Times New Roman"/>
          <w:color w:val="auto"/>
          <w:sz w:val="31"/>
          <w:szCs w:val="31"/>
          <w:shd w:val="clear" w:color="auto" w:fill="FFFFFF"/>
          <w:lang w:val="en-US" w:eastAsia="zh-CN"/>
        </w:rPr>
        <w:t>追加</w:t>
      </w:r>
      <w:r>
        <w:rPr>
          <w:rFonts w:hint="eastAsia" w:ascii="Times New Roman" w:hAnsi="Times New Roman" w:eastAsia="仿宋_GB2312" w:cs="Times New Roman"/>
          <w:color w:val="auto"/>
          <w:sz w:val="31"/>
          <w:szCs w:val="31"/>
          <w:shd w:val="clear" w:color="auto" w:fill="FFFFFF"/>
          <w:lang w:eastAsia="zh-CN"/>
        </w:rPr>
        <w:t>乡村振兴项目资金</w:t>
      </w:r>
      <w:r>
        <w:rPr>
          <w:rFonts w:hint="eastAsia" w:ascii="Times New Roman" w:hAnsi="Times New Roman" w:eastAsia="仿宋_GB2312" w:cs="Times New Roman"/>
          <w:color w:val="auto"/>
          <w:sz w:val="31"/>
          <w:szCs w:val="31"/>
          <w:shd w:val="clear" w:color="auto" w:fill="FFFFFF"/>
          <w:lang w:val="en-US" w:eastAsia="zh-CN"/>
        </w:rPr>
        <w:t>投入</w:t>
      </w:r>
      <w:r>
        <w:rPr>
          <w:rFonts w:hint="default" w:ascii="Times New Roman" w:hAnsi="Times New Roman" w:eastAsia="仿宋_GB2312" w:cs="Times New Roman"/>
          <w:color w:val="auto"/>
          <w:sz w:val="31"/>
          <w:szCs w:val="31"/>
          <w:shd w:val="clear" w:color="auto" w:fill="FFFFFF"/>
          <w:lang w:eastAsia="zh-CN"/>
        </w:rPr>
        <w:t>。</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五、一般公共预算财政拨款支出决算情况说明</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2"/>
        <w:rPr>
          <w:rFonts w:ascii="仿宋_GB2312" w:eastAsia="仿宋_GB2312"/>
          <w:color w:val="auto"/>
          <w:sz w:val="32"/>
          <w:szCs w:val="32"/>
        </w:rPr>
      </w:pPr>
      <w:r>
        <w:rPr>
          <w:rFonts w:ascii="仿宋_GB2312" w:eastAsia="仿宋_GB2312"/>
          <w:b/>
          <w:color w:val="auto"/>
          <w:sz w:val="32"/>
          <w:szCs w:val="32"/>
        </w:rPr>
        <w:t>（一）一般公共预算财政拨款支出决算总体情况</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2024年度一般公共预算财政拨款支出3,269.91万元，占本年支出合计的94.87%。与上年相比，减少1,835.58万元，下降35.95%，主要原因是：</w:t>
      </w:r>
      <w:r>
        <w:rPr>
          <w:rFonts w:hint="eastAsia" w:ascii="Times New Roman" w:hAnsi="Times New Roman" w:eastAsia="仿宋_GB2312" w:cs="Times New Roman"/>
          <w:color w:val="auto"/>
          <w:sz w:val="31"/>
          <w:szCs w:val="31"/>
          <w:shd w:val="clear" w:color="auto" w:fill="FFFFFF"/>
          <w:lang w:eastAsia="zh-CN"/>
        </w:rPr>
        <w:t>乡村振兴项目资金增加</w:t>
      </w:r>
      <w:r>
        <w:rPr>
          <w:rFonts w:hint="default" w:ascii="Times New Roman" w:hAnsi="Times New Roman" w:eastAsia="仿宋_GB2312" w:cs="Times New Roman"/>
          <w:color w:val="auto"/>
          <w:sz w:val="31"/>
          <w:szCs w:val="31"/>
          <w:shd w:val="clear" w:color="auto" w:fill="FFFFFF"/>
          <w:lang w:eastAsia="zh-CN"/>
        </w:rPr>
        <w:t>。与年初预算相比，年初预算数3,063.66万元，决算数3,269.91万元，预决算差异率6.73%，主要原因是：</w:t>
      </w:r>
      <w:r>
        <w:rPr>
          <w:rFonts w:hint="eastAsia" w:ascii="Times New Roman" w:hAnsi="Times New Roman" w:eastAsia="仿宋_GB2312" w:cs="Times New Roman"/>
          <w:color w:val="auto"/>
          <w:sz w:val="31"/>
          <w:szCs w:val="31"/>
          <w:shd w:val="clear" w:color="auto" w:fill="FFFFFF"/>
          <w:lang w:eastAsia="zh-CN"/>
        </w:rPr>
        <w:t>2024年本乡减少棉花目标价格改革补贴资金</w:t>
      </w:r>
      <w:r>
        <w:rPr>
          <w:rFonts w:hint="default" w:ascii="Times New Roman" w:hAnsi="Times New Roman" w:eastAsia="仿宋_GB2312" w:cs="Times New Roman"/>
          <w:color w:val="auto"/>
          <w:sz w:val="31"/>
          <w:szCs w:val="31"/>
          <w:shd w:val="clear" w:color="auto" w:fill="FFFFFF"/>
          <w:lang w:eastAsia="zh-CN"/>
        </w:rPr>
        <w:t>。</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2"/>
        <w:rPr>
          <w:rFonts w:ascii="仿宋_GB2312" w:eastAsia="仿宋_GB2312"/>
          <w:color w:val="auto"/>
          <w:sz w:val="32"/>
          <w:szCs w:val="32"/>
        </w:rPr>
      </w:pPr>
      <w:r>
        <w:rPr>
          <w:rFonts w:ascii="仿宋_GB2312" w:eastAsia="仿宋_GB2312"/>
          <w:b/>
          <w:color w:val="auto"/>
          <w:sz w:val="32"/>
          <w:szCs w:val="32"/>
        </w:rPr>
        <w:t>（二）一般公共预算财政拨款支出决算结构情况</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一般公共服务支出（类）1,625.32万元，占49.71%。</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教育支出（类）6.74万元，占0.21%。</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文化旅游体育与传媒支出（类）11.56万元，占0.35%。</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社会保障和就业支出（类）209.15万元，占6.40%。</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卫生健康支出（类）83.61万元，占2.56%。</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农林水支出（类）1,134.99万元，占34.71%。</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住房保障支出（类）128.27万元，占3.92%。</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其他支出（类）70.28万元，占2.15%。</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2"/>
        <w:rPr>
          <w:rFonts w:ascii="仿宋_GB2312" w:eastAsia="仿宋_GB2312"/>
          <w:color w:val="auto"/>
          <w:sz w:val="32"/>
          <w:szCs w:val="32"/>
        </w:rPr>
      </w:pPr>
      <w:r>
        <w:rPr>
          <w:rFonts w:ascii="仿宋_GB2312" w:eastAsia="仿宋_GB2312"/>
          <w:b/>
          <w:color w:val="auto"/>
          <w:sz w:val="32"/>
          <w:szCs w:val="32"/>
        </w:rPr>
        <w:t>（三）一般公共预算财政拨款支出决算具体情况</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一般公共服务支出（类）人大事务（款）代表工作（项）：支出决算数为4.85万元，比上年决算增加3.14万元，增长183.63%，主要原因是：</w:t>
      </w:r>
      <w:r>
        <w:rPr>
          <w:rFonts w:hint="eastAsia" w:ascii="Times New Roman" w:hAnsi="Times New Roman" w:eastAsia="仿宋_GB2312" w:cs="Times New Roman"/>
          <w:color w:val="auto"/>
          <w:sz w:val="31"/>
          <w:szCs w:val="31"/>
          <w:shd w:val="clear" w:color="auto" w:fill="FFFFFF"/>
          <w:lang w:eastAsia="zh-CN"/>
        </w:rPr>
        <w:t>2024年拨付人大代表工作经费、人大代表履职补贴经费。</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一般公共服务支出（类）政府办公厅（室）及相关机构事务（款）行政运行（项）：支出决算数为1,494.31万元，比上年决算减少34.44万元，下降2.25%，主要原因是：</w:t>
      </w:r>
      <w:r>
        <w:rPr>
          <w:rFonts w:hint="eastAsia" w:ascii="Times New Roman" w:hAnsi="Times New Roman" w:eastAsia="仿宋_GB2312" w:cs="Times New Roman"/>
          <w:color w:val="auto"/>
          <w:sz w:val="31"/>
          <w:szCs w:val="31"/>
          <w:shd w:val="clear" w:color="auto" w:fill="FFFFFF"/>
          <w:lang w:eastAsia="zh-CN"/>
        </w:rPr>
        <w:t>2024年5名干部退休，一名干部调出原因年初预算安排的人员工资，社保等人员类支出减少。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一般公共服务支出（类）政府办公厅（室）及相关机构事务（款）其他政府办公厅（室）及相关机构事务支出（项）：支出决算数为9.49万元，比上年决算减少27.63万元，下降74.43%，主要原因是：</w:t>
      </w:r>
      <w:r>
        <w:rPr>
          <w:rFonts w:hint="eastAsia" w:ascii="Times New Roman" w:hAnsi="Times New Roman" w:eastAsia="仿宋_GB2312" w:cs="Times New Roman"/>
          <w:color w:val="auto"/>
          <w:sz w:val="31"/>
          <w:szCs w:val="31"/>
          <w:shd w:val="clear" w:color="auto" w:fill="FFFFFF"/>
          <w:lang w:eastAsia="zh-CN"/>
        </w:rPr>
        <w:t>2024年增加为民办实事经费。</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一般公共服务支出（类）纪检监察事务（款）其他纪检监察事务支出（项）：支出决算数为2.00万元，比上年决算减少0.15万元，下降6.98%，主要原因是：</w:t>
      </w:r>
      <w:r>
        <w:rPr>
          <w:rFonts w:hint="eastAsia" w:ascii="Times New Roman" w:hAnsi="Times New Roman" w:eastAsia="仿宋_GB2312" w:cs="Times New Roman"/>
          <w:color w:val="auto"/>
          <w:sz w:val="31"/>
          <w:szCs w:val="31"/>
          <w:shd w:val="clear" w:color="auto" w:fill="FFFFFF"/>
          <w:lang w:eastAsia="zh-CN"/>
        </w:rPr>
        <w:t>2024年未拨付</w:t>
      </w:r>
      <w:r>
        <w:rPr>
          <w:rFonts w:hint="default" w:ascii="Times New Roman" w:hAnsi="Times New Roman" w:eastAsia="仿宋_GB2312" w:cs="Times New Roman"/>
          <w:color w:val="auto"/>
          <w:sz w:val="31"/>
          <w:szCs w:val="31"/>
          <w:shd w:val="clear" w:color="auto" w:fill="FFFFFF"/>
          <w:lang w:eastAsia="zh-CN"/>
        </w:rPr>
        <w:t>纪检监察事务</w:t>
      </w:r>
      <w:r>
        <w:rPr>
          <w:rFonts w:hint="eastAsia" w:ascii="Times New Roman" w:hAnsi="Times New Roman" w:eastAsia="仿宋_GB2312" w:cs="Times New Roman"/>
          <w:color w:val="auto"/>
          <w:sz w:val="31"/>
          <w:szCs w:val="31"/>
          <w:shd w:val="clear" w:color="auto" w:fill="FFFFFF"/>
          <w:lang w:eastAsia="zh-CN"/>
        </w:rPr>
        <w:t>办案经费。</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一般公共服务支出（类）组织事务（款）其他组织事务支出（项）：支出决算数为114.67万元，比上年决算减少48.78万元，下降29.84%，主要原因是：</w:t>
      </w:r>
      <w:r>
        <w:rPr>
          <w:rFonts w:hint="eastAsia" w:ascii="Times New Roman" w:hAnsi="Times New Roman" w:eastAsia="仿宋_GB2312" w:cs="Times New Roman"/>
          <w:color w:val="auto"/>
          <w:sz w:val="31"/>
          <w:szCs w:val="31"/>
          <w:shd w:val="clear" w:color="auto" w:fill="FFFFFF"/>
          <w:lang w:eastAsia="zh-CN"/>
        </w:rPr>
        <w:t>2024年因部分访惠聚工作队撤回，相应的访惠聚及第一书记生活补助和工作经费减少。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一般公共服务支出（类）统战事务（款）宗教事务（项）：支出决算数为0.00万元，比上年决算减少2.93万元，下降100.00%，主要原因是：</w:t>
      </w:r>
      <w:r>
        <w:rPr>
          <w:rFonts w:hint="eastAsia" w:ascii="Times New Roman" w:hAnsi="Times New Roman" w:eastAsia="仿宋_GB2312" w:cs="Times New Roman"/>
          <w:color w:val="auto"/>
          <w:sz w:val="31"/>
          <w:szCs w:val="31"/>
          <w:shd w:val="clear" w:color="auto" w:fill="FFFFFF"/>
          <w:lang w:eastAsia="zh-CN"/>
        </w:rPr>
        <w:t>2024年撤销辖区寺管会工作组，寺管会人员撤回，相应寺管会工作人员生活补助及工作经费减少。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一般公共服务支出（类）统战事务（款）其他统战事务支出（项）：支出决算数为0.00万元，比上年决算减少7.72万元，下降100.00%，主要原因是：</w:t>
      </w:r>
      <w:r>
        <w:rPr>
          <w:rFonts w:hint="eastAsia" w:ascii="Times New Roman" w:hAnsi="Times New Roman" w:eastAsia="仿宋_GB2312" w:cs="Times New Roman"/>
          <w:color w:val="auto"/>
          <w:sz w:val="31"/>
          <w:szCs w:val="31"/>
          <w:shd w:val="clear" w:color="auto" w:fill="FFFFFF"/>
          <w:lang w:eastAsia="zh-CN"/>
        </w:rPr>
        <w:t>2024年撤销辖区寺管会工作组，寺管会人员撤回，相应寺管会工作人员生活补助及工作经费减少。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教育支出（类）进修及培训（款）培训支出（项）：支出决算数为6.74万元，比上年决算减少1.73万元，下降20.43%，主要原因是：</w:t>
      </w:r>
      <w:r>
        <w:rPr>
          <w:rFonts w:hint="eastAsia" w:ascii="Times New Roman" w:hAnsi="Times New Roman" w:eastAsia="仿宋_GB2312" w:cs="Times New Roman"/>
          <w:color w:val="auto"/>
          <w:sz w:val="31"/>
          <w:szCs w:val="31"/>
          <w:shd w:val="clear" w:color="auto" w:fill="FFFFFF"/>
          <w:lang w:eastAsia="zh-CN"/>
        </w:rPr>
        <w:t>2024年乡领导干部考察培训次数减少，需要教育培训支出减少。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文化旅游体育与传媒支出（类）文化和旅游（款）其他文化和旅游支出（项）：支出决算数为8.56万元，比上年决算增加6.13万元，增长252.26%，主要原因是：</w:t>
      </w:r>
      <w:r>
        <w:rPr>
          <w:rFonts w:hint="eastAsia" w:ascii="Times New Roman" w:hAnsi="Times New Roman" w:eastAsia="仿宋_GB2312" w:cs="Times New Roman"/>
          <w:color w:val="auto"/>
          <w:sz w:val="31"/>
          <w:szCs w:val="31"/>
          <w:shd w:val="clear" w:color="auto" w:fill="FFFFFF"/>
          <w:lang w:eastAsia="zh-CN"/>
        </w:rPr>
        <w:t>2024年文化项目资金未安排。</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文化旅游体育与传媒支出（类）其他文化旅游体育与传媒支出（款）其他文化旅游体育与传媒支出（项）：支出决算数为3.00万元，比上年决算增加2.82万元，增长1,566.67%，主要原因是：</w:t>
      </w:r>
      <w:r>
        <w:rPr>
          <w:rFonts w:hint="eastAsia" w:ascii="Times New Roman" w:hAnsi="Times New Roman" w:eastAsia="仿宋_GB2312" w:cs="Times New Roman"/>
          <w:color w:val="auto"/>
          <w:sz w:val="31"/>
          <w:szCs w:val="31"/>
          <w:shd w:val="clear" w:color="auto" w:fill="FFFFFF"/>
          <w:lang w:eastAsia="zh-CN"/>
        </w:rPr>
        <w:t>2024年新增中央补助地方公共文化服务体系建设补助资金。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社会保障和就业支出（类）行政事业单位养老支出（款）行政单位离退休（项）：支出决算数为13.61万元，比上年决算增加4.42万元，增长48.10%，主要原因是：</w:t>
      </w:r>
      <w:r>
        <w:rPr>
          <w:rFonts w:hint="eastAsia" w:ascii="Times New Roman" w:hAnsi="Times New Roman" w:eastAsia="仿宋_GB2312" w:cs="Times New Roman"/>
          <w:color w:val="auto"/>
          <w:sz w:val="31"/>
          <w:szCs w:val="31"/>
          <w:shd w:val="clear" w:color="auto" w:fill="FFFFFF"/>
          <w:lang w:eastAsia="zh-CN"/>
        </w:rPr>
        <w:t>2024年退休人员5名，随着退休人员增加相关经费增加。</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社会保障和就业支出（类）行政事业单位养老支出（款）机关事业单位基本养老保险缴费支出（项）：支出决算数为153.21万元，比上年决算增加35.82万元，增长30.51%，主要原因是：</w:t>
      </w:r>
      <w:r>
        <w:rPr>
          <w:rFonts w:hint="eastAsia" w:ascii="Times New Roman" w:hAnsi="Times New Roman" w:eastAsia="仿宋_GB2312" w:cs="Times New Roman"/>
          <w:color w:val="auto"/>
          <w:sz w:val="31"/>
          <w:szCs w:val="31"/>
          <w:shd w:val="clear" w:color="auto" w:fill="FFFFFF"/>
          <w:lang w:eastAsia="zh-CN"/>
        </w:rPr>
        <w:t>2024年调整养老保险缴费指数，增加了相应养老保险缴费支出。</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社会保障和就业支出（类）行政事业单位养老支出（款）机关事业单位职业年金缴费支出（项）：支出决算数为37.22万元，比上年决算增加30.53万元，增长456.35%，主要原因是：</w:t>
      </w:r>
      <w:r>
        <w:rPr>
          <w:rFonts w:hint="eastAsia" w:ascii="Times New Roman" w:hAnsi="Times New Roman" w:eastAsia="仿宋_GB2312" w:cs="Times New Roman"/>
          <w:color w:val="auto"/>
          <w:sz w:val="31"/>
          <w:szCs w:val="31"/>
          <w:shd w:val="clear" w:color="auto" w:fill="FFFFFF"/>
          <w:lang w:eastAsia="zh-CN"/>
        </w:rPr>
        <w:t>2024年5名在职干部退休，增加了相应职业年金。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社会保障和就业支出（类）就业补助（款）公益性岗位补贴（项）：支出决算数为0.00万元，比上年决算减少50.99万元，下降100.00%，主要原因是：</w:t>
      </w:r>
      <w:r>
        <w:rPr>
          <w:rFonts w:hint="eastAsia" w:ascii="Times New Roman" w:hAnsi="Times New Roman" w:eastAsia="仿宋_GB2312" w:cs="Times New Roman"/>
          <w:color w:val="auto"/>
          <w:sz w:val="31"/>
          <w:szCs w:val="31"/>
          <w:shd w:val="clear" w:color="auto" w:fill="FFFFFF"/>
          <w:lang w:eastAsia="zh-CN"/>
        </w:rPr>
        <w:t>按照上级部门工作安排提示2024年全面取消公益性岗位人员，减少相应公益性岗位补贴。</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社会保障和就业支出（类）社会福利（款）其他社会福利支出（项）：支出决算数为0.00万元，比上年决算减少0.51万元，下降100.00%，主要原因是：</w:t>
      </w:r>
      <w:r>
        <w:rPr>
          <w:rFonts w:hint="eastAsia" w:ascii="Times New Roman" w:hAnsi="Times New Roman" w:eastAsia="仿宋_GB2312" w:cs="Times New Roman"/>
          <w:color w:val="auto"/>
          <w:sz w:val="31"/>
          <w:szCs w:val="31"/>
          <w:shd w:val="clear" w:color="auto" w:fill="FFFFFF"/>
          <w:lang w:eastAsia="zh-CN"/>
        </w:rPr>
        <w:t>2024年未拨付城乡困难家庭救助资金。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社会保障和就业支出（类）其他生活救助（款）其他农村生活救助（项）：支出决算数为5.10万元，比上年决算增加5.10万元，增长100.00%，主要原因是：</w:t>
      </w:r>
      <w:r>
        <w:rPr>
          <w:rFonts w:hint="eastAsia" w:ascii="Times New Roman" w:hAnsi="Times New Roman" w:eastAsia="仿宋_GB2312" w:cs="Times New Roman"/>
          <w:color w:val="auto"/>
          <w:sz w:val="31"/>
          <w:szCs w:val="31"/>
          <w:shd w:val="clear" w:color="auto" w:fill="FFFFFF"/>
          <w:lang w:eastAsia="zh-CN"/>
        </w:rPr>
        <w:t>2024年拨付</w:t>
      </w:r>
      <w:r>
        <w:rPr>
          <w:rFonts w:hint="default" w:ascii="Times New Roman" w:hAnsi="Times New Roman" w:eastAsia="仿宋_GB2312" w:cs="Times New Roman"/>
          <w:color w:val="auto"/>
          <w:sz w:val="31"/>
          <w:szCs w:val="31"/>
          <w:shd w:val="clear" w:color="auto" w:fill="FFFFFF"/>
          <w:lang w:eastAsia="zh-CN"/>
        </w:rPr>
        <w:t>城乡困难家庭救助</w:t>
      </w:r>
      <w:r>
        <w:rPr>
          <w:rFonts w:hint="eastAsia" w:ascii="Times New Roman" w:hAnsi="Times New Roman" w:eastAsia="仿宋_GB2312" w:cs="Times New Roman"/>
          <w:color w:val="auto"/>
          <w:sz w:val="31"/>
          <w:szCs w:val="31"/>
          <w:shd w:val="clear" w:color="auto" w:fill="FFFFFF"/>
          <w:lang w:eastAsia="zh-CN"/>
        </w:rPr>
        <w:t>资金。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卫生健康支出（类）公共卫生（款）突发公共卫生事件应急处置（项）：支出决算数为0.00万元，比上年决算减少82.14万元，下降100.00%，主要原因是：</w:t>
      </w:r>
      <w:r>
        <w:rPr>
          <w:rFonts w:hint="eastAsia" w:ascii="Times New Roman" w:hAnsi="Times New Roman" w:eastAsia="仿宋_GB2312" w:cs="Times New Roman"/>
          <w:color w:val="auto"/>
          <w:sz w:val="31"/>
          <w:szCs w:val="31"/>
          <w:shd w:val="clear" w:color="auto" w:fill="FFFFFF"/>
          <w:lang w:eastAsia="zh-CN"/>
        </w:rPr>
        <w:t>2024年减少隔离点误餐补助经费。</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卫生健康支出（类）行政事业单位医疗（款）行政单位医疗（项）：支出决算数为75.20万元，比上年决算增加12.43万元，增长19.80%，主要原因是：</w:t>
      </w:r>
      <w:r>
        <w:rPr>
          <w:rFonts w:hint="eastAsia" w:ascii="Times New Roman" w:hAnsi="Times New Roman" w:eastAsia="仿宋_GB2312" w:cs="Times New Roman"/>
          <w:color w:val="auto"/>
          <w:sz w:val="31"/>
          <w:szCs w:val="31"/>
          <w:shd w:val="clear" w:color="auto" w:fill="FFFFFF"/>
          <w:lang w:eastAsia="zh-CN"/>
        </w:rPr>
        <w:t>单位2024年按照医疗政策医疗缴费基数调整，导致行政事业单位医疗增长。</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卫生健康支出（类）行政事业单位医疗（款）公务员医疗补助（项）：支出决算数为8.40万元，比上年决算减少0.57万元，下降6.35%，主要原因是：</w:t>
      </w:r>
      <w:r>
        <w:rPr>
          <w:rFonts w:hint="eastAsia" w:ascii="Times New Roman" w:hAnsi="Times New Roman" w:eastAsia="仿宋_GB2312" w:cs="Times New Roman"/>
          <w:color w:val="auto"/>
          <w:sz w:val="31"/>
          <w:szCs w:val="31"/>
          <w:shd w:val="clear" w:color="auto" w:fill="FFFFFF"/>
          <w:lang w:eastAsia="zh-CN"/>
        </w:rPr>
        <w:t>2024年因公务人员变动，按照医疗政策医疗缴费基数调整，导致行政事业单位公务员医疗补助增加。</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农林水支出（类）巩固脱贫攻坚成果衔接乡村振兴（款）生产发展（项）：支出决算数为909.26万元，比上年决算减少42.74万元，下降4.49%，主要原因是：</w:t>
      </w:r>
      <w:r>
        <w:rPr>
          <w:rFonts w:hint="eastAsia" w:ascii="Times New Roman" w:hAnsi="Times New Roman" w:eastAsia="仿宋_GB2312" w:cs="Times New Roman"/>
          <w:color w:val="auto"/>
          <w:sz w:val="31"/>
          <w:szCs w:val="31"/>
          <w:shd w:val="clear" w:color="auto" w:fill="FFFFFF"/>
          <w:lang w:eastAsia="zh-CN"/>
        </w:rPr>
        <w:t>2024年未安排乡村振兴项目资金。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农林水支出（类）巩固脱贫攻坚成果衔接乡村振兴（款）其他巩固脱贫攻坚成果衔接乡村振兴支出（项）：支出决算数为20.31万元，比上年决算减少3.01万元，下降12.91%，主要原因是：</w:t>
      </w:r>
      <w:r>
        <w:rPr>
          <w:rFonts w:hint="eastAsia" w:ascii="Times New Roman" w:hAnsi="Times New Roman" w:eastAsia="仿宋_GB2312" w:cs="Times New Roman"/>
          <w:color w:val="auto"/>
          <w:sz w:val="31"/>
          <w:szCs w:val="31"/>
          <w:shd w:val="clear" w:color="auto" w:fill="FFFFFF"/>
          <w:lang w:eastAsia="zh-CN"/>
        </w:rPr>
        <w:t>本单位按照上级文件要求、调整乡村振兴专干、相应的人员补助经费也减少。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农林水支出（类）农村综合改革（款）对村级公益事业建设的补助（项）：支出决算数为132.50万元，比上年决算增加108.26万元，增长446.62%，主要原因是：对村级公益事业建设的补助</w:t>
      </w:r>
      <w:r>
        <w:rPr>
          <w:rFonts w:hint="eastAsia" w:ascii="Times New Roman" w:hAnsi="Times New Roman" w:eastAsia="仿宋_GB2312" w:cs="Times New Roman"/>
          <w:color w:val="auto"/>
          <w:sz w:val="31"/>
          <w:szCs w:val="31"/>
          <w:shd w:val="clear" w:color="auto" w:fill="FFFFFF"/>
          <w:lang w:eastAsia="zh-CN"/>
        </w:rPr>
        <w:t>项目增加。</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农林水支出（类）农村综合改革（款）对村民委员会和村党支部的补助（项）：支出决算数为72.91万元，比上年决算减少205.04万元，下降73.77%，主要原因是：</w:t>
      </w:r>
      <w:r>
        <w:rPr>
          <w:rFonts w:hint="eastAsia" w:ascii="Times New Roman" w:hAnsi="Times New Roman" w:eastAsia="仿宋_GB2312" w:cs="Times New Roman"/>
          <w:color w:val="auto"/>
          <w:sz w:val="31"/>
          <w:szCs w:val="31"/>
          <w:shd w:val="clear" w:color="auto" w:fill="FFFFFF"/>
          <w:lang w:eastAsia="zh-CN"/>
        </w:rPr>
        <w:t>2024年村两委人员工资及非村两委报酬一卡通系统进行发放，因2024年减少农村综合改革村民委员会和村党支部的补助。</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农林水支出（类）目标价格补贴（款）棉花目标价格补贴（项）：支出决算数为0.00万元，比上年决算1,498.93万元，下降100.00%，主要原因是：</w:t>
      </w:r>
      <w:r>
        <w:rPr>
          <w:rFonts w:hint="eastAsia" w:ascii="Times New Roman" w:hAnsi="Times New Roman" w:eastAsia="仿宋_GB2312" w:cs="Times New Roman"/>
          <w:color w:val="auto"/>
          <w:sz w:val="31"/>
          <w:szCs w:val="31"/>
          <w:shd w:val="clear" w:color="auto" w:fill="FFFFFF"/>
          <w:lang w:eastAsia="zh-CN"/>
        </w:rPr>
        <w:t>2024年棉花目标价格补贴未通过财政大平台发放而通过一卡通系统进行发放、相应经费减少。</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住房保障支出（类）住房改革支出（款）住房公积金（项）：支出决算数为128.27万元，比上年决算减少4.32万元，下降3.26%，主要原因是：</w:t>
      </w:r>
      <w:r>
        <w:rPr>
          <w:rFonts w:hint="eastAsia" w:ascii="Times New Roman" w:hAnsi="Times New Roman" w:eastAsia="仿宋_GB2312" w:cs="Times New Roman"/>
          <w:color w:val="auto"/>
          <w:sz w:val="31"/>
          <w:szCs w:val="31"/>
          <w:shd w:val="clear" w:color="auto" w:fill="FFFFFF"/>
          <w:lang w:eastAsia="zh-CN"/>
        </w:rPr>
        <w:t>在职人员住房公积金基数调整原因比上年决算增加。</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其他支出（类）其他支出（款）其他支出（项）：支出决算数为70.28万元，比上年决算减少32.62万元，下31.70%，主要原因是：</w:t>
      </w:r>
      <w:r>
        <w:rPr>
          <w:rFonts w:hint="eastAsia" w:ascii="Times New Roman" w:hAnsi="Times New Roman" w:eastAsia="仿宋_GB2312" w:cs="Times New Roman"/>
          <w:color w:val="auto"/>
          <w:sz w:val="31"/>
          <w:szCs w:val="31"/>
          <w:shd w:val="clear" w:color="auto" w:fill="FFFFFF"/>
          <w:lang w:eastAsia="zh-CN"/>
        </w:rPr>
        <w:t>2024年减少预算安排村级组织活动场所建设项目资金。</w:t>
      </w:r>
    </w:p>
    <w:p>
      <w:pPr>
        <w:keepNext w:val="0"/>
        <w:keepLines w:val="0"/>
        <w:pageBreakBefore w:val="0"/>
        <w:numPr>
          <w:ilvl w:val="0"/>
          <w:numId w:val="0"/>
        </w:numPr>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六、一般公共预算财政拨款基本支出决算情况说明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2024年度一般公共预算财政拨款基本支出2,157.99万元，其中：人员经费1,809.74万元，包括：基本工资、津贴补贴、奖金、机关事业单位基本养老保险缴费、职业年金缴费、职工基本医疗保险缴费、公务员医疗补助缴费、其他社会保障缴费、住房公积金、医疗费、其他工资福利支出、退休费、生活补助和救济费。</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公用经费348.26万元，包括：办公费、印刷费、水费、电费、邮电费、取暖费、差旅费、维修（护）费、培训费、劳务费、工会经费、福利费和公务用车运行维护费。</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七、政府性基金预算财政拨款收入支出决算情况说明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2024年度政府性基金预算财政拨款收入总计176.42万元，其中：年初结转和结余0.00万元，本年收入176.42万元。政府性基金预算财政拨款支出总计176.42万元，其中：年末结转和结余0.00万元，本年支出176.42万元。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政府性基金预算财政拨款收入支出总体与上年相比，增加159.43万元，增长938.38%，</w:t>
      </w:r>
      <w:r>
        <w:rPr>
          <w:rFonts w:hint="default" w:ascii="Times New Roman" w:hAnsi="Times New Roman" w:eastAsia="仿宋_GB2312" w:cs="Times New Roman"/>
          <w:color w:val="auto"/>
          <w:sz w:val="31"/>
          <w:szCs w:val="31"/>
          <w:highlight w:val="none"/>
          <w:shd w:val="clear" w:color="auto" w:fill="FFFFFF"/>
          <w:lang w:eastAsia="zh-CN"/>
        </w:rPr>
        <w:t>主要原因是：</w:t>
      </w:r>
      <w:r>
        <w:rPr>
          <w:rFonts w:hint="eastAsia" w:ascii="Times New Roman" w:hAnsi="Times New Roman" w:eastAsia="仿宋_GB2312" w:cs="Times New Roman"/>
          <w:color w:val="auto"/>
          <w:sz w:val="31"/>
          <w:szCs w:val="31"/>
          <w:highlight w:val="none"/>
          <w:shd w:val="clear" w:color="auto" w:fill="FFFFFF"/>
          <w:lang w:val="en-US" w:eastAsia="zh-CN"/>
        </w:rPr>
        <w:t>今年新增基建投资项目</w:t>
      </w:r>
      <w:r>
        <w:rPr>
          <w:rFonts w:hint="default" w:ascii="Times New Roman" w:hAnsi="Times New Roman" w:eastAsia="仿宋_GB2312" w:cs="Times New Roman"/>
          <w:color w:val="auto"/>
          <w:sz w:val="31"/>
          <w:szCs w:val="31"/>
          <w:highlight w:val="none"/>
          <w:shd w:val="clear" w:color="auto" w:fill="FFFFFF"/>
          <w:lang w:eastAsia="zh-CN"/>
        </w:rPr>
        <w:t>。与年初预算相比，年初预算数</w:t>
      </w:r>
      <w:r>
        <w:rPr>
          <w:rFonts w:hint="default" w:ascii="Times New Roman" w:hAnsi="Times New Roman" w:eastAsia="仿宋_GB2312" w:cs="Times New Roman"/>
          <w:color w:val="auto"/>
          <w:sz w:val="31"/>
          <w:szCs w:val="31"/>
          <w:shd w:val="clear" w:color="auto" w:fill="FFFFFF"/>
          <w:lang w:eastAsia="zh-CN"/>
        </w:rPr>
        <w:t>0.00万元，决算数176.42万元，预决算差异率100%，主要原因是：</w:t>
      </w:r>
      <w:r>
        <w:rPr>
          <w:rFonts w:hint="eastAsia" w:ascii="Times New Roman" w:hAnsi="Times New Roman" w:eastAsia="仿宋_GB2312" w:cs="Times New Roman"/>
          <w:color w:val="auto"/>
          <w:sz w:val="31"/>
          <w:szCs w:val="31"/>
          <w:shd w:val="clear" w:color="auto" w:fill="FFFFFF"/>
          <w:lang w:eastAsia="zh-CN"/>
        </w:rPr>
        <w:t>年末结转和结余0万元，本年支出176.42万元</w:t>
      </w:r>
      <w:r>
        <w:rPr>
          <w:rFonts w:hint="default" w:ascii="Times New Roman" w:hAnsi="Times New Roman" w:eastAsia="仿宋_GB2312" w:cs="Times New Roman"/>
          <w:color w:val="auto"/>
          <w:sz w:val="31"/>
          <w:szCs w:val="31"/>
          <w:shd w:val="clear" w:color="auto" w:fill="FFFFFF"/>
          <w:lang w:eastAsia="zh-CN"/>
        </w:rPr>
        <w:t>。</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政府性基金预算财政拨款支出176.42万元。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城乡社区支出（类）国有土地使用权出让收入安排的支出（款）农村基础设施建设支出（项）：支出决算数为176.42万元，比上年决算增加176.42万元，增长100.00%，主要原因是：</w:t>
      </w:r>
      <w:r>
        <w:rPr>
          <w:rFonts w:hint="eastAsia" w:ascii="Times New Roman" w:hAnsi="Times New Roman" w:eastAsia="仿宋_GB2312" w:cs="Times New Roman"/>
          <w:color w:val="auto"/>
          <w:sz w:val="31"/>
          <w:szCs w:val="31"/>
          <w:shd w:val="clear" w:color="auto" w:fill="FFFFFF"/>
          <w:lang w:eastAsia="zh-CN"/>
        </w:rPr>
        <w:t>项目资金增加</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仿宋_GB2312" w:cs="Times New Roman"/>
          <w:color w:val="auto"/>
          <w:sz w:val="31"/>
          <w:szCs w:val="31"/>
          <w:highlight w:val="none"/>
          <w:shd w:val="clear" w:color="auto" w:fill="FFFFFF"/>
          <w:lang w:eastAsia="zh-CN"/>
        </w:rPr>
      </w:pPr>
      <w:r>
        <w:rPr>
          <w:rFonts w:hint="default" w:ascii="Times New Roman" w:hAnsi="Times New Roman" w:eastAsia="仿宋_GB2312" w:cs="Times New Roman"/>
          <w:color w:val="auto"/>
          <w:sz w:val="31"/>
          <w:szCs w:val="31"/>
          <w:shd w:val="clear" w:color="auto" w:fill="FFFFFF"/>
          <w:lang w:eastAsia="zh-CN"/>
        </w:rPr>
        <w:t>城乡社区支出（类）国有土地使用权出让收入安排的支出（款）其他国有土地使用权出让收入安排的支出（项）：支出决算数</w:t>
      </w:r>
      <w:r>
        <w:rPr>
          <w:rFonts w:hint="default" w:ascii="Times New Roman" w:hAnsi="Times New Roman" w:eastAsia="仿宋_GB2312" w:cs="Times New Roman"/>
          <w:color w:val="auto"/>
          <w:sz w:val="31"/>
          <w:szCs w:val="31"/>
          <w:highlight w:val="none"/>
          <w:shd w:val="clear" w:color="auto" w:fill="FFFFFF"/>
          <w:lang w:eastAsia="zh-CN"/>
        </w:rPr>
        <w:t>为0.00万元，比上年决算减少16.99万元，下降100.00%，主要原因是：</w:t>
      </w:r>
      <w:r>
        <w:rPr>
          <w:rFonts w:hint="eastAsia" w:ascii="Times New Roman" w:hAnsi="Times New Roman" w:eastAsia="仿宋_GB2312" w:cs="Times New Roman"/>
          <w:color w:val="auto"/>
          <w:sz w:val="31"/>
          <w:szCs w:val="31"/>
          <w:highlight w:val="none"/>
          <w:shd w:val="clear" w:color="auto" w:fill="FFFFFF"/>
          <w:lang w:val="en-US" w:eastAsia="zh-CN"/>
        </w:rPr>
        <w:t>今年未安排此类项目。</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八、国有资本经营预算财政拨款收入支出决算情况说明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2024年度国有资本经营预算财政拨款收入总计0.31万元，其中：年初结转和结余0.00万元，本年收入0.31万元。国有资本经营预算财政拨款支出总计0.31万元，其中：年末结转和结余0.00万元，本年支出0.31万元。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国有资本经营预算财政拨款收入支出总体与上年相比，减少0.49万元，下降61.25%，主要原因是：2024年减少国有企业退休人员社会化管理补助</w:t>
      </w:r>
      <w:r>
        <w:rPr>
          <w:rFonts w:hint="eastAsia" w:ascii="Times New Roman" w:hAnsi="Times New Roman" w:eastAsia="方正仿宋_GBK" w:cs="Times New Roman"/>
          <w:color w:val="auto"/>
          <w:sz w:val="31"/>
          <w:szCs w:val="31"/>
        </w:rPr>
        <w:t>资金</w:t>
      </w:r>
      <w:r>
        <w:rPr>
          <w:rFonts w:hint="default" w:ascii="Times New Roman" w:hAnsi="Times New Roman" w:eastAsia="方正仿宋_GBK" w:cs="Times New Roman"/>
          <w:color w:val="auto"/>
          <w:sz w:val="31"/>
          <w:szCs w:val="31"/>
        </w:rPr>
        <w:t>。与年初预算相比，年初预算数0.00万元，决算数0.31万元，预决算差异率100%，主要原因是：</w:t>
      </w:r>
      <w:r>
        <w:rPr>
          <w:rFonts w:hint="eastAsia" w:ascii="Times New Roman" w:hAnsi="Times New Roman" w:eastAsia="方正仿宋_GBK" w:cs="Times New Roman"/>
          <w:color w:val="auto"/>
          <w:sz w:val="31"/>
          <w:szCs w:val="31"/>
        </w:rPr>
        <w:t>2024年未完成国有企业退休人员社会化管理补助资金预订支付进度</w:t>
      </w:r>
      <w:r>
        <w:rPr>
          <w:rFonts w:hint="default" w:ascii="Times New Roman" w:hAnsi="Times New Roman" w:eastAsia="方正仿宋_GBK" w:cs="Times New Roman"/>
          <w:color w:val="auto"/>
          <w:sz w:val="31"/>
          <w:szCs w:val="31"/>
        </w:rPr>
        <w:t>。</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国有资本经营预算财政拨款支出0.31万元。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国有资本经营预算支出（类）解决历史遗留问题及改革成本支出（款）国有企业退休人员社会化管理补助支出（项）：支出决算数为0.31万元，比上年决算减少0.49万元，下降61.25%，主要原因是：</w:t>
      </w:r>
      <w:r>
        <w:rPr>
          <w:rFonts w:hint="eastAsia" w:ascii="Times New Roman" w:hAnsi="Times New Roman" w:eastAsia="方正仿宋_GBK" w:cs="Times New Roman"/>
          <w:color w:val="auto"/>
          <w:sz w:val="31"/>
          <w:szCs w:val="31"/>
        </w:rPr>
        <w:t>2024年未完成国有企业退休人员社会化管理补助资金预订支付进度</w:t>
      </w:r>
      <w:r>
        <w:rPr>
          <w:rFonts w:hint="default" w:ascii="Times New Roman" w:hAnsi="Times New Roman" w:eastAsia="方正仿宋_GBK" w:cs="Times New Roman"/>
          <w:color w:val="auto"/>
          <w:sz w:val="31"/>
          <w:szCs w:val="31"/>
        </w:rPr>
        <w:t>。</w:t>
      </w:r>
    </w:p>
    <w:p>
      <w:pPr>
        <w:keepNext w:val="0"/>
        <w:keepLines w:val="0"/>
        <w:pageBreakBefore w:val="0"/>
        <w:numPr>
          <w:ilvl w:val="0"/>
          <w:numId w:val="0"/>
        </w:numPr>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九、财政拨款“三公”经费支出决算情况说明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lang w:eastAsia="zh-CN"/>
        </w:rPr>
      </w:pPr>
      <w:r>
        <w:rPr>
          <w:rFonts w:hint="default" w:ascii="Times New Roman" w:hAnsi="Times New Roman" w:eastAsia="方正仿宋_GBK" w:cs="Times New Roman"/>
          <w:color w:val="auto"/>
          <w:sz w:val="31"/>
          <w:szCs w:val="31"/>
        </w:rPr>
        <w:t>2024年度财政拨款“三公”经费支出19.13万元，与上年相比无变化，主要原因是：</w:t>
      </w:r>
      <w:r>
        <w:rPr>
          <w:rFonts w:hint="eastAsia" w:ascii="Times New Roman" w:hAnsi="Times New Roman" w:eastAsia="方正仿宋_GBK" w:cs="Times New Roman"/>
          <w:color w:val="auto"/>
          <w:sz w:val="31"/>
          <w:szCs w:val="31"/>
        </w:rPr>
        <w:t>2024年度公务车辆维修及维护经费支出增加</w:t>
      </w:r>
      <w:r>
        <w:rPr>
          <w:rFonts w:hint="default" w:ascii="Times New Roman" w:hAnsi="Times New Roman" w:eastAsia="方正仿宋_GBK" w:cs="Times New Roman"/>
          <w:color w:val="auto"/>
          <w:sz w:val="31"/>
          <w:szCs w:val="31"/>
        </w:rPr>
        <w:t>。其中：因公出国（境）费支出0.00万元,占0.00%，与上年相比无变化，主要原因是：</w:t>
      </w:r>
      <w:r>
        <w:rPr>
          <w:rFonts w:hint="eastAsia" w:ascii="Times New Roman" w:hAnsi="Times New Roman" w:eastAsia="方正仿宋_GBK" w:cs="Times New Roman"/>
          <w:color w:val="auto"/>
          <w:sz w:val="31"/>
          <w:szCs w:val="31"/>
        </w:rPr>
        <w:t>2024年度公务车辆维修及维护经费支出增加</w:t>
      </w:r>
      <w:r>
        <w:rPr>
          <w:rFonts w:hint="default" w:ascii="Times New Roman" w:hAnsi="Times New Roman" w:eastAsia="方正仿宋_GBK" w:cs="Times New Roman"/>
          <w:color w:val="auto"/>
          <w:sz w:val="31"/>
          <w:szCs w:val="31"/>
        </w:rPr>
        <w:t>；公务用车购置及运行维护费支出19.13万元，占100.00%，与上年相比无变化，</w:t>
      </w:r>
      <w:r>
        <w:rPr>
          <w:rFonts w:hint="default" w:ascii="Times New Roman" w:hAnsi="Times New Roman" w:eastAsia="方正仿宋_GBK" w:cs="Times New Roman"/>
          <w:color w:val="auto"/>
          <w:sz w:val="31"/>
          <w:szCs w:val="31"/>
          <w:highlight w:val="none"/>
        </w:rPr>
        <w:t>主要原因是：</w:t>
      </w:r>
      <w:r>
        <w:rPr>
          <w:rFonts w:hint="eastAsia" w:ascii="Times New Roman" w:hAnsi="Times New Roman" w:eastAsia="方正仿宋_GBK" w:cs="Times New Roman"/>
          <w:color w:val="auto"/>
          <w:sz w:val="31"/>
          <w:szCs w:val="31"/>
          <w:highlight w:val="none"/>
          <w:lang w:val="en-US" w:eastAsia="zh-CN"/>
        </w:rPr>
        <w:t>加强车辆管理，严控车辆经费开支</w:t>
      </w:r>
      <w:r>
        <w:rPr>
          <w:rFonts w:hint="default" w:ascii="Times New Roman" w:hAnsi="Times New Roman" w:eastAsia="方正仿宋_GBK" w:cs="Times New Roman"/>
          <w:color w:val="auto"/>
          <w:sz w:val="31"/>
          <w:szCs w:val="31"/>
          <w:highlight w:val="none"/>
        </w:rPr>
        <w:t>；公务接待费支出0.0</w:t>
      </w:r>
      <w:r>
        <w:rPr>
          <w:rFonts w:hint="default" w:ascii="Times New Roman" w:hAnsi="Times New Roman" w:eastAsia="方正仿宋_GBK" w:cs="Times New Roman"/>
          <w:color w:val="auto"/>
          <w:sz w:val="31"/>
          <w:szCs w:val="31"/>
        </w:rPr>
        <w:t>0万元，占0.00%，与上年相比无变化</w:t>
      </w:r>
      <w:r>
        <w:rPr>
          <w:rFonts w:hint="eastAsia" w:ascii="Times New Roman" w:hAnsi="Times New Roman" w:eastAsia="方正仿宋_GBK" w:cs="Times New Roman"/>
          <w:color w:val="auto"/>
          <w:sz w:val="31"/>
          <w:szCs w:val="31"/>
          <w:lang w:eastAsia="zh-CN"/>
        </w:rPr>
        <w:t>。</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具体情况如下：</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因公出国（境）费支出0.00万元，开支内容包括。单位全年安排的因公出国（境）团组0个，因公出国（境）0人次。</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公务用车购置及运行维护费19.13万元，其中：公务用车购置费0.00万元，公务用车运行维护费19.13万元。公务用车运行维护费开支内容包括。公务用车购置数0辆，公务用车保有量8辆。国有资产占用情况中固定资产车辆16辆，与公务用车保有量差异原因是：</w:t>
      </w:r>
      <w:r>
        <w:rPr>
          <w:rFonts w:hint="eastAsia" w:ascii="Times New Roman" w:hAnsi="Times New Roman" w:eastAsia="方正仿宋_GBK" w:cs="Times New Roman"/>
          <w:color w:val="auto"/>
          <w:sz w:val="31"/>
          <w:szCs w:val="31"/>
          <w:lang w:eastAsia="zh-CN"/>
        </w:rPr>
        <w:t>因车辆包含各村社区警务车、机关事务管理局要求未办理移交手续的车辆</w:t>
      </w:r>
      <w:r>
        <w:rPr>
          <w:rFonts w:hint="default" w:ascii="Times New Roman" w:hAnsi="Times New Roman" w:eastAsia="方正仿宋_GBK" w:cs="Times New Roman"/>
          <w:color w:val="auto"/>
          <w:sz w:val="31"/>
          <w:szCs w:val="31"/>
        </w:rPr>
        <w:t>。</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公务接待费0.00万元，开支内容包括。单位全年安排的国内公务接待0批次，0人次。</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与全年预算相比，财政拨款“三公”经费支出全年预算数19.13万元，决算数19.13万元，预决算差异率0.00%，主要原因是：。其中：因公出国（境）费全年预算数0.00万元，决算数0.00万元，预决算差异率0.00%，主要原因是：</w:t>
      </w:r>
      <w:r>
        <w:rPr>
          <w:rFonts w:hint="eastAsia" w:ascii="Times New Roman" w:hAnsi="Times New Roman" w:eastAsia="方正仿宋_GBK" w:cs="Times New Roman"/>
          <w:color w:val="auto"/>
          <w:sz w:val="31"/>
          <w:szCs w:val="31"/>
          <w:lang w:eastAsia="zh-CN"/>
        </w:rPr>
        <w:t>认真贯彻落实中央八项规定精神和厉行节约要求，从严控制“三公”经费开支，全年实际支出和预算比有所节约、</w:t>
      </w:r>
      <w:r>
        <w:rPr>
          <w:rFonts w:hint="eastAsia" w:ascii="Times New Roman" w:hAnsi="Times New Roman" w:eastAsia="方正仿宋_GBK" w:cs="Times New Roman"/>
          <w:color w:val="auto"/>
          <w:sz w:val="31"/>
          <w:szCs w:val="31"/>
          <w:lang w:val="zh-CN" w:eastAsia="zh-CN"/>
        </w:rPr>
        <w:t>本单位无公务用车运行费</w:t>
      </w:r>
      <w:r>
        <w:rPr>
          <w:rFonts w:hint="eastAsia" w:ascii="Times New Roman" w:hAnsi="Times New Roman" w:eastAsia="方正仿宋_GBK" w:cs="Times New Roman"/>
          <w:color w:val="auto"/>
          <w:sz w:val="31"/>
          <w:szCs w:val="31"/>
          <w:lang w:eastAsia="zh-CN"/>
        </w:rPr>
        <w:t>预决算差异</w:t>
      </w:r>
      <w:r>
        <w:rPr>
          <w:rFonts w:hint="default" w:ascii="Times New Roman" w:hAnsi="Times New Roman" w:eastAsia="方正仿宋_GBK" w:cs="Times New Roman"/>
          <w:color w:val="auto"/>
          <w:sz w:val="31"/>
          <w:szCs w:val="31"/>
        </w:rPr>
        <w:t>。公务用车购置费全年预算数0.00万元，决算数0.00万元，预决算差异率0.00%，主要原因是：</w:t>
      </w:r>
      <w:r>
        <w:rPr>
          <w:rFonts w:hint="eastAsia" w:ascii="Times New Roman" w:hAnsi="Times New Roman" w:eastAsia="方正仿宋_GBK" w:cs="Times New Roman"/>
          <w:color w:val="auto"/>
          <w:sz w:val="31"/>
          <w:szCs w:val="31"/>
          <w:lang w:eastAsia="zh-CN"/>
        </w:rPr>
        <w:t>认真贯彻落实中央八项规定精神和厉行节约要求，从严控制“三公”经费开支，全年实际支出和预算比有所节约、</w:t>
      </w:r>
      <w:r>
        <w:rPr>
          <w:rFonts w:hint="eastAsia" w:ascii="Times New Roman" w:hAnsi="Times New Roman" w:eastAsia="方正仿宋_GBK" w:cs="Times New Roman"/>
          <w:color w:val="auto"/>
          <w:sz w:val="31"/>
          <w:szCs w:val="31"/>
          <w:lang w:val="zh-CN" w:eastAsia="zh-CN"/>
        </w:rPr>
        <w:t>本单位无公务用车运行费</w:t>
      </w:r>
      <w:r>
        <w:rPr>
          <w:rFonts w:hint="eastAsia" w:ascii="Times New Roman" w:hAnsi="Times New Roman" w:eastAsia="方正仿宋_GBK" w:cs="Times New Roman"/>
          <w:color w:val="auto"/>
          <w:sz w:val="31"/>
          <w:szCs w:val="31"/>
          <w:lang w:eastAsia="zh-CN"/>
        </w:rPr>
        <w:t>预决算差异</w:t>
      </w:r>
      <w:r>
        <w:rPr>
          <w:rFonts w:hint="default" w:ascii="Times New Roman" w:hAnsi="Times New Roman" w:eastAsia="方正仿宋_GBK" w:cs="Times New Roman"/>
          <w:color w:val="auto"/>
          <w:sz w:val="31"/>
          <w:szCs w:val="31"/>
        </w:rPr>
        <w:t>。公务用车运行维护费全年预算数19.13万元，决算数19.13万元，预决算差异率0.00%，主要原因是：</w:t>
      </w:r>
      <w:r>
        <w:rPr>
          <w:rFonts w:hint="eastAsia" w:ascii="Times New Roman" w:hAnsi="Times New Roman" w:eastAsia="方正仿宋_GBK" w:cs="Times New Roman"/>
          <w:color w:val="auto"/>
          <w:sz w:val="31"/>
          <w:szCs w:val="31"/>
          <w:lang w:eastAsia="zh-CN"/>
        </w:rPr>
        <w:t>本单位无</w:t>
      </w:r>
      <w:r>
        <w:rPr>
          <w:rFonts w:hint="default" w:ascii="Times New Roman" w:hAnsi="Times New Roman" w:eastAsia="方正仿宋_GBK" w:cs="Times New Roman"/>
          <w:color w:val="auto"/>
          <w:sz w:val="31"/>
          <w:szCs w:val="31"/>
          <w:lang w:eastAsia="zh-CN"/>
        </w:rPr>
        <w:t>公务用车购置费</w:t>
      </w:r>
      <w:r>
        <w:rPr>
          <w:rFonts w:hint="default" w:ascii="Times New Roman" w:hAnsi="Times New Roman" w:eastAsia="方正仿宋_GBK" w:cs="Times New Roman"/>
          <w:color w:val="auto"/>
          <w:sz w:val="31"/>
          <w:szCs w:val="31"/>
        </w:rPr>
        <w:t>。公务接待费全年预算数0.00万元，决算数0.00万元，预决算差异率0.00%，主要原因是：</w:t>
      </w:r>
      <w:r>
        <w:rPr>
          <w:rFonts w:hint="eastAsia" w:ascii="Times New Roman" w:hAnsi="Times New Roman" w:eastAsia="方正仿宋_GBK" w:cs="Times New Roman"/>
          <w:color w:val="auto"/>
          <w:sz w:val="31"/>
          <w:szCs w:val="31"/>
          <w:lang w:eastAsia="zh-CN"/>
        </w:rPr>
        <w:t>认真贯彻落实中央八项规定</w:t>
      </w:r>
      <w:bookmarkStart w:id="0" w:name="_GoBack"/>
      <w:bookmarkEnd w:id="0"/>
      <w:r>
        <w:rPr>
          <w:rFonts w:hint="eastAsia" w:ascii="Times New Roman" w:hAnsi="Times New Roman" w:eastAsia="方正仿宋_GBK" w:cs="Times New Roman"/>
          <w:color w:val="auto"/>
          <w:sz w:val="31"/>
          <w:szCs w:val="31"/>
          <w:lang w:eastAsia="zh-CN"/>
        </w:rPr>
        <w:t>精神和厉行节约要求，从严控制“三公”经费开支，全年实际支出和预算比有所节约、</w:t>
      </w:r>
      <w:r>
        <w:rPr>
          <w:rFonts w:hint="eastAsia" w:ascii="Times New Roman" w:hAnsi="Times New Roman" w:eastAsia="方正仿宋_GBK" w:cs="Times New Roman"/>
          <w:color w:val="auto"/>
          <w:sz w:val="31"/>
          <w:szCs w:val="31"/>
          <w:lang w:val="zh-CN" w:eastAsia="zh-CN"/>
        </w:rPr>
        <w:t>本单位无公务用车运行费</w:t>
      </w:r>
      <w:r>
        <w:rPr>
          <w:rFonts w:hint="eastAsia" w:ascii="Times New Roman" w:hAnsi="Times New Roman" w:eastAsia="方正仿宋_GBK" w:cs="Times New Roman"/>
          <w:color w:val="auto"/>
          <w:sz w:val="31"/>
          <w:szCs w:val="31"/>
          <w:lang w:eastAsia="zh-CN"/>
        </w:rPr>
        <w:t>预决算差异</w:t>
      </w:r>
      <w:r>
        <w:rPr>
          <w:rFonts w:hint="default" w:ascii="Times New Roman" w:hAnsi="Times New Roman" w:eastAsia="方正仿宋_GBK" w:cs="Times New Roman"/>
          <w:color w:val="auto"/>
          <w:sz w:val="31"/>
          <w:szCs w:val="31"/>
          <w:lang w:eastAsia="zh-CN"/>
        </w:rPr>
        <w:t>。公务接待费全年预算数0万元，决算数0万元，预决算差异率0%，主要原因是：</w:t>
      </w:r>
      <w:r>
        <w:rPr>
          <w:rFonts w:hint="eastAsia" w:ascii="Times New Roman" w:hAnsi="Times New Roman" w:eastAsia="方正仿宋_GBK" w:cs="Times New Roman"/>
          <w:color w:val="auto"/>
          <w:sz w:val="31"/>
          <w:szCs w:val="31"/>
          <w:lang w:eastAsia="zh-CN"/>
        </w:rPr>
        <w:t>本单位无</w:t>
      </w:r>
      <w:r>
        <w:rPr>
          <w:rFonts w:hint="eastAsia" w:ascii="Times New Roman" w:hAnsi="Times New Roman" w:eastAsia="方正仿宋_GBK" w:cs="Times New Roman"/>
          <w:color w:val="auto"/>
          <w:sz w:val="31"/>
          <w:szCs w:val="31"/>
          <w:lang w:val="zh-CN" w:eastAsia="zh-CN"/>
        </w:rPr>
        <w:t>公务接待费支出</w:t>
      </w:r>
      <w:r>
        <w:rPr>
          <w:rFonts w:hint="default" w:ascii="Times New Roman" w:hAnsi="Times New Roman" w:eastAsia="方正仿宋_GBK" w:cs="Times New Roman"/>
          <w:color w:val="auto"/>
          <w:sz w:val="31"/>
          <w:szCs w:val="31"/>
        </w:rPr>
        <w:t>。</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十、其他重要事项的情况说明</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2"/>
        <w:rPr>
          <w:rFonts w:ascii="仿宋_GB2312" w:eastAsia="仿宋_GB2312"/>
          <w:color w:val="auto"/>
          <w:sz w:val="32"/>
          <w:szCs w:val="32"/>
        </w:rPr>
      </w:pPr>
      <w:r>
        <w:rPr>
          <w:rFonts w:ascii="仿宋_GB2312" w:eastAsia="仿宋_GB2312"/>
          <w:b/>
          <w:color w:val="auto"/>
          <w:sz w:val="32"/>
          <w:szCs w:val="32"/>
        </w:rPr>
        <w:t>（一）机关运行经费及公用经费支出情况</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lang w:eastAsia="zh-CN"/>
        </w:rPr>
      </w:pPr>
      <w:r>
        <w:rPr>
          <w:rFonts w:hint="default" w:ascii="Times New Roman" w:hAnsi="Times New Roman" w:eastAsia="方正仿宋_GBK" w:cs="Times New Roman"/>
          <w:color w:val="auto"/>
          <w:sz w:val="31"/>
          <w:szCs w:val="31"/>
        </w:rPr>
        <w:t>2024年度库尔勒市上户镇人民政府单位机关运行经费支出348.26万元，比上年减少64.79万元，下降15.69%，主要原因是：</w:t>
      </w:r>
      <w:r>
        <w:rPr>
          <w:rFonts w:hint="eastAsia" w:ascii="Times New Roman" w:hAnsi="Times New Roman" w:eastAsia="方正仿宋_GBK" w:cs="Times New Roman"/>
          <w:color w:val="auto"/>
          <w:sz w:val="31"/>
          <w:szCs w:val="31"/>
        </w:rPr>
        <w:t>2024年</w:t>
      </w:r>
      <w:r>
        <w:rPr>
          <w:rFonts w:hint="eastAsia" w:ascii="Times New Roman" w:hAnsi="Times New Roman" w:eastAsia="方正仿宋_GBK" w:cs="Times New Roman"/>
          <w:color w:val="auto"/>
          <w:sz w:val="31"/>
          <w:szCs w:val="31"/>
          <w:lang w:eastAsia="zh-CN"/>
        </w:rPr>
        <w:t>上户镇</w:t>
      </w:r>
      <w:r>
        <w:rPr>
          <w:rFonts w:hint="eastAsia" w:ascii="Times New Roman" w:hAnsi="Times New Roman" w:eastAsia="方正仿宋_GBK" w:cs="Times New Roman"/>
          <w:color w:val="auto"/>
          <w:sz w:val="31"/>
          <w:szCs w:val="31"/>
        </w:rPr>
        <w:t>培训费，人大代表活动经费，第一数据为民办实事经费，福利费，水费和部分办公经费未完成年初预订支付进度</w:t>
      </w:r>
      <w:r>
        <w:rPr>
          <w:rFonts w:hint="default" w:ascii="Times New Roman" w:hAnsi="Times New Roman" w:eastAsia="方正仿宋_GBK" w:cs="Times New Roman"/>
          <w:color w:val="auto"/>
          <w:sz w:val="31"/>
          <w:szCs w:val="31"/>
        </w:rPr>
        <w:t>。</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2"/>
        <w:rPr>
          <w:rFonts w:ascii="仿宋_GB2312" w:eastAsia="仿宋_GB2312"/>
          <w:color w:val="auto"/>
          <w:sz w:val="32"/>
          <w:szCs w:val="32"/>
        </w:rPr>
      </w:pPr>
      <w:r>
        <w:rPr>
          <w:rFonts w:ascii="仿宋_GB2312" w:eastAsia="仿宋_GB2312"/>
          <w:b/>
          <w:color w:val="auto"/>
          <w:sz w:val="32"/>
          <w:szCs w:val="32"/>
        </w:rPr>
        <w:t>（二）政府采购情况</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2024年度政府采购支出总额315.53万元，其中：政府采购货物支出1.85万元、政府采购工程支出304.00万元、政府采购服务支出9.68万元。</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ascii="仿宋_GB2312" w:eastAsia="仿宋_GB2312"/>
          <w:color w:val="auto"/>
          <w:sz w:val="32"/>
          <w:szCs w:val="32"/>
        </w:rPr>
      </w:pPr>
      <w:r>
        <w:rPr>
          <w:rFonts w:hint="default" w:ascii="Times New Roman" w:hAnsi="Times New Roman" w:eastAsia="方正仿宋_GBK" w:cs="Times New Roman"/>
          <w:color w:val="auto"/>
          <w:sz w:val="31"/>
          <w:szCs w:val="31"/>
        </w:rPr>
        <w:t>授予中小企业合同金额315.53万元，占政府采购支出总额的100.00%，其中：授予小微企业合同金额315.53万元，占政府采购支出总额的100.00%。</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2"/>
        <w:rPr>
          <w:rFonts w:ascii="仿宋_GB2312" w:eastAsia="仿宋_GB2312"/>
          <w:color w:val="auto"/>
          <w:sz w:val="32"/>
          <w:szCs w:val="32"/>
        </w:rPr>
      </w:pPr>
      <w:r>
        <w:rPr>
          <w:rFonts w:ascii="仿宋_GB2312" w:eastAsia="仿宋_GB2312"/>
          <w:b/>
          <w:color w:val="auto"/>
          <w:sz w:val="32"/>
          <w:szCs w:val="32"/>
        </w:rPr>
        <w:t>（三）国有资产占用情况说明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default" w:ascii="Times New Roman" w:hAnsi="Times New Roman" w:eastAsia="方正仿宋_GBK" w:cs="Times New Roman"/>
          <w:color w:val="auto"/>
          <w:sz w:val="31"/>
          <w:szCs w:val="31"/>
        </w:rPr>
        <w:t>截至2024年12月31日，房屋25,160.00平方米，价值756.29万元。车辆16辆，价值127.27万元，其中：副部（省）级及以上领导用车0辆、主要负责人用车0辆、机要通信用车0辆、应急保障用车0辆、执法执勤用车8辆、特种专业技术用车0辆、离退休干部服务用车0辆、其他用车8辆，其他用车主要是：单价100万元（含）以上设备（不含车辆）1台（套）。</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十一、预算绩效的情况说明</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eastAsia" w:ascii="Times New Roman" w:hAnsi="Times New Roman" w:eastAsia="方正仿宋_GBK" w:cs="Times New Roman"/>
          <w:color w:val="auto"/>
          <w:sz w:val="31"/>
          <w:szCs w:val="31"/>
          <w:lang w:eastAsia="zh-CN"/>
        </w:rPr>
        <w:t>根据预算绩效管理要求，我部门2024年度</w:t>
      </w:r>
      <w:r>
        <w:rPr>
          <w:rFonts w:hint="eastAsia" w:ascii="Times New Roman" w:hAnsi="Times New Roman" w:eastAsia="方正仿宋_GBK" w:cs="Times New Roman"/>
          <w:color w:val="auto"/>
          <w:sz w:val="31"/>
          <w:szCs w:val="31"/>
        </w:rPr>
        <w:t>预算绩效管理整体</w:t>
      </w:r>
      <w:r>
        <w:rPr>
          <w:rFonts w:hint="eastAsia" w:ascii="Times New Roman" w:hAnsi="Times New Roman" w:eastAsia="方正仿宋_GBK" w:cs="Times New Roman"/>
          <w:color w:val="auto"/>
          <w:sz w:val="31"/>
          <w:szCs w:val="31"/>
          <w:lang w:eastAsia="zh-CN"/>
        </w:rPr>
        <w:t>支出</w:t>
      </w:r>
      <w:r>
        <w:rPr>
          <w:rFonts w:hint="eastAsia" w:ascii="Times New Roman" w:hAnsi="Times New Roman" w:eastAsia="方正仿宋_GBK" w:cs="Times New Roman"/>
          <w:color w:val="auto"/>
          <w:sz w:val="31"/>
          <w:szCs w:val="31"/>
        </w:rPr>
        <w:t>绩效自评表</w:t>
      </w:r>
      <w:r>
        <w:rPr>
          <w:rFonts w:hint="eastAsia" w:ascii="Times New Roman" w:hAnsi="Times New Roman" w:eastAsia="方正仿宋_GBK" w:cs="Times New Roman"/>
          <w:color w:val="auto"/>
          <w:sz w:val="31"/>
          <w:szCs w:val="31"/>
          <w:lang w:eastAsia="zh-CN"/>
        </w:rPr>
        <w:t>1个，全年预算总额</w:t>
      </w:r>
      <w:r>
        <w:rPr>
          <w:rFonts w:hint="default" w:ascii="Times New Roman" w:hAnsi="Times New Roman" w:eastAsia="方正仿宋_GBK" w:cs="Times New Roman"/>
          <w:color w:val="auto"/>
          <w:sz w:val="31"/>
          <w:szCs w:val="31"/>
        </w:rPr>
        <w:t>3446.64</w:t>
      </w:r>
      <w:r>
        <w:rPr>
          <w:rFonts w:hint="eastAsia" w:ascii="Times New Roman" w:hAnsi="Times New Roman" w:eastAsia="方正仿宋_GBK" w:cs="Times New Roman"/>
          <w:color w:val="auto"/>
          <w:sz w:val="31"/>
          <w:szCs w:val="31"/>
        </w:rPr>
        <w:t>万元</w:t>
      </w:r>
      <w:r>
        <w:rPr>
          <w:rFonts w:hint="eastAsia" w:ascii="Times New Roman" w:hAnsi="Times New Roman" w:eastAsia="方正仿宋_GBK" w:cs="Times New Roman"/>
          <w:color w:val="auto"/>
          <w:sz w:val="31"/>
          <w:szCs w:val="31"/>
          <w:lang w:eastAsia="zh-CN"/>
        </w:rPr>
        <w:t>，实际执行总额</w:t>
      </w:r>
      <w:r>
        <w:rPr>
          <w:rFonts w:hint="default" w:ascii="Times New Roman" w:hAnsi="Times New Roman" w:eastAsia="方正仿宋_GBK" w:cs="Times New Roman"/>
          <w:color w:val="auto"/>
          <w:sz w:val="31"/>
          <w:szCs w:val="31"/>
        </w:rPr>
        <w:t>3446.64</w:t>
      </w:r>
      <w:r>
        <w:rPr>
          <w:rFonts w:hint="eastAsia" w:ascii="Times New Roman" w:hAnsi="Times New Roman" w:eastAsia="方正仿宋_GBK" w:cs="Times New Roman"/>
          <w:color w:val="auto"/>
          <w:sz w:val="31"/>
          <w:szCs w:val="31"/>
        </w:rPr>
        <w:t>万元</w:t>
      </w:r>
      <w:r>
        <w:rPr>
          <w:rFonts w:hint="eastAsia" w:ascii="Times New Roman" w:hAnsi="Times New Roman" w:eastAsia="方正仿宋_GBK" w:cs="Times New Roman"/>
          <w:color w:val="auto"/>
          <w:sz w:val="31"/>
          <w:szCs w:val="31"/>
          <w:lang w:eastAsia="zh-CN"/>
        </w:rPr>
        <w:t>；预算绩效评价项目1</w:t>
      </w:r>
      <w:r>
        <w:rPr>
          <w:rFonts w:hint="eastAsia" w:ascii="Times New Roman" w:hAnsi="Times New Roman" w:eastAsia="方正仿宋_GBK" w:cs="Times New Roman"/>
          <w:color w:val="auto"/>
          <w:sz w:val="31"/>
          <w:szCs w:val="31"/>
          <w:lang w:val="en-US" w:eastAsia="zh-CN"/>
        </w:rPr>
        <w:t>1</w:t>
      </w:r>
      <w:r>
        <w:rPr>
          <w:rFonts w:hint="eastAsia" w:ascii="Times New Roman" w:hAnsi="Times New Roman" w:eastAsia="方正仿宋_GBK" w:cs="Times New Roman"/>
          <w:color w:val="auto"/>
          <w:sz w:val="31"/>
          <w:szCs w:val="31"/>
          <w:lang w:eastAsia="zh-CN"/>
        </w:rPr>
        <w:t>个，全年预算数</w:t>
      </w:r>
      <w:r>
        <w:rPr>
          <w:rFonts w:hint="eastAsia" w:ascii="Times New Roman" w:hAnsi="Times New Roman" w:eastAsia="方正仿宋_GBK" w:cs="Times New Roman"/>
          <w:color w:val="auto"/>
          <w:sz w:val="31"/>
          <w:szCs w:val="31"/>
          <w:lang w:val="en-US" w:eastAsia="zh-CN"/>
        </w:rPr>
        <w:t>249.76</w:t>
      </w:r>
      <w:r>
        <w:rPr>
          <w:rFonts w:hint="eastAsia" w:ascii="Times New Roman" w:hAnsi="Times New Roman" w:eastAsia="方正仿宋_GBK" w:cs="Times New Roman"/>
          <w:color w:val="auto"/>
          <w:sz w:val="31"/>
          <w:szCs w:val="31"/>
        </w:rPr>
        <w:t>万元</w:t>
      </w:r>
      <w:r>
        <w:rPr>
          <w:rFonts w:hint="eastAsia" w:ascii="Times New Roman" w:hAnsi="Times New Roman" w:eastAsia="方正仿宋_GBK" w:cs="Times New Roman"/>
          <w:color w:val="auto"/>
          <w:sz w:val="31"/>
          <w:szCs w:val="31"/>
          <w:lang w:eastAsia="zh-CN"/>
        </w:rPr>
        <w:t>，全年执行数</w:t>
      </w:r>
      <w:r>
        <w:rPr>
          <w:rFonts w:hint="eastAsia" w:ascii="Times New Roman" w:hAnsi="Times New Roman" w:eastAsia="方正仿宋_GBK" w:cs="Times New Roman"/>
          <w:color w:val="auto"/>
          <w:sz w:val="31"/>
          <w:szCs w:val="31"/>
          <w:lang w:val="en-US" w:eastAsia="zh-CN"/>
        </w:rPr>
        <w:t>177.32</w:t>
      </w:r>
      <w:r>
        <w:rPr>
          <w:rFonts w:hint="eastAsia" w:ascii="Times New Roman" w:hAnsi="Times New Roman" w:eastAsia="方正仿宋_GBK" w:cs="Times New Roman"/>
          <w:color w:val="auto"/>
          <w:sz w:val="31"/>
          <w:szCs w:val="31"/>
        </w:rPr>
        <w:t>万元</w:t>
      </w:r>
      <w:r>
        <w:rPr>
          <w:rFonts w:hint="eastAsia" w:ascii="Times New Roman" w:hAnsi="Times New Roman" w:eastAsia="方正仿宋_GBK" w:cs="Times New Roman"/>
          <w:color w:val="auto"/>
          <w:sz w:val="31"/>
          <w:szCs w:val="31"/>
          <w:lang w:eastAsia="zh-CN"/>
        </w:rPr>
        <w:t>。预算绩效管理取得的成效：</w:t>
      </w:r>
      <w:r>
        <w:rPr>
          <w:rFonts w:hint="eastAsia" w:ascii="Times New Roman" w:hAnsi="Times New Roman" w:eastAsia="方正仿宋_GBK" w:cs="Times New Roman"/>
          <w:color w:val="auto"/>
          <w:sz w:val="31"/>
          <w:szCs w:val="31"/>
        </w:rPr>
        <w:t>一是客观资料采集和预测。绩效监控工作组每年于监控节点前10日对资料进行客观、全面地收集，从而真实、准确地反映项目执行的实际情况和取得的结果,对可能达到的结果和完成目标进行科学、合理的预测分析。通过实地调研，开展基础数据收集和社会调查工作，围绕指标展开，确保调研的有效性和数据的真实性。实地调研主要是将项目的资金流和业务流梳理清楚,首先是对资金的收支进行梳理,包括资金来源、预算安排、实际到位和实际使用资金量、资金使用明细等内容。其次是对业务流的梳理。业务流的梳理主要体现在对每一个指标的实际值进行收集,确认好每一个指标对应的实际值之后,将实际值与目标值进行比较,反映跟踪阶段资金管理情况、管项目执行与计划完成的偏差情况、项目效果与预期偏差情况等。二是分析实施偏差和项目完成可能性从经费保障、制度保障、人员保障、硬件条件保障及其他方面进行偏差原因分析，找出实际的、根本的原因。在此基础上,根据前期的实施情况,结合后期的实施计划,对完成可能性进行分析。三是形成绩效跟踪监控报告为了让财政部门、主管部门和实施单位对绩效跟踪的结果有更全面的了解,我单位通过报告的形式形成绩效跟踪评价的结论。每年两份报告，分别为6月监控报告和年底监控报告。四是结果应用绩效监控能够使财政部门和预算单位动态地了解项目进展，及时掌握项目实施过程与项目目标之间的偏差。对于经各方确认的监控意见或建议,我单位会及时汇报财政部门，协同敦促实施单位抓紧落实整改的措施和时间表;对于偏差较大、项目明显偏离计划轨道的，按照预算管理的相关规定进入预算调整程序。</w:t>
      </w:r>
      <w:r>
        <w:rPr>
          <w:rFonts w:hint="eastAsia" w:ascii="Times New Roman" w:hAnsi="Times New Roman" w:eastAsia="方正仿宋_GBK" w:cs="Times New Roman"/>
          <w:color w:val="auto"/>
          <w:sz w:val="31"/>
          <w:szCs w:val="31"/>
          <w:lang w:eastAsia="zh-CN"/>
        </w:rPr>
        <w:t>发现的问题及原因：</w:t>
      </w:r>
      <w:r>
        <w:rPr>
          <w:rFonts w:hint="eastAsia" w:ascii="Times New Roman" w:hAnsi="Times New Roman" w:eastAsia="方正仿宋_GBK" w:cs="Times New Roman"/>
          <w:color w:val="auto"/>
          <w:sz w:val="31"/>
          <w:szCs w:val="31"/>
        </w:rPr>
        <w:t>一是管理中我单位存在公用经费资金紧缺的问题，原因为我单位有分校，人员和物资都需要分地安排，因此导致经费短缺的情况。二是实际实施项目时，往往会由于一些客观因素，如拨款时间、相关政府部门的审批环节，其它条件限制等等，导致项目不能按时完成</w:t>
      </w:r>
      <w:r>
        <w:rPr>
          <w:rFonts w:hint="eastAsia" w:ascii="Times New Roman" w:hAnsi="Times New Roman" w:eastAsia="方正仿宋_GBK" w:cs="Times New Roman"/>
          <w:color w:val="auto"/>
          <w:sz w:val="31"/>
          <w:szCs w:val="31"/>
          <w:lang w:eastAsia="zh-CN"/>
        </w:rPr>
        <w:t>。</w:t>
      </w:r>
      <w:r>
        <w:rPr>
          <w:rFonts w:hint="eastAsia" w:ascii="Times New Roman" w:hAnsi="Times New Roman" w:eastAsia="方正仿宋_GBK" w:cs="Times New Roman"/>
          <w:color w:val="auto"/>
          <w:sz w:val="31"/>
          <w:szCs w:val="31"/>
        </w:rPr>
        <w:t>建议申请单位应在预算阶段充分考虑上述因素，预留时间，全面了解流程规则，尽量避免跨期完成项目。三是重点工作办结率也存在加强与上升空间，需要有关部门加强工作效率，在重点工作的完成率和完成度上都需要更加完善。四是对绩效评价认识不足，对整体支出绩效评价业务仍有不熟悉的地方。五是项目资金执行力度需进一步加强</w:t>
      </w:r>
    </w:p>
    <w:p>
      <w:pPr>
        <w:keepNext w:val="0"/>
        <w:keepLines w:val="0"/>
        <w:pageBreakBefore w:val="0"/>
        <w:kinsoku/>
        <w:wordWrap/>
        <w:overflowPunct/>
        <w:topLinePunct w:val="0"/>
        <w:autoSpaceDE/>
        <w:autoSpaceDN/>
        <w:bidi w:val="0"/>
        <w:adjustRightInd/>
        <w:snapToGrid/>
        <w:spacing w:after="0" w:line="560" w:lineRule="exact"/>
        <w:ind w:firstLine="620" w:firstLineChars="200"/>
        <w:jc w:val="both"/>
        <w:textAlignment w:val="auto"/>
        <w:rPr>
          <w:rFonts w:hint="default" w:ascii="Times New Roman" w:hAnsi="Times New Roman" w:eastAsia="方正仿宋_GBK" w:cs="Times New Roman"/>
          <w:color w:val="auto"/>
          <w:sz w:val="31"/>
          <w:szCs w:val="31"/>
        </w:rPr>
      </w:pPr>
      <w:r>
        <w:rPr>
          <w:rFonts w:hint="eastAsia" w:ascii="Times New Roman" w:hAnsi="Times New Roman" w:eastAsia="方正仿宋_GBK" w:cs="Times New Roman"/>
          <w:color w:val="auto"/>
          <w:sz w:val="31"/>
          <w:szCs w:val="31"/>
          <w:lang w:eastAsia="zh-CN"/>
        </w:rPr>
        <w:t>下一步改进措施：</w:t>
      </w:r>
      <w:r>
        <w:rPr>
          <w:rFonts w:hint="eastAsia" w:ascii="Times New Roman" w:hAnsi="Times New Roman" w:eastAsia="方正仿宋_GBK" w:cs="Times New Roman"/>
          <w:color w:val="auto"/>
          <w:sz w:val="31"/>
          <w:szCs w:val="31"/>
        </w:rPr>
        <w:t>一是加强资金实时监控，严格按照相关要求对相关资金进行使用，确保资金使用及时有效。二是强化我单位对资金绩效实现情况的责任约束，进一步规范资金使用绩效。三是我单位将根据上级要求，严格按照绩效项目预期目标进行支出等事宜，我单位将由专人负责绩效项目，做好各项工作。实时控制项目开展的每个时间节点，完成总目标，保证既定的绩效目标得以实现。四是加强财务管理，严格财务审核。在费用报账支付时，按照预算规定的费用项目和用途进行资金使用审核、列报支付、财务核算，杜绝超支现象的发生。具体项目自评情况附项目支出绩效自评表</w:t>
      </w:r>
      <w:r>
        <w:rPr>
          <w:rFonts w:hint="eastAsia" w:ascii="Times New Roman" w:hAnsi="Times New Roman" w:eastAsia="方正仿宋_GBK" w:cs="Times New Roman"/>
          <w:color w:val="auto"/>
          <w:sz w:val="31"/>
          <w:szCs w:val="31"/>
          <w:lang w:eastAsia="zh-CN"/>
        </w:rPr>
        <w:t>。</w:t>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黑体" w:eastAsia="黑体"/>
          <w:color w:val="auto"/>
          <w:sz w:val="32"/>
          <w:szCs w:val="32"/>
        </w:rPr>
      </w:pPr>
      <w:r>
        <w:rPr>
          <w:rFonts w:ascii="黑体" w:eastAsia="黑体"/>
          <w:color w:val="auto"/>
          <w:sz w:val="32"/>
          <w:szCs w:val="32"/>
        </w:rPr>
        <w:t>十二、其他需说明的事项</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color w:val="auto"/>
          <w:sz w:val="32"/>
          <w:szCs w:val="32"/>
        </w:rPr>
      </w:pPr>
      <w:r>
        <w:rPr>
          <w:rFonts w:ascii="仿宋_GB2312" w:eastAsia="仿宋_GB2312"/>
          <w:color w:val="auto"/>
          <w:sz w:val="32"/>
          <w:szCs w:val="32"/>
        </w:rPr>
        <w:t>本单位无其他需说明事项。</w:t>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rPr>
          <w:color w:val="auto"/>
        </w:rPr>
      </w:pPr>
      <w:r>
        <w:rPr>
          <w:color w:val="auto"/>
          <w:sz w:val="0"/>
          <w:szCs w:val="0"/>
        </w:rPr>
        <w:br w:type="page"/>
      </w:r>
    </w:p>
    <w:p>
      <w:pPr>
        <w:keepNext w:val="0"/>
        <w:keepLines w:val="0"/>
        <w:pageBreakBefore w:val="0"/>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r>
        <w:rPr>
          <w:rFonts w:ascii="黑体" w:eastAsia="黑体"/>
          <w:color w:val="auto"/>
          <w:sz w:val="32"/>
          <w:szCs w:val="32"/>
        </w:rPr>
        <w:t>第三部分</w:t>
      </w:r>
      <w:r>
        <w:rPr>
          <w:rFonts w:hint="eastAsia" w:ascii="黑体" w:eastAsia="黑体"/>
          <w:color w:val="auto"/>
          <w:sz w:val="32"/>
          <w:szCs w:val="32"/>
          <w:lang w:val="en-US" w:eastAsia="zh-CN"/>
        </w:rPr>
        <w:t xml:space="preserve"> </w:t>
      </w:r>
      <w:r>
        <w:rPr>
          <w:rFonts w:ascii="黑体" w:eastAsia="黑体"/>
          <w:color w:val="auto"/>
          <w:sz w:val="32"/>
          <w:szCs w:val="32"/>
        </w:rPr>
        <w:t>专业名词解释</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一、财政拨款收入：</w:t>
      </w:r>
      <w:r>
        <w:rPr>
          <w:rFonts w:ascii="仿宋_GB2312" w:eastAsia="仿宋_GB2312"/>
          <w:color w:val="auto"/>
          <w:sz w:val="32"/>
          <w:szCs w:val="32"/>
        </w:rPr>
        <w:t>指同级财政当年拨付的资金。</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二、上级补助收入：</w:t>
      </w:r>
      <w:r>
        <w:rPr>
          <w:rFonts w:ascii="仿宋_GB2312" w:eastAsia="仿宋_GB2312"/>
          <w:color w:val="auto"/>
          <w:sz w:val="32"/>
          <w:szCs w:val="32"/>
        </w:rPr>
        <w:t>指事业单位从主管部门和上级单位取得的非财政补助收入。</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三、事业收入：</w:t>
      </w:r>
      <w:r>
        <w:rPr>
          <w:rFonts w:ascii="仿宋_GB2312" w:eastAsia="仿宋_GB2312"/>
          <w:color w:val="auto"/>
          <w:sz w:val="32"/>
          <w:szCs w:val="32"/>
        </w:rPr>
        <w:t>指事业单位开展专业业务活动及其辅助活动所取得的收入。</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四、经营收入：</w:t>
      </w:r>
      <w:r>
        <w:rPr>
          <w:rFonts w:ascii="仿宋_GB2312" w:eastAsia="仿宋_GB2312"/>
          <w:color w:val="auto"/>
          <w:sz w:val="32"/>
          <w:szCs w:val="32"/>
        </w:rPr>
        <w:t>指事业单位在专业业务活动及其辅助活动之外开展非独立核算经营活动取得的收入。</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五、附属单位上缴收入：</w:t>
      </w:r>
      <w:r>
        <w:rPr>
          <w:rFonts w:ascii="仿宋_GB2312" w:eastAsia="仿宋_GB2312"/>
          <w:color w:val="auto"/>
          <w:sz w:val="32"/>
          <w:szCs w:val="32"/>
        </w:rPr>
        <w:t>指事业单位附属的独立核算单位按有关规定上缴的收入。</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六、其他收入：</w:t>
      </w:r>
      <w:r>
        <w:rPr>
          <w:rFonts w:ascii="仿宋_GB2312" w:eastAsia="仿宋_GB2312"/>
          <w:color w:val="auto"/>
          <w:sz w:val="32"/>
          <w:szCs w:val="32"/>
        </w:rPr>
        <w:t>指除上述“财政拨款收入”、“事业收入”、“经营收入”、“附属单位上缴收入”等之外取得的收入。</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七、年初结转和结余：</w:t>
      </w:r>
      <w:r>
        <w:rPr>
          <w:rFonts w:ascii="仿宋_GB2312" w:eastAsia="仿宋_GB2312"/>
          <w:color w:val="auto"/>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八、年末结转和结余：</w:t>
      </w:r>
      <w:r>
        <w:rPr>
          <w:rFonts w:ascii="仿宋_GB2312" w:eastAsia="仿宋_GB2312"/>
          <w:color w:val="auto"/>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九、基本支出：</w:t>
      </w:r>
      <w:r>
        <w:rPr>
          <w:rFonts w:ascii="仿宋_GB2312" w:eastAsia="仿宋_GB2312"/>
          <w:color w:val="auto"/>
          <w:sz w:val="32"/>
          <w:szCs w:val="32"/>
        </w:rPr>
        <w:t>指为保障机构正常运转、完成日常工作任务而发生的人员支出和公用支出。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十、项目支出：</w:t>
      </w:r>
      <w:r>
        <w:rPr>
          <w:rFonts w:ascii="仿宋_GB2312" w:eastAsia="仿宋_GB2312"/>
          <w:color w:val="auto"/>
          <w:sz w:val="32"/>
          <w:szCs w:val="32"/>
        </w:rPr>
        <w:t>指在基本支出之外为完成特定行政任务和事业发展目标所发生的支出。</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十一、经营支出：</w:t>
      </w:r>
      <w:r>
        <w:rPr>
          <w:rFonts w:ascii="仿宋_GB2312" w:eastAsia="仿宋_GB2312"/>
          <w:color w:val="auto"/>
          <w:sz w:val="32"/>
          <w:szCs w:val="32"/>
        </w:rPr>
        <w:t>指事业单位在专业业务活动及其辅助活动之外开展非独立核算经营活动发生的支出。</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十二、对附属单位补助支出：</w:t>
      </w:r>
      <w:r>
        <w:rPr>
          <w:rFonts w:ascii="仿宋_GB2312" w:eastAsia="仿宋_GB2312"/>
          <w:color w:val="auto"/>
          <w:sz w:val="32"/>
          <w:szCs w:val="32"/>
        </w:rPr>
        <w:t>指事业单位发生的用非财政预算资金对附属单位的补助支出。</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十三、“三公”经费：</w:t>
      </w:r>
      <w:r>
        <w:rPr>
          <w:rFonts w:ascii="仿宋_GB2312" w:eastAsia="仿宋_GB2312"/>
          <w:color w:val="auto"/>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kinsoku/>
        <w:wordWrap/>
        <w:overflowPunct/>
        <w:topLinePunct w:val="0"/>
        <w:autoSpaceDE/>
        <w:autoSpaceDN/>
        <w:bidi w:val="0"/>
        <w:adjustRightInd/>
        <w:snapToGrid/>
        <w:spacing w:after="0" w:line="560" w:lineRule="exact"/>
        <w:ind w:firstLine="643" w:firstLineChars="200"/>
        <w:jc w:val="both"/>
        <w:textAlignment w:val="auto"/>
        <w:rPr>
          <w:rFonts w:ascii="仿宋_GB2312" w:eastAsia="仿宋_GB2312"/>
          <w:color w:val="auto"/>
          <w:sz w:val="32"/>
          <w:szCs w:val="32"/>
        </w:rPr>
      </w:pPr>
      <w:r>
        <w:rPr>
          <w:rFonts w:ascii="仿宋_GB2312" w:eastAsia="仿宋_GB2312"/>
          <w:b/>
          <w:color w:val="auto"/>
          <w:sz w:val="32"/>
          <w:szCs w:val="32"/>
        </w:rPr>
        <w:t>十四、机关运行经费：</w:t>
      </w:r>
      <w:r>
        <w:rPr>
          <w:rFonts w:ascii="仿宋_GB2312" w:eastAsia="仿宋_GB2312"/>
          <w:color w:val="auto"/>
          <w:sz w:val="32"/>
          <w:szCs w:val="32"/>
        </w:rPr>
        <w:t>行政单位和参照公务员法管理的事业单位财政拨款基本支出中的公用经费支出。</w:t>
      </w:r>
    </w:p>
    <w:p>
      <w:pPr>
        <w:keepNext w:val="0"/>
        <w:keepLines w:val="0"/>
        <w:pageBreakBefore w:val="0"/>
        <w:kinsoku/>
        <w:wordWrap/>
        <w:overflowPunct/>
        <w:topLinePunct w:val="0"/>
        <w:autoSpaceDE/>
        <w:autoSpaceDN/>
        <w:bidi w:val="0"/>
        <w:adjustRightInd/>
        <w:snapToGrid/>
        <w:spacing w:after="0" w:line="560" w:lineRule="exact"/>
        <w:jc w:val="both"/>
        <w:textAlignment w:val="auto"/>
        <w:rPr>
          <w:color w:val="auto"/>
        </w:rPr>
      </w:pPr>
      <w:r>
        <w:rPr>
          <w:color w:val="auto"/>
          <w:sz w:val="0"/>
          <w:szCs w:val="0"/>
        </w:rPr>
        <w:br w:type="page"/>
      </w:r>
    </w:p>
    <w:p>
      <w:pPr>
        <w:pageBreakBefore w:val="0"/>
        <w:widowControl w:val="0"/>
        <w:kinsoku/>
        <w:wordWrap/>
        <w:overflowPunct/>
        <w:topLinePunct w:val="0"/>
        <w:autoSpaceDE/>
        <w:autoSpaceDN/>
        <w:bidi w:val="0"/>
        <w:adjustRightInd/>
        <w:jc w:val="center"/>
        <w:textAlignment w:val="auto"/>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color w:val="auto"/>
          <w:sz w:val="32"/>
          <w:szCs w:val="32"/>
        </w:rPr>
        <w:t>第四部分 部门决算报表（见附表）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一、《收入支出决算总表》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二、《收入决算表》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三、《支出决算表》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四、《财政拨款收入支出决算总表》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五、《一般公共预算财政拨款支出决算表》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六、《一般公共预算财政拨款基本支出决算表》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七、《政府性基金预算财政拨款收入支出决算表》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八、《国有资本经营预算财政拨款收入支出决算表》</w:t>
      </w:r>
    </w:p>
    <w:p>
      <w:pPr>
        <w:pageBreakBefore w:val="0"/>
        <w:widowControl w:val="0"/>
        <w:kinsoku/>
        <w:wordWrap/>
        <w:overflowPunct/>
        <w:topLinePunct w:val="0"/>
        <w:autoSpaceDE/>
        <w:autoSpaceDN/>
        <w:bidi w:val="0"/>
        <w:adjustRightInd/>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九、《财政拨款“三公”经费支出决算表》</w:t>
      </w: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numPr>
          <w:ilvl w:val="0"/>
          <w:numId w:val="0"/>
        </w:numPr>
        <w:kinsoku/>
        <w:wordWrap/>
        <w:overflowPunct/>
        <w:topLinePunct w:val="0"/>
        <w:autoSpaceDE/>
        <w:autoSpaceDN/>
        <w:bidi w:val="0"/>
        <w:adjustRightInd/>
        <w:snapToGrid/>
        <w:spacing w:after="0" w:line="560" w:lineRule="exact"/>
        <w:jc w:val="center"/>
        <w:textAlignment w:val="auto"/>
        <w:outlineLvl w:val="0"/>
        <w:rPr>
          <w:rFonts w:ascii="黑体" w:eastAsia="黑体"/>
          <w:color w:val="auto"/>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after="0" w:line="560" w:lineRule="exact"/>
        <w:jc w:val="both"/>
        <w:textAlignment w:val="auto"/>
        <w:outlineLvl w:val="0"/>
        <w:rPr>
          <w:rFonts w:ascii="仿宋_GB2312" w:eastAsia="仿宋_GB2312"/>
          <w:color w:val="auto"/>
          <w:sz w:val="32"/>
          <w:szCs w:val="32"/>
          <w:lang w:eastAsia="zh-CN"/>
        </w:rPr>
      </w:pPr>
    </w:p>
    <w:p>
      <w:pPr>
        <w:rPr>
          <w:rFonts w:ascii="仿宋_GB2312" w:eastAsia="仿宋_GB2312"/>
          <w:color w:val="auto"/>
          <w:sz w:val="32"/>
          <w:szCs w:val="32"/>
          <w:lang w:eastAsia="zh-CN"/>
        </w:rPr>
      </w:pPr>
      <w:r>
        <w:rPr>
          <w:rFonts w:hint="eastAsia"/>
          <w:color w:val="auto"/>
          <w:szCs w:val="32"/>
          <w:lang w:eastAsia="zh-CN"/>
        </w:rPr>
        <w:br w:type="page"/>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r>
        <w:drawing>
          <wp:anchor distT="0" distB="0" distL="114300" distR="114300" simplePos="0" relativeHeight="251659264" behindDoc="0" locked="0" layoutInCell="1" allowOverlap="1">
            <wp:simplePos x="0" y="0"/>
            <wp:positionH relativeFrom="column">
              <wp:posOffset>10160</wp:posOffset>
            </wp:positionH>
            <wp:positionV relativeFrom="page">
              <wp:posOffset>1363345</wp:posOffset>
            </wp:positionV>
            <wp:extent cx="5479415" cy="4796790"/>
            <wp:effectExtent l="0" t="0" r="6985" b="381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5479415" cy="479679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440" w:firstLineChars="200"/>
        <w:jc w:val="both"/>
        <w:textAlignment w:val="auto"/>
        <w:outlineLvl w:val="1"/>
        <w:rPr>
          <w:rFonts w:ascii="仿宋_GB2312" w:eastAsia="仿宋_GB2312"/>
          <w:color w:val="auto"/>
          <w:sz w:val="32"/>
          <w:szCs w:val="32"/>
          <w:lang w:eastAsia="zh-CN"/>
        </w:rPr>
      </w:pPr>
      <w:r>
        <w:drawing>
          <wp:anchor distT="0" distB="0" distL="114300" distR="114300" simplePos="0" relativeHeight="251660288" behindDoc="0" locked="0" layoutInCell="1" allowOverlap="1">
            <wp:simplePos x="0" y="0"/>
            <wp:positionH relativeFrom="column">
              <wp:posOffset>-397510</wp:posOffset>
            </wp:positionH>
            <wp:positionV relativeFrom="page">
              <wp:posOffset>844550</wp:posOffset>
            </wp:positionV>
            <wp:extent cx="6350635" cy="8079105"/>
            <wp:effectExtent l="0" t="0" r="4445" b="13335"/>
            <wp:wrapNone/>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7"/>
                    <a:stretch>
                      <a:fillRect/>
                    </a:stretch>
                  </pic:blipFill>
                  <pic:spPr>
                    <a:xfrm>
                      <a:off x="0" y="0"/>
                      <a:ext cx="6350635" cy="8079105"/>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r>
        <w:drawing>
          <wp:anchor distT="0" distB="0" distL="114300" distR="114300" simplePos="0" relativeHeight="251661312" behindDoc="0" locked="0" layoutInCell="1" allowOverlap="1">
            <wp:simplePos x="0" y="0"/>
            <wp:positionH relativeFrom="column">
              <wp:posOffset>-42545</wp:posOffset>
            </wp:positionH>
            <wp:positionV relativeFrom="page">
              <wp:posOffset>1715770</wp:posOffset>
            </wp:positionV>
            <wp:extent cx="5483225" cy="7247890"/>
            <wp:effectExtent l="0" t="0" r="3175" b="10160"/>
            <wp:wrapNone/>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8"/>
                    <a:stretch>
                      <a:fillRect/>
                    </a:stretch>
                  </pic:blipFill>
                  <pic:spPr>
                    <a:xfrm>
                      <a:off x="0" y="0"/>
                      <a:ext cx="5483225" cy="724789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440" w:firstLineChars="200"/>
        <w:jc w:val="both"/>
        <w:textAlignment w:val="auto"/>
        <w:outlineLvl w:val="1"/>
        <w:rPr>
          <w:rFonts w:ascii="仿宋_GB2312" w:eastAsia="仿宋_GB2312"/>
          <w:color w:val="auto"/>
          <w:sz w:val="32"/>
          <w:szCs w:val="32"/>
          <w:lang w:eastAsia="zh-CN"/>
        </w:rPr>
      </w:pPr>
      <w:r>
        <w:drawing>
          <wp:anchor distT="0" distB="0" distL="114300" distR="114300" simplePos="0" relativeHeight="251662336" behindDoc="0" locked="0" layoutInCell="1" allowOverlap="1">
            <wp:simplePos x="0" y="0"/>
            <wp:positionH relativeFrom="column">
              <wp:posOffset>-20955</wp:posOffset>
            </wp:positionH>
            <wp:positionV relativeFrom="page">
              <wp:posOffset>1198880</wp:posOffset>
            </wp:positionV>
            <wp:extent cx="5485130" cy="3762375"/>
            <wp:effectExtent l="0" t="0" r="1270" b="9525"/>
            <wp:wrapNone/>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9"/>
                    <a:stretch>
                      <a:fillRect/>
                    </a:stretch>
                  </pic:blipFill>
                  <pic:spPr>
                    <a:xfrm>
                      <a:off x="0" y="0"/>
                      <a:ext cx="5485130" cy="3762375"/>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lang w:eastAsia="zh-CN"/>
        </w:rPr>
      </w:pPr>
    </w:p>
    <w:p>
      <w:pPr>
        <w:pStyle w:val="2"/>
        <w:rPr>
          <w:color w:val="auto"/>
          <w:lang w:eastAsia="zh-CN"/>
        </w:rPr>
      </w:pPr>
      <w:r>
        <w:drawing>
          <wp:anchor distT="0" distB="0" distL="114300" distR="114300" simplePos="0" relativeHeight="251663360" behindDoc="0" locked="0" layoutInCell="1" allowOverlap="1">
            <wp:simplePos x="0" y="0"/>
            <wp:positionH relativeFrom="column">
              <wp:posOffset>-41910</wp:posOffset>
            </wp:positionH>
            <wp:positionV relativeFrom="page">
              <wp:posOffset>1124585</wp:posOffset>
            </wp:positionV>
            <wp:extent cx="5484495" cy="8388350"/>
            <wp:effectExtent l="0" t="0" r="1905" b="12700"/>
            <wp:wrapNone/>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0"/>
                    <a:stretch>
                      <a:fillRect/>
                    </a:stretch>
                  </pic:blipFill>
                  <pic:spPr>
                    <a:xfrm>
                      <a:off x="0" y="0"/>
                      <a:ext cx="5484495" cy="838835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440" w:firstLineChars="200"/>
        <w:jc w:val="both"/>
        <w:textAlignment w:val="auto"/>
        <w:outlineLvl w:val="1"/>
        <w:rPr>
          <w:rFonts w:ascii="仿宋_GB2312" w:eastAsia="仿宋_GB2312"/>
          <w:color w:val="auto"/>
          <w:sz w:val="32"/>
          <w:szCs w:val="32"/>
          <w:lang w:eastAsia="zh-CN"/>
        </w:rPr>
      </w:pPr>
      <w:r>
        <w:drawing>
          <wp:anchor distT="0" distB="0" distL="114300" distR="114300" simplePos="0" relativeHeight="251664384" behindDoc="0" locked="0" layoutInCell="1" allowOverlap="1">
            <wp:simplePos x="0" y="0"/>
            <wp:positionH relativeFrom="column">
              <wp:posOffset>-84455</wp:posOffset>
            </wp:positionH>
            <wp:positionV relativeFrom="page">
              <wp:posOffset>1677670</wp:posOffset>
            </wp:positionV>
            <wp:extent cx="5479415" cy="4752340"/>
            <wp:effectExtent l="0" t="0" r="6985" b="10160"/>
            <wp:wrapNone/>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1"/>
                    <a:stretch>
                      <a:fillRect/>
                    </a:stretch>
                  </pic:blipFill>
                  <pic:spPr>
                    <a:xfrm>
                      <a:off x="0" y="0"/>
                      <a:ext cx="5479415" cy="475234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440" w:firstLineChars="200"/>
        <w:jc w:val="both"/>
        <w:textAlignment w:val="auto"/>
        <w:outlineLvl w:val="1"/>
        <w:rPr>
          <w:rFonts w:ascii="仿宋_GB2312" w:eastAsia="仿宋_GB2312"/>
          <w:color w:val="auto"/>
          <w:sz w:val="32"/>
          <w:szCs w:val="32"/>
          <w:lang w:eastAsia="zh-CN"/>
        </w:rPr>
      </w:pPr>
      <w:r>
        <w:drawing>
          <wp:anchor distT="0" distB="0" distL="114300" distR="114300" simplePos="0" relativeHeight="251665408" behindDoc="0" locked="0" layoutInCell="1" allowOverlap="1">
            <wp:simplePos x="0" y="0"/>
            <wp:positionH relativeFrom="column">
              <wp:posOffset>-85090</wp:posOffset>
            </wp:positionH>
            <wp:positionV relativeFrom="page">
              <wp:posOffset>1304925</wp:posOffset>
            </wp:positionV>
            <wp:extent cx="5480050" cy="2045970"/>
            <wp:effectExtent l="0" t="0" r="6350" b="11430"/>
            <wp:wrapNone/>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12"/>
                    <a:stretch>
                      <a:fillRect/>
                    </a:stretch>
                  </pic:blipFill>
                  <pic:spPr>
                    <a:xfrm>
                      <a:off x="0" y="0"/>
                      <a:ext cx="5480050" cy="2045970"/>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jc w:val="both"/>
        <w:textAlignment w:val="auto"/>
        <w:outlineLvl w:val="1"/>
        <w:rPr>
          <w:rFonts w:ascii="仿宋_GB2312" w:eastAsia="仿宋_GB2312"/>
          <w:color w:val="auto"/>
          <w:sz w:val="32"/>
          <w:szCs w:val="32"/>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440" w:firstLineChars="200"/>
        <w:jc w:val="both"/>
        <w:textAlignment w:val="auto"/>
        <w:outlineLvl w:val="1"/>
        <w:rPr>
          <w:rFonts w:ascii="仿宋_GB2312" w:eastAsia="仿宋_GB2312"/>
          <w:color w:val="auto"/>
          <w:sz w:val="32"/>
          <w:szCs w:val="32"/>
          <w:lang w:eastAsia="zh-CN"/>
        </w:rPr>
      </w:pPr>
      <w:r>
        <w:drawing>
          <wp:anchor distT="0" distB="0" distL="114300" distR="114300" simplePos="0" relativeHeight="251666432" behindDoc="0" locked="0" layoutInCell="1" allowOverlap="1">
            <wp:simplePos x="0" y="0"/>
            <wp:positionH relativeFrom="column">
              <wp:posOffset>3810</wp:posOffset>
            </wp:positionH>
            <wp:positionV relativeFrom="page">
              <wp:posOffset>1130935</wp:posOffset>
            </wp:positionV>
            <wp:extent cx="5482590" cy="2155825"/>
            <wp:effectExtent l="0" t="0" r="3810" b="15875"/>
            <wp:wrapNone/>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3"/>
                    <a:stretch>
                      <a:fillRect/>
                    </a:stretch>
                  </pic:blipFill>
                  <pic:spPr>
                    <a:xfrm>
                      <a:off x="0" y="0"/>
                      <a:ext cx="5482590" cy="2155825"/>
                    </a:xfrm>
                    <a:prstGeom prst="rect">
                      <a:avLst/>
                    </a:prstGeom>
                    <a:noFill/>
                    <a:ln>
                      <a:noFill/>
                    </a:ln>
                  </pic:spPr>
                </pic:pic>
              </a:graphicData>
            </a:graphic>
          </wp:anchor>
        </w:drawing>
      </w: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pPr>
    </w:p>
    <w:p>
      <w:pPr>
        <w:keepNext w:val="0"/>
        <w:keepLines w:val="0"/>
        <w:pageBreakBefore w:val="0"/>
        <w:kinsoku/>
        <w:wordWrap/>
        <w:overflowPunct/>
        <w:topLinePunct w:val="0"/>
        <w:autoSpaceDE/>
        <w:autoSpaceDN/>
        <w:bidi w:val="0"/>
        <w:adjustRightInd/>
        <w:snapToGrid/>
        <w:spacing w:after="0" w:line="560" w:lineRule="exact"/>
        <w:ind w:firstLine="640" w:firstLineChars="200"/>
        <w:jc w:val="both"/>
        <w:textAlignment w:val="auto"/>
        <w:outlineLvl w:val="1"/>
        <w:rPr>
          <w:rFonts w:ascii="仿宋_GB2312" w:eastAsia="仿宋_GB2312"/>
          <w:color w:val="auto"/>
          <w:sz w:val="32"/>
          <w:szCs w:val="32"/>
          <w:lang w:eastAsia="zh-CN"/>
        </w:rPr>
        <w:sectPr>
          <w:pgSz w:w="12240" w:h="15840"/>
          <w:pgMar w:top="1440" w:right="1800" w:bottom="1440" w:left="1800" w:header="720" w:footer="720" w:gutter="0"/>
          <w:cols w:space="720" w:num="1"/>
        </w:sectPr>
      </w:pPr>
    </w:p>
    <w:p>
      <w:pPr>
        <w:pStyle w:val="2"/>
        <w:rPr>
          <w:lang w:eastAsia="zh-CN"/>
        </w:rPr>
      </w:pPr>
      <w:r>
        <w:drawing>
          <wp:anchor distT="0" distB="0" distL="114300" distR="114300" simplePos="0" relativeHeight="251667456" behindDoc="0" locked="0" layoutInCell="1" allowOverlap="1">
            <wp:simplePos x="0" y="0"/>
            <wp:positionH relativeFrom="column">
              <wp:posOffset>-648970</wp:posOffset>
            </wp:positionH>
            <wp:positionV relativeFrom="page">
              <wp:posOffset>1041400</wp:posOffset>
            </wp:positionV>
            <wp:extent cx="6755130" cy="1561465"/>
            <wp:effectExtent l="0" t="0" r="11430" b="8255"/>
            <wp:wrapSquare wrapText="bothSides"/>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4"/>
                    <a:stretch>
                      <a:fillRect/>
                    </a:stretch>
                  </pic:blipFill>
                  <pic:spPr>
                    <a:xfrm>
                      <a:off x="0" y="0"/>
                      <a:ext cx="6755130" cy="1561465"/>
                    </a:xfrm>
                    <a:prstGeom prst="rect">
                      <a:avLst/>
                    </a:prstGeom>
                    <a:noFill/>
                    <a:ln>
                      <a:noFill/>
                    </a:ln>
                  </pic:spPr>
                </pic:pic>
              </a:graphicData>
            </a:graphic>
          </wp:anchor>
        </w:drawing>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AB24B9"/>
    <w:rsid w:val="00012496"/>
    <w:rsid w:val="000E751C"/>
    <w:rsid w:val="00114E9B"/>
    <w:rsid w:val="00135EFC"/>
    <w:rsid w:val="00217108"/>
    <w:rsid w:val="0022142A"/>
    <w:rsid w:val="00255DBF"/>
    <w:rsid w:val="00266020"/>
    <w:rsid w:val="002A6C01"/>
    <w:rsid w:val="002F1C35"/>
    <w:rsid w:val="0031739B"/>
    <w:rsid w:val="003459A8"/>
    <w:rsid w:val="003E5C19"/>
    <w:rsid w:val="0042676D"/>
    <w:rsid w:val="004A34DF"/>
    <w:rsid w:val="004C4DC7"/>
    <w:rsid w:val="005619D5"/>
    <w:rsid w:val="00602B15"/>
    <w:rsid w:val="006C7BE0"/>
    <w:rsid w:val="00741EC1"/>
    <w:rsid w:val="00745C3D"/>
    <w:rsid w:val="007F30B1"/>
    <w:rsid w:val="009B73DB"/>
    <w:rsid w:val="009C64A1"/>
    <w:rsid w:val="009D6BCB"/>
    <w:rsid w:val="00A435CD"/>
    <w:rsid w:val="00AB24B9"/>
    <w:rsid w:val="00B00A8F"/>
    <w:rsid w:val="00B0560C"/>
    <w:rsid w:val="00B1697B"/>
    <w:rsid w:val="00BF7B2D"/>
    <w:rsid w:val="00C0748D"/>
    <w:rsid w:val="00CF1305"/>
    <w:rsid w:val="00DB25AF"/>
    <w:rsid w:val="00E8691D"/>
    <w:rsid w:val="00F13A51"/>
    <w:rsid w:val="00F53FB1"/>
    <w:rsid w:val="01E568C9"/>
    <w:rsid w:val="04B73182"/>
    <w:rsid w:val="088E08AB"/>
    <w:rsid w:val="09237D38"/>
    <w:rsid w:val="0C3C63C8"/>
    <w:rsid w:val="0D0E7175"/>
    <w:rsid w:val="0DA7186C"/>
    <w:rsid w:val="0F7F31C3"/>
    <w:rsid w:val="12A06877"/>
    <w:rsid w:val="12FE0264"/>
    <w:rsid w:val="164B2DE7"/>
    <w:rsid w:val="1E7F2F3B"/>
    <w:rsid w:val="3C3D2F12"/>
    <w:rsid w:val="463B3CA8"/>
    <w:rsid w:val="47937AC4"/>
    <w:rsid w:val="488F67B3"/>
    <w:rsid w:val="4CE301D6"/>
    <w:rsid w:val="4D4E52FA"/>
    <w:rsid w:val="4F074033"/>
    <w:rsid w:val="58377D0D"/>
    <w:rsid w:val="5E7528E6"/>
    <w:rsid w:val="62597E03"/>
    <w:rsid w:val="62774D1B"/>
    <w:rsid w:val="65304755"/>
    <w:rsid w:val="66564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4">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2">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Balloon Text"/>
    <w:basedOn w:val="1"/>
    <w:link w:val="27"/>
    <w:semiHidden/>
    <w:unhideWhenUsed/>
    <w:qFormat/>
    <w:uiPriority w:val="99"/>
    <w:pPr>
      <w:spacing w:after="0" w:line="240" w:lineRule="auto"/>
    </w:pPr>
    <w:rPr>
      <w:sz w:val="18"/>
      <w:szCs w:val="18"/>
    </w:rPr>
  </w:style>
  <w:style w:type="paragraph" w:styleId="9">
    <w:name w:val="footer"/>
    <w:basedOn w:val="1"/>
    <w:link w:val="25"/>
    <w:semiHidden/>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18"/>
    <w:unhideWhenUsed/>
    <w:qFormat/>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4">
    <w:name w:val="Table Grid"/>
    <w:basedOn w:val="1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unhideWhenUsed/>
    <w:qFormat/>
    <w:uiPriority w:val="99"/>
    <w:rPr>
      <w:color w:val="0000FF" w:themeColor="hyperlink"/>
      <w:u w:val="single"/>
    </w:rPr>
  </w:style>
  <w:style w:type="character" w:customStyle="1" w:styleId="18">
    <w:name w:val="页眉 Char"/>
    <w:basedOn w:val="15"/>
    <w:link w:val="10"/>
    <w:qFormat/>
    <w:uiPriority w:val="99"/>
  </w:style>
  <w:style w:type="character" w:customStyle="1" w:styleId="19">
    <w:name w:val="标题 1 Char"/>
    <w:basedOn w:val="15"/>
    <w:link w:val="3"/>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5"/>
    <w:link w:val="4"/>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5"/>
    <w:link w:val="2"/>
    <w:qFormat/>
    <w:uiPriority w:val="9"/>
    <w:rPr>
      <w:rFonts w:asciiTheme="majorHAnsi" w:hAnsiTheme="majorHAnsi" w:eastAsiaTheme="majorEastAsia" w:cstheme="majorBidi"/>
      <w:b/>
      <w:bCs/>
      <w:color w:val="4F81BD" w:themeColor="accent1"/>
    </w:rPr>
  </w:style>
  <w:style w:type="character" w:customStyle="1" w:styleId="22">
    <w:name w:val="标题 4 Char"/>
    <w:basedOn w:val="15"/>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5"/>
    <w:link w:val="11"/>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5"/>
    <w:link w:val="12"/>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5"/>
    <w:link w:val="9"/>
    <w:semiHidden/>
    <w:qFormat/>
    <w:uiPriority w:val="99"/>
    <w:rPr>
      <w:sz w:val="18"/>
      <w:szCs w:val="18"/>
    </w:rPr>
  </w:style>
  <w:style w:type="paragraph" w:customStyle="1" w:styleId="26">
    <w:name w:val="列出段落1"/>
    <w:basedOn w:val="1"/>
    <w:qFormat/>
    <w:uiPriority w:val="0"/>
    <w:pPr>
      <w:widowControl w:val="0"/>
      <w:spacing w:after="0" w:line="240" w:lineRule="auto"/>
      <w:ind w:firstLine="420" w:firstLineChars="200"/>
      <w:jc w:val="both"/>
    </w:pPr>
    <w:rPr>
      <w:kern w:val="2"/>
      <w:sz w:val="21"/>
      <w:szCs w:val="24"/>
      <w:lang w:eastAsia="zh-CN"/>
    </w:rPr>
  </w:style>
  <w:style w:type="character" w:customStyle="1" w:styleId="27">
    <w:name w:val="批注框文本 Char"/>
    <w:basedOn w:val="15"/>
    <w:link w:val="8"/>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1540</Words>
  <Characters>8778</Characters>
  <Lines>73</Lines>
  <Paragraphs>20</Paragraphs>
  <TotalTime>7</TotalTime>
  <ScaleCrop>false</ScaleCrop>
  <LinksUpToDate>false</LinksUpToDate>
  <CharactersWithSpaces>10298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2025-08-15T10:46:00Z</dcterms:created>
  <dc:creator>Administrator</dc:creator>
  <cp:lastModifiedBy>lenovo</cp:lastModifiedBy>
  <dcterms:modified xsi:type="dcterms:W3CDTF">2025-09-02T08:12:40Z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D09129F518864E0C8182506BC50BC228</vt:lpwstr>
  </property>
</Properties>
</file>