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华文中宋" w:cs="Times New Roman"/>
          <w:b/>
          <w:spacing w:val="0"/>
          <w:kern w:val="0"/>
          <w:sz w:val="52"/>
          <w:szCs w:val="52"/>
        </w:rPr>
      </w:pPr>
    </w:p>
    <w:p>
      <w:pPr>
        <w:keepNext/>
        <w:keepLines w:val="0"/>
        <w:pageBreakBefore w:val="0"/>
        <w:widowControl w:val="0"/>
        <w:kinsoku/>
        <w:wordWrap/>
        <w:overflowPunct/>
        <w:topLinePunct w:val="0"/>
        <w:autoSpaceDE/>
        <w:autoSpaceDN/>
        <w:bidi w:val="0"/>
        <w:adjustRightInd/>
        <w:snapToGrid/>
        <w:spacing w:line="540" w:lineRule="exact"/>
        <w:rPr>
          <w:rFonts w:hint="default" w:ascii="Times New Roman" w:hAnsi="Times New Roman" w:eastAsia="华文中宋" w:cs="Times New Roman"/>
          <w:b/>
          <w:spacing w:val="0"/>
          <w:kern w:val="0"/>
          <w:sz w:val="52"/>
          <w:szCs w:val="52"/>
        </w:rPr>
      </w:pP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华文中宋" w:cs="Times New Roman"/>
          <w:b/>
          <w:spacing w:val="0"/>
          <w:kern w:val="0"/>
          <w:sz w:val="52"/>
          <w:szCs w:val="52"/>
        </w:rPr>
      </w:pP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华文中宋" w:cs="Times New Roman"/>
          <w:b/>
          <w:spacing w:val="0"/>
          <w:kern w:val="0"/>
          <w:sz w:val="52"/>
          <w:szCs w:val="52"/>
        </w:rPr>
      </w:pP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方正小标宋_GBK" w:cs="Times New Roman"/>
          <w:spacing w:val="0"/>
          <w:kern w:val="0"/>
          <w:sz w:val="48"/>
          <w:szCs w:val="48"/>
        </w:rPr>
      </w:pPr>
      <w:r>
        <w:rPr>
          <w:rFonts w:hint="default" w:ascii="Times New Roman" w:hAnsi="Times New Roman" w:eastAsia="方正小标宋_GBK" w:cs="Times New Roman"/>
          <w:spacing w:val="0"/>
          <w:kern w:val="0"/>
          <w:sz w:val="48"/>
          <w:szCs w:val="48"/>
        </w:rPr>
        <w:t>社区党建工作经费项目支出绩效评价</w:t>
      </w: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方正小标宋_GBK" w:cs="Times New Roman"/>
          <w:spacing w:val="0"/>
          <w:kern w:val="0"/>
          <w:sz w:val="48"/>
          <w:szCs w:val="48"/>
        </w:rPr>
      </w:pPr>
      <w:r>
        <w:rPr>
          <w:rFonts w:hint="default" w:ascii="Times New Roman" w:hAnsi="Times New Roman" w:eastAsia="方正小标宋_GBK" w:cs="Times New Roman"/>
          <w:spacing w:val="0"/>
          <w:kern w:val="0"/>
          <w:sz w:val="48"/>
          <w:szCs w:val="48"/>
        </w:rPr>
        <w:t>报告</w:t>
      </w: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华文中宋" w:cs="Times New Roman"/>
          <w:b/>
          <w:spacing w:val="0"/>
          <w:kern w:val="0"/>
          <w:sz w:val="52"/>
          <w:szCs w:val="52"/>
        </w:rPr>
      </w:pP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仿宋_GB2312" w:cs="Times New Roman"/>
          <w:spacing w:val="0"/>
          <w:kern w:val="0"/>
          <w:sz w:val="36"/>
          <w:szCs w:val="36"/>
        </w:rPr>
      </w:pPr>
      <w:r>
        <w:rPr>
          <w:rFonts w:hint="default" w:ascii="Times New Roman" w:hAnsi="Times New Roman" w:eastAsia="仿宋_GB2312" w:cs="Times New Roman"/>
          <w:spacing w:val="0"/>
          <w:kern w:val="0"/>
          <w:sz w:val="36"/>
          <w:szCs w:val="36"/>
        </w:rPr>
        <w:t>（202</w:t>
      </w:r>
      <w:r>
        <w:rPr>
          <w:rFonts w:hint="default" w:ascii="Times New Roman" w:hAnsi="Times New Roman" w:eastAsia="仿宋_GB2312" w:cs="Times New Roman"/>
          <w:spacing w:val="0"/>
          <w:kern w:val="0"/>
          <w:sz w:val="36"/>
          <w:szCs w:val="36"/>
          <w:lang w:val="en-US" w:eastAsia="zh-CN"/>
        </w:rPr>
        <w:t>4</w:t>
      </w:r>
      <w:r>
        <w:rPr>
          <w:rFonts w:hint="default" w:ascii="Times New Roman" w:hAnsi="Times New Roman" w:eastAsia="仿宋_GB2312" w:cs="Times New Roman"/>
          <w:spacing w:val="0"/>
          <w:kern w:val="0"/>
          <w:sz w:val="36"/>
          <w:szCs w:val="36"/>
        </w:rPr>
        <w:t>年度）</w:t>
      </w: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仿宋_GB2312" w:cs="Times New Roman"/>
          <w:spacing w:val="0"/>
          <w:kern w:val="0"/>
          <w:sz w:val="30"/>
          <w:szCs w:val="30"/>
        </w:rPr>
      </w:pP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仿宋_GB2312" w:cs="Times New Roman"/>
          <w:spacing w:val="0"/>
          <w:kern w:val="0"/>
          <w:sz w:val="30"/>
          <w:szCs w:val="30"/>
        </w:rPr>
      </w:pP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仿宋_GB2312" w:cs="Times New Roman"/>
          <w:spacing w:val="0"/>
          <w:kern w:val="0"/>
          <w:sz w:val="30"/>
          <w:szCs w:val="30"/>
        </w:rPr>
      </w:pPr>
    </w:p>
    <w:p>
      <w:pPr>
        <w:pStyle w:val="10"/>
        <w:keepNext/>
        <w:keepLines w:val="0"/>
        <w:pageBreakBefore w:val="0"/>
        <w:widowControl w:val="0"/>
        <w:kinsoku/>
        <w:wordWrap/>
        <w:overflowPunct/>
        <w:topLinePunct w:val="0"/>
        <w:autoSpaceDE/>
        <w:autoSpaceDN/>
        <w:bidi w:val="0"/>
        <w:adjustRightInd/>
        <w:snapToGrid/>
        <w:rPr>
          <w:rFonts w:hint="default" w:ascii="Times New Roman" w:hAnsi="Times New Roman" w:cs="Times New Roman"/>
          <w:spacing w:val="0"/>
        </w:rPr>
      </w:pP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仿宋_GB2312" w:cs="Times New Roman"/>
          <w:spacing w:val="0"/>
          <w:kern w:val="0"/>
          <w:sz w:val="30"/>
          <w:szCs w:val="30"/>
        </w:rPr>
      </w:pPr>
    </w:p>
    <w:p>
      <w:pPr>
        <w:keepNext/>
        <w:keepLines w:val="0"/>
        <w:pageBreakBefore w:val="0"/>
        <w:widowControl w:val="0"/>
        <w:kinsoku/>
        <w:wordWrap/>
        <w:overflowPunct/>
        <w:topLinePunct w:val="0"/>
        <w:autoSpaceDE/>
        <w:autoSpaceDN/>
        <w:bidi w:val="0"/>
        <w:adjustRightInd/>
        <w:snapToGrid/>
        <w:spacing w:line="540" w:lineRule="exact"/>
        <w:rPr>
          <w:rFonts w:hint="default" w:ascii="Times New Roman" w:hAnsi="Times New Roman" w:eastAsia="仿宋_GB2312" w:cs="Times New Roman"/>
          <w:spacing w:val="0"/>
          <w:kern w:val="0"/>
          <w:sz w:val="30"/>
          <w:szCs w:val="30"/>
        </w:rPr>
      </w:pPr>
    </w:p>
    <w:p>
      <w:pPr>
        <w:keepNext/>
        <w:keepLines w:val="0"/>
        <w:pageBreakBefore w:val="0"/>
        <w:widowControl w:val="0"/>
        <w:kinsoku/>
        <w:wordWrap/>
        <w:overflowPunct/>
        <w:topLinePunct w:val="0"/>
        <w:autoSpaceDE/>
        <w:autoSpaceDN/>
        <w:bidi w:val="0"/>
        <w:adjustRightInd/>
        <w:snapToGrid/>
        <w:spacing w:line="700" w:lineRule="exact"/>
        <w:ind w:firstLine="1440" w:firstLineChars="400"/>
        <w:jc w:val="left"/>
        <w:rPr>
          <w:rFonts w:hint="default" w:ascii="Times New Roman" w:hAnsi="Times New Roman" w:eastAsia="仿宋_GB2312" w:cs="Times New Roman"/>
          <w:spacing w:val="0"/>
          <w:kern w:val="0"/>
          <w:sz w:val="36"/>
          <w:szCs w:val="36"/>
        </w:rPr>
      </w:pPr>
      <w:r>
        <w:rPr>
          <w:rFonts w:hint="default" w:ascii="Times New Roman" w:hAnsi="Times New Roman" w:eastAsia="仿宋_GB2312" w:cs="Times New Roman"/>
          <w:spacing w:val="0"/>
          <w:kern w:val="0"/>
          <w:sz w:val="36"/>
          <w:szCs w:val="36"/>
        </w:rPr>
        <w:t>项目名称：部门专项-社区党建工作经费</w:t>
      </w:r>
    </w:p>
    <w:p>
      <w:pPr>
        <w:keepNext/>
        <w:keepLines w:val="0"/>
        <w:pageBreakBefore w:val="0"/>
        <w:widowControl w:val="0"/>
        <w:kinsoku/>
        <w:wordWrap/>
        <w:overflowPunct/>
        <w:topLinePunct w:val="0"/>
        <w:autoSpaceDE/>
        <w:autoSpaceDN/>
        <w:bidi w:val="0"/>
        <w:adjustRightInd/>
        <w:snapToGrid/>
        <w:spacing w:line="700" w:lineRule="exact"/>
        <w:ind w:firstLine="1440" w:firstLineChars="400"/>
        <w:jc w:val="left"/>
        <w:rPr>
          <w:rFonts w:hint="eastAsia" w:ascii="Times New Roman" w:hAnsi="Times New Roman" w:eastAsia="仿宋_GB2312" w:cs="Times New Roman"/>
          <w:spacing w:val="0"/>
          <w:kern w:val="0"/>
          <w:sz w:val="36"/>
          <w:szCs w:val="36"/>
          <w:lang w:eastAsia="zh-CN"/>
        </w:rPr>
      </w:pPr>
      <w:r>
        <w:rPr>
          <w:rFonts w:hint="default" w:ascii="Times New Roman" w:hAnsi="Times New Roman" w:eastAsia="仿宋_GB2312" w:cs="Times New Roman"/>
          <w:spacing w:val="0"/>
          <w:kern w:val="0"/>
          <w:sz w:val="36"/>
          <w:szCs w:val="36"/>
        </w:rPr>
        <w:t>实施单位（公章）：</w:t>
      </w:r>
      <w:r>
        <w:rPr>
          <w:rFonts w:hint="eastAsia" w:eastAsia="仿宋_GB2312" w:cs="Times New Roman"/>
          <w:spacing w:val="0"/>
          <w:kern w:val="0"/>
          <w:sz w:val="36"/>
          <w:szCs w:val="36"/>
          <w:lang w:eastAsia="zh-CN"/>
        </w:rPr>
        <w:t>丝路街道办事处</w:t>
      </w:r>
    </w:p>
    <w:p>
      <w:pPr>
        <w:keepNext/>
        <w:keepLines w:val="0"/>
        <w:pageBreakBefore w:val="0"/>
        <w:widowControl w:val="0"/>
        <w:kinsoku/>
        <w:wordWrap/>
        <w:overflowPunct/>
        <w:topLinePunct w:val="0"/>
        <w:autoSpaceDE/>
        <w:autoSpaceDN/>
        <w:bidi w:val="0"/>
        <w:adjustRightInd/>
        <w:snapToGrid/>
        <w:spacing w:line="700" w:lineRule="exact"/>
        <w:ind w:firstLine="1440" w:firstLineChars="400"/>
        <w:jc w:val="left"/>
        <w:rPr>
          <w:rFonts w:hint="eastAsia" w:ascii="Times New Roman" w:hAnsi="Times New Roman" w:eastAsia="仿宋_GB2312" w:cs="Times New Roman"/>
          <w:spacing w:val="0"/>
          <w:kern w:val="0"/>
          <w:sz w:val="36"/>
          <w:szCs w:val="36"/>
          <w:lang w:eastAsia="zh-CN"/>
        </w:rPr>
      </w:pPr>
      <w:r>
        <w:rPr>
          <w:rFonts w:hint="default" w:ascii="Times New Roman" w:hAnsi="Times New Roman" w:eastAsia="仿宋_GB2312" w:cs="Times New Roman"/>
          <w:spacing w:val="0"/>
          <w:kern w:val="0"/>
          <w:sz w:val="36"/>
          <w:szCs w:val="36"/>
        </w:rPr>
        <w:t>主管部门（公章）：</w:t>
      </w:r>
      <w:r>
        <w:rPr>
          <w:rFonts w:hint="eastAsia" w:eastAsia="仿宋_GB2312" w:cs="Times New Roman"/>
          <w:spacing w:val="0"/>
          <w:kern w:val="0"/>
          <w:sz w:val="36"/>
          <w:szCs w:val="36"/>
          <w:lang w:eastAsia="zh-CN"/>
        </w:rPr>
        <w:t>库尔勒市财政局</w:t>
      </w:r>
    </w:p>
    <w:p>
      <w:pPr>
        <w:keepNext/>
        <w:keepLines w:val="0"/>
        <w:pageBreakBefore w:val="0"/>
        <w:widowControl w:val="0"/>
        <w:kinsoku/>
        <w:wordWrap/>
        <w:overflowPunct/>
        <w:topLinePunct w:val="0"/>
        <w:autoSpaceDE/>
        <w:autoSpaceDN/>
        <w:bidi w:val="0"/>
        <w:adjustRightInd/>
        <w:snapToGrid/>
        <w:spacing w:line="700" w:lineRule="exact"/>
        <w:ind w:firstLine="1440" w:firstLineChars="400"/>
        <w:jc w:val="left"/>
        <w:rPr>
          <w:rFonts w:hint="eastAsia" w:ascii="Times New Roman" w:hAnsi="Times New Roman" w:eastAsia="仿宋_GB2312" w:cs="Times New Roman"/>
          <w:spacing w:val="0"/>
          <w:kern w:val="0"/>
          <w:sz w:val="36"/>
          <w:szCs w:val="36"/>
          <w:lang w:eastAsia="zh-CN"/>
        </w:rPr>
      </w:pPr>
      <w:r>
        <w:rPr>
          <w:rFonts w:hint="default" w:ascii="Times New Roman" w:hAnsi="Times New Roman" w:eastAsia="仿宋_GB2312" w:cs="Times New Roman"/>
          <w:spacing w:val="0"/>
          <w:kern w:val="0"/>
          <w:sz w:val="36"/>
          <w:szCs w:val="36"/>
        </w:rPr>
        <w:t>项目负责人（签章）：</w:t>
      </w:r>
      <w:r>
        <w:rPr>
          <w:rFonts w:hint="eastAsia" w:eastAsia="仿宋_GB2312" w:cs="Times New Roman"/>
          <w:spacing w:val="0"/>
          <w:kern w:val="0"/>
          <w:sz w:val="36"/>
          <w:szCs w:val="36"/>
          <w:lang w:eastAsia="zh-CN"/>
        </w:rPr>
        <w:t>罗浩鹏</w:t>
      </w:r>
    </w:p>
    <w:p>
      <w:pPr>
        <w:keepNext/>
        <w:keepLines w:val="0"/>
        <w:pageBreakBefore w:val="0"/>
        <w:widowControl w:val="0"/>
        <w:kinsoku/>
        <w:wordWrap/>
        <w:overflowPunct/>
        <w:topLinePunct w:val="0"/>
        <w:autoSpaceDE/>
        <w:autoSpaceDN/>
        <w:bidi w:val="0"/>
        <w:adjustRightInd/>
        <w:snapToGrid/>
        <w:spacing w:line="700" w:lineRule="exact"/>
        <w:ind w:firstLine="1440" w:firstLineChars="400"/>
        <w:jc w:val="left"/>
        <w:rPr>
          <w:rFonts w:hint="default" w:ascii="Times New Roman" w:hAnsi="Times New Roman" w:eastAsia="仿宋_GB2312" w:cs="Times New Roman"/>
          <w:spacing w:val="0"/>
          <w:kern w:val="0"/>
          <w:sz w:val="36"/>
          <w:szCs w:val="36"/>
        </w:rPr>
      </w:pPr>
      <w:r>
        <w:rPr>
          <w:rFonts w:hint="default" w:ascii="Times New Roman" w:hAnsi="Times New Roman" w:eastAsia="仿宋_GB2312" w:cs="Times New Roman"/>
          <w:spacing w:val="0"/>
          <w:kern w:val="0"/>
          <w:sz w:val="36"/>
          <w:szCs w:val="36"/>
        </w:rPr>
        <w:t>填报时间：</w:t>
      </w:r>
      <w:r>
        <w:rPr>
          <w:rFonts w:hint="eastAsia" w:eastAsia="仿宋_GB2312" w:cs="Times New Roman"/>
          <w:spacing w:val="0"/>
          <w:kern w:val="0"/>
          <w:sz w:val="36"/>
          <w:szCs w:val="36"/>
          <w:lang w:val="en-US" w:eastAsia="zh-CN"/>
        </w:rPr>
        <w:t>2025</w:t>
      </w:r>
      <w:r>
        <w:rPr>
          <w:rFonts w:hint="default" w:ascii="Times New Roman" w:hAnsi="Times New Roman" w:eastAsia="仿宋_GB2312" w:cs="Times New Roman"/>
          <w:spacing w:val="0"/>
          <w:kern w:val="0"/>
          <w:sz w:val="36"/>
          <w:szCs w:val="36"/>
        </w:rPr>
        <w:t>年</w:t>
      </w:r>
      <w:r>
        <w:rPr>
          <w:rFonts w:hint="eastAsia" w:eastAsia="仿宋_GB2312" w:cs="Times New Roman"/>
          <w:spacing w:val="0"/>
          <w:kern w:val="0"/>
          <w:sz w:val="36"/>
          <w:szCs w:val="36"/>
          <w:lang w:val="en-US" w:eastAsia="zh-CN"/>
        </w:rPr>
        <w:t>4</w:t>
      </w:r>
      <w:r>
        <w:rPr>
          <w:rFonts w:hint="default" w:ascii="Times New Roman" w:hAnsi="Times New Roman" w:eastAsia="仿宋_GB2312" w:cs="Times New Roman"/>
          <w:spacing w:val="0"/>
          <w:kern w:val="0"/>
          <w:sz w:val="36"/>
          <w:szCs w:val="36"/>
        </w:rPr>
        <w:t>月</w:t>
      </w:r>
      <w:r>
        <w:rPr>
          <w:rFonts w:hint="eastAsia" w:eastAsia="仿宋_GB2312" w:cs="Times New Roman"/>
          <w:spacing w:val="0"/>
          <w:kern w:val="0"/>
          <w:sz w:val="36"/>
          <w:szCs w:val="36"/>
          <w:lang w:val="en-US" w:eastAsia="zh-CN"/>
        </w:rPr>
        <w:t>28</w:t>
      </w:r>
      <w:r>
        <w:rPr>
          <w:rFonts w:hint="default" w:ascii="Times New Roman" w:hAnsi="Times New Roman" w:eastAsia="仿宋_GB2312" w:cs="Times New Roman"/>
          <w:spacing w:val="0"/>
          <w:kern w:val="0"/>
          <w:sz w:val="36"/>
          <w:szCs w:val="36"/>
        </w:rPr>
        <w:t>日</w:t>
      </w:r>
    </w:p>
    <w:p>
      <w:pPr>
        <w:keepNext/>
        <w:keepLines w:val="0"/>
        <w:pageBreakBefore w:val="0"/>
        <w:widowControl w:val="0"/>
        <w:kinsoku/>
        <w:wordWrap/>
        <w:overflowPunct/>
        <w:topLinePunct w:val="0"/>
        <w:autoSpaceDE/>
        <w:autoSpaceDN/>
        <w:bidi w:val="0"/>
        <w:adjustRightInd/>
        <w:snapToGrid/>
        <w:spacing w:line="540" w:lineRule="exact"/>
        <w:jc w:val="center"/>
        <w:rPr>
          <w:rFonts w:hint="default" w:ascii="Times New Roman" w:hAnsi="Times New Roman" w:eastAsia="仿宋_GB2312" w:cs="Times New Roman"/>
          <w:spacing w:val="0"/>
          <w:kern w:val="0"/>
          <w:sz w:val="30"/>
          <w:szCs w:val="30"/>
        </w:rPr>
      </w:pPr>
    </w:p>
    <w:p>
      <w:pPr>
        <w:keepNext/>
        <w:keepLines w:val="0"/>
        <w:pageBreakBefore w:val="0"/>
        <w:widowControl w:val="0"/>
        <w:kinsoku/>
        <w:wordWrap/>
        <w:overflowPunct/>
        <w:topLinePunct w:val="0"/>
        <w:autoSpaceDE/>
        <w:autoSpaceDN/>
        <w:bidi w:val="0"/>
        <w:adjustRightInd/>
        <w:snapToGrid/>
        <w:spacing w:line="540" w:lineRule="exact"/>
        <w:rPr>
          <w:rStyle w:val="16"/>
          <w:rFonts w:hint="default" w:ascii="Times New Roman" w:hAnsi="Times New Roman" w:eastAsia="黑体" w:cs="Times New Roman"/>
          <w:b w:val="0"/>
          <w:spacing w:val="0"/>
          <w:sz w:val="32"/>
          <w:szCs w:val="32"/>
        </w:rPr>
      </w:pPr>
    </w:p>
    <w:p>
      <w:pPr>
        <w:keepNext/>
        <w:keepLines w:val="0"/>
        <w:pageBreakBefore w:val="0"/>
        <w:widowControl w:val="0"/>
        <w:kinsoku/>
        <w:wordWrap/>
        <w:overflowPunct/>
        <w:topLinePunct w:val="0"/>
        <w:autoSpaceDE/>
        <w:autoSpaceDN/>
        <w:bidi w:val="0"/>
        <w:adjustRightInd/>
        <w:snapToGrid/>
        <w:spacing w:line="540" w:lineRule="exact"/>
        <w:ind w:firstLine="640"/>
        <w:rPr>
          <w:rStyle w:val="16"/>
          <w:rFonts w:hint="default" w:ascii="Times New Roman" w:hAnsi="Times New Roman" w:eastAsia="黑体" w:cs="Times New Roman"/>
          <w:b w:val="0"/>
          <w:spacing w:val="0"/>
          <w:sz w:val="32"/>
          <w:szCs w:val="32"/>
        </w:rPr>
      </w:pPr>
    </w:p>
    <w:p>
      <w:pPr>
        <w:keepNext/>
        <w:keepLines w:val="0"/>
        <w:pageBreakBefore w:val="0"/>
        <w:widowControl w:val="0"/>
        <w:kinsoku/>
        <w:wordWrap/>
        <w:overflowPunct/>
        <w:topLinePunct w:val="0"/>
        <w:autoSpaceDE/>
        <w:autoSpaceDN/>
        <w:bidi w:val="0"/>
        <w:adjustRightInd/>
        <w:snapToGrid/>
        <w:spacing w:line="540" w:lineRule="exact"/>
        <w:rPr>
          <w:rStyle w:val="16"/>
          <w:rFonts w:hint="default" w:ascii="Times New Roman" w:hAnsi="Times New Roman" w:eastAsia="黑体" w:cs="Times New Roman"/>
          <w:b w:val="0"/>
          <w:spacing w:val="0"/>
          <w:sz w:val="32"/>
          <w:szCs w:val="32"/>
        </w:rPr>
      </w:pP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bCs/>
          <w:spacing w:val="0"/>
          <w:sz w:val="32"/>
          <w:szCs w:val="32"/>
        </w:rPr>
        <w:sectPr>
          <w:pgSz w:w="11906" w:h="16838"/>
          <w:pgMar w:top="1440" w:right="1558" w:bottom="1440" w:left="1800" w:header="851" w:footer="992" w:gutter="0"/>
          <w:cols w:space="425" w:num="1"/>
          <w:docGrid w:type="lines" w:linePitch="312" w:charSpace="0"/>
        </w:sectPr>
      </w:pP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bCs/>
          <w:spacing w:val="0"/>
          <w:sz w:val="32"/>
          <w:szCs w:val="32"/>
        </w:rPr>
      </w:pPr>
      <w:r>
        <w:rPr>
          <w:rFonts w:hint="default" w:ascii="Times New Roman" w:hAnsi="Times New Roman" w:eastAsia="黑体" w:cs="Times New Roman"/>
          <w:bCs/>
          <w:spacing w:val="0"/>
          <w:sz w:val="32"/>
          <w:szCs w:val="32"/>
        </w:rPr>
        <w:t>一、基本情况</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pacing w:val="0"/>
          <w:sz w:val="32"/>
          <w:szCs w:val="32"/>
        </w:rPr>
      </w:pPr>
      <w:r>
        <w:rPr>
          <w:rFonts w:hint="default" w:ascii="Times New Roman" w:hAnsi="Times New Roman" w:eastAsia="楷体_GB2312" w:cs="Times New Roman"/>
          <w:b/>
          <w:bCs/>
          <w:spacing w:val="0"/>
          <w:sz w:val="32"/>
          <w:szCs w:val="32"/>
        </w:rPr>
        <w:t>（一）项目概况</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仿宋_GB2312" w:cs="Times New Roman"/>
          <w:b/>
          <w:bCs/>
          <w:spacing w:val="0"/>
          <w:sz w:val="32"/>
          <w:szCs w:val="32"/>
        </w:rPr>
      </w:pPr>
      <w:r>
        <w:rPr>
          <w:rFonts w:hint="default" w:ascii="Times New Roman" w:hAnsi="Times New Roman" w:eastAsia="仿宋_GB2312" w:cs="Times New Roman"/>
          <w:b/>
          <w:bCs/>
          <w:spacing w:val="0"/>
          <w:sz w:val="32"/>
          <w:szCs w:val="32"/>
        </w:rPr>
        <w:t>1</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b/>
          <w:bCs/>
          <w:spacing w:val="0"/>
          <w:sz w:val="32"/>
          <w:szCs w:val="32"/>
        </w:rPr>
        <w:t>项目背景</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Style w:val="16"/>
          <w:rFonts w:hint="eastAsia" w:ascii="方正仿宋_GBK" w:hAnsi="方正仿宋_GBK" w:eastAsia="方正仿宋_GBK" w:cs="方正仿宋_GBK"/>
          <w:b w:val="0"/>
          <w:bCs/>
          <w:spacing w:val="0"/>
          <w:sz w:val="32"/>
          <w:szCs w:val="32"/>
          <w:highlight w:val="none"/>
          <w:lang w:eastAsia="zh-CN"/>
        </w:rPr>
      </w:pPr>
      <w:r>
        <w:rPr>
          <w:rStyle w:val="16"/>
          <w:rFonts w:hint="eastAsia" w:ascii="方正仿宋_GBK" w:hAnsi="方正仿宋_GBK" w:eastAsia="方正仿宋_GBK" w:cs="方正仿宋_GBK"/>
          <w:b w:val="0"/>
          <w:bCs/>
          <w:spacing w:val="0"/>
          <w:sz w:val="32"/>
          <w:szCs w:val="32"/>
          <w:highlight w:val="none"/>
          <w:lang w:eastAsia="zh-CN"/>
        </w:rPr>
        <w:t>随着国家对基层党建工作的重视，社区党建成为巩固党的执政基础、提升社会治理能力的关键。近年来，中央和地方政府多次发文，强调加强社区党建工作，要求基层党组织充分发挥服务群众、促进和谐、推动发展的作用。为此，社区党建经费项目应运而生，旨在为基层党组织提供资金支持，推动党建工作的有效开展。城市化进程加快，社区作为社会治理的基本单元，面临人口结构复杂、利益诉求多样等挑战。基层党组织在社区治理中扮演着核心角色，承担着组织群众、服务群众、凝聚群众的重要职责。然而，部分社区党组织面临资金不足、资源匮乏等问题，影响了党建工作的深入开展。因此，设立社区党建经费项目，有助于解决这些实际问题，提升基层党组织的服务能力。</w:t>
      </w:r>
    </w:p>
    <w:p>
      <w:pPr>
        <w:pStyle w:val="10"/>
        <w:keepNext/>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3" w:firstLineChars="200"/>
        <w:jc w:val="both"/>
        <w:rPr>
          <w:rFonts w:hint="default" w:ascii="Times New Roman" w:hAnsi="Times New Roman" w:eastAsia="仿宋_GB2312" w:cs="Times New Roman"/>
          <w:spacing w:val="0"/>
          <w:kern w:val="2"/>
        </w:rPr>
      </w:pPr>
      <w:r>
        <w:rPr>
          <w:rFonts w:hint="default" w:ascii="Times New Roman" w:hAnsi="Times New Roman" w:eastAsia="仿宋_GB2312" w:cs="Times New Roman"/>
          <w:spacing w:val="0"/>
          <w:kern w:val="2"/>
          <w:lang w:val="en-US" w:eastAsia="zh-CN"/>
        </w:rPr>
        <w:t>2.</w:t>
      </w:r>
      <w:r>
        <w:rPr>
          <w:rFonts w:hint="default" w:ascii="Times New Roman" w:hAnsi="Times New Roman" w:eastAsia="仿宋_GB2312" w:cs="Times New Roman"/>
          <w:spacing w:val="0"/>
          <w:kern w:val="2"/>
        </w:rPr>
        <w:t>项目主要内容：</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Style w:val="16"/>
          <w:rFonts w:hint="eastAsia" w:ascii="Times New Roman" w:hAnsi="Times New Roman" w:eastAsia="方正仿宋_GBK" w:cs="方正仿宋_GBK"/>
          <w:b w:val="0"/>
          <w:bCs/>
          <w:spacing w:val="0"/>
          <w:sz w:val="32"/>
          <w:szCs w:val="36"/>
          <w:highlight w:val="none"/>
          <w:lang w:eastAsia="zh-CN"/>
        </w:rPr>
      </w:pPr>
      <w:r>
        <w:rPr>
          <w:rStyle w:val="16"/>
          <w:rFonts w:hint="eastAsia" w:eastAsia="方正仿宋_GBK" w:cs="方正仿宋_GBK"/>
          <w:b w:val="0"/>
          <w:bCs/>
          <w:spacing w:val="0"/>
          <w:sz w:val="32"/>
          <w:szCs w:val="36"/>
          <w:highlight w:val="none"/>
          <w:lang w:eastAsia="zh-CN"/>
        </w:rPr>
        <w:t>项目主要内容：</w:t>
      </w:r>
      <w:r>
        <w:rPr>
          <w:rStyle w:val="16"/>
          <w:rFonts w:hint="eastAsia" w:ascii="Times New Roman" w:hAnsi="Times New Roman" w:eastAsia="方正仿宋_GBK" w:cs="方正仿宋_GBK"/>
          <w:b w:val="0"/>
          <w:bCs/>
          <w:spacing w:val="0"/>
          <w:sz w:val="32"/>
          <w:szCs w:val="36"/>
          <w:highlight w:val="none"/>
          <w:lang w:eastAsia="zh-CN"/>
        </w:rPr>
        <w:t>社区党建经费项目的目标是通过资金支持，推动基层党组织建设，增强党组织的凝聚力和战斗力，具体包括：</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Style w:val="16"/>
          <w:rFonts w:hint="eastAsia" w:ascii="Times New Roman" w:hAnsi="Times New Roman" w:eastAsia="方正仿宋_GBK" w:cs="方正仿宋_GBK"/>
          <w:b w:val="0"/>
          <w:bCs/>
          <w:spacing w:val="0"/>
          <w:sz w:val="32"/>
          <w:szCs w:val="36"/>
          <w:highlight w:val="none"/>
          <w:lang w:eastAsia="zh-CN"/>
        </w:rPr>
      </w:pPr>
      <w:r>
        <w:rPr>
          <w:rStyle w:val="16"/>
          <w:rFonts w:hint="eastAsia" w:ascii="Times New Roman" w:hAnsi="Times New Roman" w:eastAsia="方正仿宋_GBK" w:cs="方正仿宋_GBK"/>
          <w:b w:val="0"/>
          <w:bCs/>
          <w:spacing w:val="0"/>
          <w:sz w:val="32"/>
          <w:szCs w:val="36"/>
          <w:highlight w:val="none"/>
          <w:lang w:eastAsia="zh-CN"/>
        </w:rPr>
        <w:t>（</w:t>
      </w:r>
      <w:r>
        <w:rPr>
          <w:rStyle w:val="16"/>
          <w:rFonts w:hint="eastAsia" w:ascii="Times New Roman" w:hAnsi="Times New Roman" w:eastAsia="方正仿宋_GBK" w:cs="方正仿宋_GBK"/>
          <w:b w:val="0"/>
          <w:bCs/>
          <w:spacing w:val="0"/>
          <w:sz w:val="32"/>
          <w:szCs w:val="36"/>
          <w:highlight w:val="none"/>
          <w:lang w:val="en-US" w:eastAsia="zh-CN"/>
        </w:rPr>
        <w:t>1</w:t>
      </w:r>
      <w:r>
        <w:rPr>
          <w:rStyle w:val="16"/>
          <w:rFonts w:hint="eastAsia" w:ascii="Times New Roman" w:hAnsi="Times New Roman" w:eastAsia="方正仿宋_GBK" w:cs="方正仿宋_GBK"/>
          <w:b w:val="0"/>
          <w:bCs/>
          <w:spacing w:val="0"/>
          <w:sz w:val="32"/>
          <w:szCs w:val="36"/>
          <w:highlight w:val="none"/>
          <w:lang w:eastAsia="zh-CN"/>
        </w:rPr>
        <w:t>）加强组织建设：完善组织架构，提升党员队伍素质；</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Style w:val="16"/>
          <w:rFonts w:hint="eastAsia" w:ascii="Times New Roman" w:hAnsi="Times New Roman" w:eastAsia="方正仿宋_GBK" w:cs="方正仿宋_GBK"/>
          <w:b w:val="0"/>
          <w:bCs/>
          <w:spacing w:val="0"/>
          <w:sz w:val="32"/>
          <w:szCs w:val="36"/>
          <w:highlight w:val="none"/>
          <w:lang w:eastAsia="zh-CN"/>
        </w:rPr>
      </w:pPr>
      <w:r>
        <w:rPr>
          <w:rStyle w:val="16"/>
          <w:rFonts w:hint="eastAsia" w:ascii="Times New Roman" w:hAnsi="Times New Roman" w:eastAsia="方正仿宋_GBK" w:cs="方正仿宋_GBK"/>
          <w:b w:val="0"/>
          <w:bCs/>
          <w:spacing w:val="0"/>
          <w:sz w:val="32"/>
          <w:szCs w:val="36"/>
          <w:highlight w:val="none"/>
          <w:lang w:eastAsia="zh-CN"/>
        </w:rPr>
        <w:t>（</w:t>
      </w:r>
      <w:r>
        <w:rPr>
          <w:rStyle w:val="16"/>
          <w:rFonts w:hint="eastAsia" w:ascii="Times New Roman" w:hAnsi="Times New Roman" w:eastAsia="方正仿宋_GBK" w:cs="方正仿宋_GBK"/>
          <w:b w:val="0"/>
          <w:bCs/>
          <w:spacing w:val="0"/>
          <w:sz w:val="32"/>
          <w:szCs w:val="36"/>
          <w:highlight w:val="none"/>
          <w:lang w:val="en-US" w:eastAsia="zh-CN"/>
        </w:rPr>
        <w:t>2</w:t>
      </w:r>
      <w:r>
        <w:rPr>
          <w:rStyle w:val="16"/>
          <w:rFonts w:hint="eastAsia" w:ascii="Times New Roman" w:hAnsi="Times New Roman" w:eastAsia="方正仿宋_GBK" w:cs="方正仿宋_GBK"/>
          <w:b w:val="0"/>
          <w:bCs/>
          <w:spacing w:val="0"/>
          <w:sz w:val="32"/>
          <w:szCs w:val="36"/>
          <w:highlight w:val="none"/>
          <w:lang w:eastAsia="zh-CN"/>
        </w:rPr>
        <w:t>）创新活动形式：开展多样化的党建活动，增强群众参与度；</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Style w:val="16"/>
          <w:rFonts w:hint="eastAsia" w:ascii="Times New Roman" w:hAnsi="Times New Roman" w:eastAsia="方正仿宋_GBK" w:cs="方正仿宋_GBK"/>
          <w:b w:val="0"/>
          <w:bCs/>
          <w:spacing w:val="0"/>
          <w:sz w:val="32"/>
          <w:szCs w:val="36"/>
          <w:highlight w:val="none"/>
          <w:lang w:eastAsia="zh-CN"/>
        </w:rPr>
      </w:pPr>
      <w:r>
        <w:rPr>
          <w:rStyle w:val="16"/>
          <w:rFonts w:hint="eastAsia" w:ascii="Times New Roman" w:hAnsi="Times New Roman" w:eastAsia="方正仿宋_GBK" w:cs="方正仿宋_GBK"/>
          <w:b w:val="0"/>
          <w:bCs/>
          <w:spacing w:val="0"/>
          <w:sz w:val="32"/>
          <w:szCs w:val="36"/>
          <w:highlight w:val="none"/>
          <w:lang w:eastAsia="zh-CN"/>
        </w:rPr>
        <w:t>（</w:t>
      </w:r>
      <w:r>
        <w:rPr>
          <w:rStyle w:val="16"/>
          <w:rFonts w:hint="eastAsia" w:ascii="Times New Roman" w:hAnsi="Times New Roman" w:eastAsia="方正仿宋_GBK" w:cs="方正仿宋_GBK"/>
          <w:b w:val="0"/>
          <w:bCs/>
          <w:spacing w:val="0"/>
          <w:sz w:val="32"/>
          <w:szCs w:val="36"/>
          <w:highlight w:val="none"/>
          <w:lang w:val="en-US" w:eastAsia="zh-CN"/>
        </w:rPr>
        <w:t>3</w:t>
      </w:r>
      <w:r>
        <w:rPr>
          <w:rStyle w:val="16"/>
          <w:rFonts w:hint="eastAsia" w:ascii="Times New Roman" w:hAnsi="Times New Roman" w:eastAsia="方正仿宋_GBK" w:cs="方正仿宋_GBK"/>
          <w:b w:val="0"/>
          <w:bCs/>
          <w:spacing w:val="0"/>
          <w:sz w:val="32"/>
          <w:szCs w:val="36"/>
          <w:highlight w:val="none"/>
          <w:lang w:eastAsia="zh-CN"/>
        </w:rPr>
        <w:t>）改善服务条件：优化社区服务设施，提升服务质量和效率；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highlight w:val="none"/>
          <w:lang w:eastAsia="zh-CN"/>
        </w:rPr>
      </w:pPr>
      <w:r>
        <w:rPr>
          <w:rStyle w:val="16"/>
          <w:rFonts w:hint="eastAsia" w:ascii="Times New Roman" w:hAnsi="Times New Roman" w:eastAsia="方正仿宋_GBK" w:cs="方正仿宋_GBK"/>
          <w:b w:val="0"/>
          <w:bCs/>
          <w:spacing w:val="0"/>
          <w:sz w:val="32"/>
          <w:szCs w:val="36"/>
          <w:highlight w:val="none"/>
          <w:lang w:eastAsia="zh-CN"/>
        </w:rPr>
        <w:t>（</w:t>
      </w:r>
      <w:r>
        <w:rPr>
          <w:rStyle w:val="16"/>
          <w:rFonts w:hint="eastAsia" w:ascii="Times New Roman" w:hAnsi="Times New Roman" w:eastAsia="方正仿宋_GBK" w:cs="方正仿宋_GBK"/>
          <w:b w:val="0"/>
          <w:bCs/>
          <w:spacing w:val="0"/>
          <w:sz w:val="32"/>
          <w:szCs w:val="36"/>
          <w:highlight w:val="none"/>
          <w:lang w:val="en-US" w:eastAsia="zh-CN"/>
        </w:rPr>
        <w:t>4</w:t>
      </w:r>
      <w:r>
        <w:rPr>
          <w:rStyle w:val="16"/>
          <w:rFonts w:hint="eastAsia" w:ascii="Times New Roman" w:hAnsi="Times New Roman" w:eastAsia="方正仿宋_GBK" w:cs="方正仿宋_GBK"/>
          <w:b w:val="0"/>
          <w:bCs/>
          <w:spacing w:val="0"/>
          <w:sz w:val="32"/>
          <w:szCs w:val="36"/>
          <w:highlight w:val="none"/>
          <w:lang w:eastAsia="zh-CN"/>
        </w:rPr>
        <w:t>）推动社区治理：通过党建引领，促进社区和谐与发展。</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cs="Times New Roman"/>
          <w:spacing w:val="0"/>
        </w:rPr>
      </w:pPr>
      <w:r>
        <w:rPr>
          <w:rFonts w:hint="default" w:ascii="Times New Roman" w:hAnsi="Times New Roman" w:eastAsia="仿宋_GB2312" w:cs="Times New Roman"/>
          <w:spacing w:val="0"/>
          <w:sz w:val="32"/>
          <w:szCs w:val="32"/>
        </w:rPr>
        <w:t>项目实施情况：通过实施该项目，已实现五个社区党委全覆盖，保障3个大社区、1个中社区、1个小社区正常运转。抓好街道各社区基层党组织建设，确保基层党组织各项事业稳定有序开展，保障各项事业规范运行，完成各项活动，受益居民2.9万余人。</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仿宋_GB2312" w:cs="Times New Roman"/>
          <w:b/>
          <w:bCs/>
          <w:spacing w:val="0"/>
          <w:sz w:val="32"/>
          <w:szCs w:val="32"/>
        </w:rPr>
      </w:pPr>
      <w:r>
        <w:rPr>
          <w:rFonts w:hint="default" w:ascii="Times New Roman" w:hAnsi="Times New Roman" w:eastAsia="仿宋_GB2312" w:cs="Times New Roman"/>
          <w:b/>
          <w:bCs/>
          <w:spacing w:val="0"/>
          <w:sz w:val="32"/>
          <w:szCs w:val="32"/>
        </w:rPr>
        <w:t>3</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b/>
          <w:bCs/>
          <w:spacing w:val="0"/>
          <w:sz w:val="32"/>
          <w:szCs w:val="32"/>
        </w:rPr>
        <w:t>资金投入和使用情况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（1）资金投入情况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color w:val="FF0000"/>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该项目年初预算数</w:t>
      </w:r>
      <w:r>
        <w:rPr>
          <w:rFonts w:hint="eastAsia" w:eastAsia="仿宋_GB2312" w:cs="Times New Roman"/>
          <w:spacing w:val="0"/>
          <w:sz w:val="32"/>
          <w:szCs w:val="32"/>
          <w:highlight w:val="none"/>
          <w:lang w:val="en-US" w:eastAsia="zh-CN"/>
        </w:rPr>
        <w:t>85</w:t>
      </w:r>
      <w:r>
        <w:rPr>
          <w:rFonts w:hint="default" w:ascii="Times New Roman" w:hAnsi="Times New Roman" w:eastAsia="仿宋_GB2312" w:cs="Times New Roman"/>
          <w:spacing w:val="0"/>
          <w:sz w:val="32"/>
          <w:szCs w:val="32"/>
          <w:highlight w:val="none"/>
          <w:lang w:val="en-US" w:eastAsia="zh-CN"/>
        </w:rPr>
        <w:t>万元，全年预算数</w:t>
      </w:r>
      <w:r>
        <w:rPr>
          <w:rFonts w:hint="eastAsia" w:eastAsia="仿宋_GB2312" w:cs="Times New Roman"/>
          <w:spacing w:val="0"/>
          <w:sz w:val="32"/>
          <w:szCs w:val="32"/>
          <w:highlight w:val="none"/>
          <w:lang w:val="en-US" w:eastAsia="zh-CN"/>
        </w:rPr>
        <w:t>85</w:t>
      </w:r>
      <w:r>
        <w:rPr>
          <w:rFonts w:hint="default" w:ascii="Times New Roman" w:hAnsi="Times New Roman" w:eastAsia="仿宋_GB2312" w:cs="Times New Roman"/>
          <w:spacing w:val="0"/>
          <w:sz w:val="32"/>
          <w:szCs w:val="32"/>
          <w:highlight w:val="none"/>
          <w:lang w:val="en-US" w:eastAsia="zh-CN"/>
        </w:rPr>
        <w:t>万元，该项目资金已全部落实到位，资金</w:t>
      </w:r>
      <w:r>
        <w:rPr>
          <w:rFonts w:hint="default" w:ascii="Times New Roman" w:hAnsi="Times New Roman" w:eastAsia="仿宋_GB2312" w:cs="Times New Roman"/>
          <w:color w:val="auto"/>
          <w:spacing w:val="0"/>
          <w:sz w:val="32"/>
          <w:szCs w:val="32"/>
          <w:highlight w:val="none"/>
          <w:lang w:val="en-US" w:eastAsia="zh-CN"/>
        </w:rPr>
        <w:t>来源为</w:t>
      </w:r>
      <w:r>
        <w:rPr>
          <w:rFonts w:hint="eastAsia" w:eastAsia="仿宋_GB2312" w:cs="Times New Roman"/>
          <w:color w:val="auto"/>
          <w:spacing w:val="0"/>
          <w:sz w:val="32"/>
          <w:szCs w:val="32"/>
          <w:highlight w:val="none"/>
          <w:lang w:val="en-US" w:eastAsia="zh-CN"/>
        </w:rPr>
        <w:t>财政拨款</w:t>
      </w:r>
      <w:r>
        <w:rPr>
          <w:rFonts w:hint="default" w:ascii="Times New Roman" w:hAnsi="Times New Roman" w:eastAsia="仿宋_GB2312" w:cs="Times New Roman"/>
          <w:color w:val="auto"/>
          <w:spacing w:val="0"/>
          <w:sz w:val="32"/>
          <w:szCs w:val="32"/>
          <w:highlight w:val="none"/>
          <w:lang w:val="en-US"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（2）资金使用情况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该项目年初预算数</w:t>
      </w:r>
      <w:r>
        <w:rPr>
          <w:rFonts w:hint="eastAsia" w:eastAsia="仿宋_GB2312" w:cs="Times New Roman"/>
          <w:spacing w:val="0"/>
          <w:sz w:val="32"/>
          <w:szCs w:val="32"/>
          <w:highlight w:val="none"/>
          <w:lang w:val="en-US" w:eastAsia="zh-CN"/>
        </w:rPr>
        <w:t>85</w:t>
      </w:r>
      <w:r>
        <w:rPr>
          <w:rFonts w:hint="default" w:ascii="Times New Roman" w:hAnsi="Times New Roman" w:eastAsia="仿宋_GB2312" w:cs="Times New Roman"/>
          <w:spacing w:val="0"/>
          <w:sz w:val="32"/>
          <w:szCs w:val="32"/>
          <w:highlight w:val="none"/>
          <w:lang w:val="en-US" w:eastAsia="zh-CN"/>
        </w:rPr>
        <w:t>万元，全年预算数</w:t>
      </w:r>
      <w:r>
        <w:rPr>
          <w:rFonts w:hint="eastAsia" w:eastAsia="仿宋_GB2312" w:cs="Times New Roman"/>
          <w:spacing w:val="0"/>
          <w:sz w:val="32"/>
          <w:szCs w:val="32"/>
          <w:highlight w:val="none"/>
          <w:lang w:val="en-US" w:eastAsia="zh-CN"/>
        </w:rPr>
        <w:t>85</w:t>
      </w:r>
      <w:r>
        <w:rPr>
          <w:rFonts w:hint="default" w:ascii="Times New Roman" w:hAnsi="Times New Roman" w:eastAsia="仿宋_GB2312" w:cs="Times New Roman"/>
          <w:spacing w:val="0"/>
          <w:sz w:val="32"/>
          <w:szCs w:val="32"/>
          <w:highlight w:val="none"/>
          <w:lang w:val="en-US" w:eastAsia="zh-CN"/>
        </w:rPr>
        <w:t>万，全年执行数</w:t>
      </w:r>
      <w:r>
        <w:rPr>
          <w:rFonts w:hint="eastAsia" w:eastAsia="仿宋_GB2312" w:cs="Times New Roman"/>
          <w:spacing w:val="0"/>
          <w:sz w:val="32"/>
          <w:szCs w:val="32"/>
          <w:highlight w:val="none"/>
          <w:lang w:val="en-US" w:eastAsia="zh-CN"/>
        </w:rPr>
        <w:t>85</w:t>
      </w:r>
      <w:r>
        <w:rPr>
          <w:rFonts w:hint="default" w:ascii="Times New Roman" w:hAnsi="Times New Roman" w:eastAsia="仿宋_GB2312" w:cs="Times New Roman"/>
          <w:spacing w:val="0"/>
          <w:sz w:val="32"/>
          <w:szCs w:val="32"/>
          <w:highlight w:val="none"/>
          <w:lang w:val="en-US" w:eastAsia="zh-CN"/>
        </w:rPr>
        <w:t>万元，预算执行率为</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，主要用于：</w:t>
      </w:r>
      <w:r>
        <w:rPr>
          <w:rFonts w:hint="eastAsia" w:eastAsia="仿宋_GB2312" w:cs="Times New Roman"/>
          <w:spacing w:val="0"/>
          <w:sz w:val="32"/>
          <w:szCs w:val="32"/>
          <w:highlight w:val="none"/>
          <w:lang w:val="en-US" w:eastAsia="zh-CN"/>
        </w:rPr>
        <w:t>保障大型社区运转60万元，保障中型社区运转15万元，保障小型社区运转10万元。</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pacing w:val="0"/>
          <w:sz w:val="32"/>
          <w:szCs w:val="32"/>
        </w:rPr>
      </w:pPr>
      <w:r>
        <w:rPr>
          <w:rFonts w:hint="default" w:ascii="Times New Roman" w:hAnsi="Times New Roman" w:eastAsia="楷体_GB2312" w:cs="Times New Roman"/>
          <w:b/>
          <w:bCs/>
          <w:spacing w:val="0"/>
          <w:sz w:val="32"/>
          <w:szCs w:val="32"/>
        </w:rPr>
        <w:t>（二）项目绩效目标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Times New Roman" w:hAnsi="Times New Roman" w:eastAsia="仿宋_GB2312" w:cs="Times New Roman"/>
          <w:spacing w:val="0"/>
          <w:sz w:val="32"/>
          <w:szCs w:val="32"/>
          <w:lang w:eastAsia="zh-CN"/>
        </w:rPr>
      </w:pPr>
      <w:r>
        <w:rPr>
          <w:rFonts w:hint="default" w:ascii="Times New Roman" w:hAnsi="Times New Roman" w:eastAsia="仿宋_GB2312" w:cs="Times New Roman"/>
          <w:spacing w:val="0"/>
          <w:sz w:val="32"/>
          <w:szCs w:val="32"/>
        </w:rPr>
        <w:t>1</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spacing w:val="0"/>
          <w:sz w:val="32"/>
          <w:szCs w:val="32"/>
        </w:rPr>
        <w:t>总体目标</w:t>
      </w:r>
      <w:r>
        <w:rPr>
          <w:rFonts w:hint="eastAsia" w:eastAsia="仿宋_GB2312" w:cs="Times New Roman"/>
          <w:spacing w:val="0"/>
          <w:sz w:val="32"/>
          <w:szCs w:val="32"/>
          <w:lang w:eastAsia="zh-CN"/>
        </w:rPr>
        <w:t>：</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Style w:val="16"/>
          <w:rFonts w:hint="eastAsia" w:ascii="Times New Roman" w:hAnsi="Times New Roman" w:eastAsia="方正仿宋_GBK" w:cs="方正仿宋_GBK"/>
          <w:b w:val="0"/>
          <w:bCs/>
          <w:spacing w:val="0"/>
          <w:sz w:val="32"/>
          <w:szCs w:val="32"/>
          <w:highlight w:val="none"/>
        </w:rPr>
      </w:pPr>
      <w:r>
        <w:rPr>
          <w:rStyle w:val="16"/>
          <w:rFonts w:hint="eastAsia" w:eastAsia="方正仿宋_GBK" w:cs="方正仿宋_GBK"/>
          <w:b w:val="0"/>
          <w:bCs/>
          <w:spacing w:val="0"/>
          <w:sz w:val="32"/>
          <w:szCs w:val="32"/>
          <w:highlight w:val="none"/>
          <w:lang w:eastAsia="zh-CN"/>
        </w:rPr>
        <w:t>目标</w:t>
      </w:r>
      <w:r>
        <w:rPr>
          <w:rStyle w:val="16"/>
          <w:rFonts w:hint="eastAsia" w:eastAsia="方正仿宋_GBK" w:cs="方正仿宋_GBK"/>
          <w:b w:val="0"/>
          <w:bCs/>
          <w:spacing w:val="0"/>
          <w:sz w:val="32"/>
          <w:szCs w:val="32"/>
          <w:highlight w:val="none"/>
          <w:lang w:val="en-US" w:eastAsia="zh-CN"/>
        </w:rPr>
        <w:t>1：</w:t>
      </w:r>
      <w:r>
        <w:rPr>
          <w:rStyle w:val="16"/>
          <w:rFonts w:hint="eastAsia" w:ascii="Times New Roman" w:hAnsi="Times New Roman" w:eastAsia="方正仿宋_GBK" w:cs="方正仿宋_GBK"/>
          <w:b w:val="0"/>
          <w:bCs/>
          <w:spacing w:val="0"/>
          <w:sz w:val="32"/>
          <w:szCs w:val="32"/>
          <w:highlight w:val="none"/>
        </w:rPr>
        <w:t>实现社区党委数全覆盖，保障3个大社区、1个中社区、1个小社区正常运转。</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Style w:val="16"/>
          <w:rFonts w:hint="eastAsia" w:ascii="Times New Roman" w:hAnsi="Times New Roman" w:eastAsia="方正仿宋_GBK" w:cs="方正仿宋_GBK"/>
          <w:b w:val="0"/>
          <w:bCs/>
          <w:spacing w:val="0"/>
          <w:sz w:val="32"/>
          <w:szCs w:val="32"/>
          <w:highlight w:val="none"/>
        </w:rPr>
      </w:pPr>
      <w:r>
        <w:rPr>
          <w:rStyle w:val="16"/>
          <w:rFonts w:hint="eastAsia" w:eastAsia="方正仿宋_GBK" w:cs="方正仿宋_GBK"/>
          <w:b w:val="0"/>
          <w:bCs/>
          <w:spacing w:val="0"/>
          <w:sz w:val="32"/>
          <w:szCs w:val="32"/>
          <w:highlight w:val="none"/>
          <w:lang w:eastAsia="zh-CN"/>
        </w:rPr>
        <w:t>目标</w:t>
      </w:r>
      <w:r>
        <w:rPr>
          <w:rStyle w:val="16"/>
          <w:rFonts w:hint="eastAsia" w:eastAsia="方正仿宋_GBK" w:cs="方正仿宋_GBK"/>
          <w:b w:val="0"/>
          <w:bCs/>
          <w:spacing w:val="0"/>
          <w:sz w:val="32"/>
          <w:szCs w:val="32"/>
          <w:highlight w:val="none"/>
          <w:lang w:val="en-US" w:eastAsia="zh-CN"/>
        </w:rPr>
        <w:t>2：</w:t>
      </w:r>
      <w:r>
        <w:rPr>
          <w:rStyle w:val="16"/>
          <w:rFonts w:hint="eastAsia" w:ascii="Times New Roman" w:hAnsi="Times New Roman" w:eastAsia="方正仿宋_GBK" w:cs="方正仿宋_GBK"/>
          <w:b w:val="0"/>
          <w:bCs/>
          <w:spacing w:val="0"/>
          <w:sz w:val="32"/>
          <w:szCs w:val="32"/>
          <w:highlight w:val="none"/>
        </w:rPr>
        <w:t>抓好街道各社区基层党组织建设，确保基层党组织各项事业稳定有序开展，保障各项事业规范运行，开展各项活动，受益居民2.9万余人。</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eastAsia="仿宋_GB2312" w:cs="Times New Roman"/>
          <w:spacing w:val="0"/>
          <w:sz w:val="32"/>
          <w:szCs w:val="32"/>
          <w:lang w:eastAsia="zh-CN"/>
        </w:rPr>
      </w:pPr>
      <w:r>
        <w:rPr>
          <w:rFonts w:hint="default" w:ascii="Times New Roman" w:hAnsi="Times New Roman" w:eastAsia="仿宋_GB2312" w:cs="Times New Roman"/>
          <w:spacing w:val="0"/>
          <w:sz w:val="32"/>
          <w:szCs w:val="32"/>
        </w:rPr>
        <w:t>2</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spacing w:val="0"/>
          <w:sz w:val="32"/>
          <w:szCs w:val="32"/>
        </w:rPr>
        <w:t>阶段性目标</w:t>
      </w:r>
      <w:r>
        <w:rPr>
          <w:rFonts w:hint="eastAsia" w:eastAsia="仿宋_GB2312" w:cs="Times New Roman"/>
          <w:spacing w:val="0"/>
          <w:sz w:val="32"/>
          <w:szCs w:val="32"/>
          <w:lang w:eastAsia="zh-CN"/>
        </w:rPr>
        <w:t>：</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方正仿宋_GBK" w:hAnsi="方正仿宋_GBK" w:eastAsia="方正仿宋_GBK" w:cs="方正仿宋_GBK"/>
          <w:b/>
          <w:bCs/>
          <w:spacing w:val="0"/>
          <w:sz w:val="32"/>
          <w:szCs w:val="32"/>
        </w:rPr>
      </w:pPr>
      <w:r>
        <w:rPr>
          <w:rFonts w:hint="eastAsia" w:ascii="方正仿宋_GBK" w:hAnsi="方正仿宋_GBK" w:eastAsia="方正仿宋_GBK" w:cs="方正仿宋_GBK"/>
          <w:b/>
          <w:bCs/>
          <w:spacing w:val="0"/>
          <w:sz w:val="32"/>
          <w:szCs w:val="32"/>
        </w:rPr>
        <w:t>第一季度阶段性目标：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组织建设：完成社区党组织换届选举，确保领导班子健全，明确分工，提升组织凝聚力。</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党员培训：开展一次党员集中学习活动，重点学习党的</w:t>
      </w:r>
      <w:r>
        <w:rPr>
          <w:rFonts w:hint="eastAsia" w:ascii="方正仿宋_GBK" w:hAnsi="方正仿宋_GBK" w:eastAsia="方正仿宋_GBK" w:cs="方正仿宋_GBK"/>
          <w:spacing w:val="0"/>
          <w:sz w:val="32"/>
          <w:szCs w:val="32"/>
          <w:lang w:eastAsia="zh-CN"/>
        </w:rPr>
        <w:t>二十届三中全会</w:t>
      </w:r>
      <w:r>
        <w:rPr>
          <w:rFonts w:hint="eastAsia" w:ascii="方正仿宋_GBK" w:hAnsi="方正仿宋_GBK" w:eastAsia="方正仿宋_GBK" w:cs="方正仿宋_GBK"/>
          <w:spacing w:val="0"/>
          <w:sz w:val="32"/>
          <w:szCs w:val="32"/>
        </w:rPr>
        <w:t>精神，提升党员政治素养。</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经费管理：制定年度党建工作经费使用计划，确保资金合理分配，优先用于党建活动开展。</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活动策划：组织一次社区党员志愿服务，围绕社区环境整治、关爱老人等主题，增强党员服务意识。</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宣传推广：利用社区宣传栏、微信公众号等平台，宣传党建工作成果，扩大党建影响力。</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方正仿宋_GBK" w:hAnsi="方正仿宋_GBK" w:eastAsia="方正仿宋_GBK" w:cs="方正仿宋_GBK"/>
          <w:b/>
          <w:bCs/>
          <w:spacing w:val="0"/>
          <w:sz w:val="32"/>
          <w:szCs w:val="32"/>
        </w:rPr>
      </w:pPr>
      <w:r>
        <w:rPr>
          <w:rFonts w:hint="eastAsia" w:ascii="方正仿宋_GBK" w:hAnsi="方正仿宋_GBK" w:eastAsia="方正仿宋_GBK" w:cs="方正仿宋_GBK"/>
          <w:b/>
          <w:bCs/>
          <w:spacing w:val="0"/>
          <w:sz w:val="32"/>
          <w:szCs w:val="32"/>
        </w:rPr>
        <w:t>第二季度阶段性目标：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制度建设：完善社区党建管理制度，包括党员考核、组织生活等，提升党建工作规范化水平。</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主题活动：开展“七一”建党节系列活动，组织党员重温入党誓词、参观红色教育基地，增强党性教育。</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经费执行：根据第一季度计划，落实经费使用，确保党建活动顺利开展，并做好财务公开。</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党员发展：培养入党积极分子，组织一次党课培训，严格把关党员发展质量。</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群众联系：开展一次党群座谈会，听取居民意见建议，推动党建与社区治理深度融合。</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方正仿宋_GBK" w:hAnsi="方正仿宋_GBK" w:eastAsia="方正仿宋_GBK" w:cs="方正仿宋_GBK"/>
          <w:b/>
          <w:bCs/>
          <w:spacing w:val="0"/>
          <w:sz w:val="32"/>
          <w:szCs w:val="32"/>
        </w:rPr>
      </w:pPr>
      <w:r>
        <w:rPr>
          <w:rFonts w:hint="eastAsia" w:ascii="方正仿宋_GBK" w:hAnsi="方正仿宋_GBK" w:eastAsia="方正仿宋_GBK" w:cs="方正仿宋_GBK"/>
          <w:b/>
          <w:bCs/>
          <w:spacing w:val="0"/>
          <w:sz w:val="32"/>
          <w:szCs w:val="32"/>
        </w:rPr>
        <w:t>第三季度阶段性目标：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组织生活：召开一次专题组织生活会，开展批评与自我批评，提升党员思想觉悟。</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特色活动：结合社区实际，开展一次党建文化节，通过文艺演出、知识竞赛等形式，丰富党员群众文化生活。</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经费监督：对上半年经费使用情况进行审计，确保资金使用合规，并调整下半年预算。</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志愿服务：组织党员参与社区</w:t>
      </w:r>
      <w:r>
        <w:rPr>
          <w:rFonts w:hint="eastAsia" w:ascii="方正仿宋_GBK" w:hAnsi="方正仿宋_GBK" w:eastAsia="方正仿宋_GBK" w:cs="方正仿宋_GBK"/>
          <w:spacing w:val="0"/>
          <w:sz w:val="32"/>
          <w:szCs w:val="32"/>
          <w:lang w:eastAsia="zh-CN"/>
        </w:rPr>
        <w:t>消防演练</w:t>
      </w:r>
      <w:r>
        <w:rPr>
          <w:rFonts w:hint="eastAsia" w:ascii="方正仿宋_GBK" w:hAnsi="方正仿宋_GBK" w:eastAsia="方正仿宋_GBK" w:cs="方正仿宋_GBK"/>
          <w:spacing w:val="0"/>
          <w:sz w:val="32"/>
          <w:szCs w:val="32"/>
        </w:rPr>
        <w:t>、</w:t>
      </w:r>
      <w:r>
        <w:rPr>
          <w:rFonts w:hint="eastAsia" w:ascii="方正仿宋_GBK" w:hAnsi="方正仿宋_GBK" w:eastAsia="方正仿宋_GBK" w:cs="方正仿宋_GBK"/>
          <w:spacing w:val="0"/>
          <w:sz w:val="32"/>
          <w:szCs w:val="32"/>
          <w:lang w:eastAsia="zh-CN"/>
        </w:rPr>
        <w:t>突发事件</w:t>
      </w:r>
      <w:r>
        <w:rPr>
          <w:rFonts w:hint="eastAsia" w:ascii="方正仿宋_GBK" w:hAnsi="方正仿宋_GBK" w:eastAsia="方正仿宋_GBK" w:cs="方正仿宋_GBK"/>
          <w:spacing w:val="0"/>
          <w:sz w:val="32"/>
          <w:szCs w:val="32"/>
        </w:rPr>
        <w:t>等应急工作，发挥先锋模范作用。</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宣传总结：总结上半年党建工作成果，制作宣传材料，展示党建亮点，提升社区党建影响力。</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eastAsia" w:ascii="方正仿宋_GBK" w:hAnsi="方正仿宋_GBK" w:eastAsia="方正仿宋_GBK" w:cs="方正仿宋_GBK"/>
          <w:b/>
          <w:bCs/>
          <w:spacing w:val="0"/>
          <w:sz w:val="32"/>
          <w:szCs w:val="32"/>
        </w:rPr>
      </w:pPr>
      <w:r>
        <w:rPr>
          <w:rFonts w:hint="eastAsia" w:ascii="方正仿宋_GBK" w:hAnsi="方正仿宋_GBK" w:eastAsia="方正仿宋_GBK" w:cs="方正仿宋_GBK"/>
          <w:b/>
          <w:bCs/>
          <w:spacing w:val="0"/>
          <w:sz w:val="32"/>
          <w:szCs w:val="32"/>
        </w:rPr>
        <w:t>第四季度阶段性目标：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年终总结：召开年度党建工作总结会议，梳理全年工作成效，分析不足，制定改进措施。</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评优表彰：开展优秀党员、先进党支部评选活动，树立典型，激励党员积极作为。</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经费结算：完成全年党建工作经费结算，确保资金使用透明，接受党员群众监督。</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党建规划：结合社区实际，制定下一年度党建工作计划，明确重点任务和目标。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群众满意度调查：开展一次党建满意度调查，了解居民对党建工作的评价，为明年工作提供参考。</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spacing w:val="0"/>
          <w:sz w:val="32"/>
          <w:szCs w:val="32"/>
        </w:rPr>
      </w:pPr>
      <w:r>
        <w:rPr>
          <w:rFonts w:hint="eastAsia" w:ascii="方正仿宋_GBK" w:hAnsi="方正仿宋_GBK" w:eastAsia="方正仿宋_GBK" w:cs="方正仿宋_GBK"/>
          <w:spacing w:val="0"/>
          <w:sz w:val="32"/>
          <w:szCs w:val="32"/>
        </w:rPr>
        <w:t>通过以上阶段性目标，确保社区党建工作有序推进，提升党组织凝聚力和服务能力。</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spacing w:val="0"/>
          <w:sz w:val="32"/>
          <w:szCs w:val="32"/>
        </w:rPr>
      </w:pPr>
      <w:r>
        <w:rPr>
          <w:rFonts w:hint="default" w:ascii="Times New Roman" w:hAnsi="Times New Roman" w:eastAsia="黑体" w:cs="Times New Roman"/>
          <w:spacing w:val="0"/>
          <w:sz w:val="32"/>
          <w:szCs w:val="32"/>
        </w:rPr>
        <w:t>二、绩效评价工作开展情况</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pacing w:val="0"/>
          <w:sz w:val="32"/>
          <w:szCs w:val="32"/>
        </w:rPr>
      </w:pPr>
      <w:r>
        <w:rPr>
          <w:rFonts w:hint="default" w:ascii="Times New Roman" w:hAnsi="Times New Roman" w:eastAsia="楷体_GB2312" w:cs="Times New Roman"/>
          <w:b/>
          <w:bCs/>
          <w:spacing w:val="0"/>
          <w:sz w:val="32"/>
          <w:szCs w:val="32"/>
        </w:rPr>
        <w:t>（一）绩效评价目的、对象和范围</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highlight w:val="none"/>
          <w:lang w:val="en-US" w:eastAsia="zh-CN"/>
        </w:rPr>
      </w:pPr>
      <w:r>
        <w:rPr>
          <w:rFonts w:hint="default" w:ascii="Times New Roman" w:hAnsi="Times New Roman" w:eastAsia="仿宋_GB2312" w:cs="Times New Roman"/>
          <w:b w:val="0"/>
          <w:bCs w:val="0"/>
          <w:spacing w:val="0"/>
          <w:highlight w:val="none"/>
          <w:lang w:val="en-US" w:eastAsia="zh-CN"/>
        </w:rPr>
        <w:t>1.绩效评价完整性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pacing w:val="0"/>
          <w:sz w:val="32"/>
          <w:szCs w:val="32"/>
          <w:highlight w:val="green"/>
          <w:lang w:val="en-US" w:eastAsia="zh-CN"/>
        </w:rPr>
      </w:pPr>
      <w:r>
        <w:rPr>
          <w:rFonts w:hint="default" w:ascii="Times New Roman" w:hAnsi="Times New Roman" w:eastAsia="仿宋_GB2312" w:cs="Times New Roman"/>
          <w:spacing w:val="0"/>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lang w:val="en-US" w:eastAsia="zh-CN"/>
        </w:rPr>
        <w:t>2.</w:t>
      </w:r>
      <w:r>
        <w:rPr>
          <w:rFonts w:hint="default" w:ascii="Times New Roman" w:hAnsi="Times New Roman" w:eastAsia="仿宋_GB2312" w:cs="Times New Roman"/>
          <w:spacing w:val="0"/>
          <w:sz w:val="32"/>
          <w:szCs w:val="32"/>
        </w:rPr>
        <w:t>绩效评价的目的</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（1）评估项目实施效果</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通过对项目预算执行情况及各项绩效目标达成程度的系统性分析，全面、客观地评估项目在预定周期内的实施效果，包括</w:t>
      </w:r>
      <w:r>
        <w:rPr>
          <w:rFonts w:hint="default" w:ascii="Times New Roman" w:hAnsi="Times New Roman" w:eastAsia="仿宋_GB2312" w:cs="Times New Roman"/>
          <w:spacing w:val="0"/>
          <w:sz w:val="32"/>
          <w:szCs w:val="32"/>
          <w:highlight w:val="none"/>
          <w:lang w:val="en-US" w:eastAsia="zh-CN"/>
        </w:rPr>
        <w:t>社会效益</w:t>
      </w:r>
      <w:r>
        <w:rPr>
          <w:rFonts w:hint="default" w:ascii="Times New Roman" w:hAnsi="Times New Roman" w:eastAsia="仿宋_GB2312" w:cs="Times New Roman"/>
          <w:spacing w:val="0"/>
          <w:sz w:val="32"/>
          <w:szCs w:val="32"/>
          <w:highlight w:val="none"/>
        </w:rPr>
        <w:t>以及可持续性等多维度指标，为项目后续的改进与优化提供科学依据。</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（2）提升资源利用效率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（3）强化项目管理责任</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（4）为决策提供支持</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（5）促进项目持续改进</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pacing w:val="0"/>
          <w:sz w:val="32"/>
          <w:szCs w:val="32"/>
          <w:highlight w:val="green"/>
        </w:rPr>
      </w:pPr>
      <w:r>
        <w:rPr>
          <w:rFonts w:hint="default" w:ascii="Times New Roman" w:hAnsi="Times New Roman" w:eastAsia="仿宋_GB2312" w:cs="Times New Roman"/>
          <w:spacing w:val="0"/>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lang w:val="en-US" w:eastAsia="zh-CN"/>
        </w:rPr>
        <w:t>3</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b w:val="0"/>
          <w:bCs w:val="0"/>
          <w:spacing w:val="0"/>
        </w:rPr>
        <w:t>绩效评价的对象</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highlight w:val="none"/>
        </w:rPr>
      </w:pPr>
      <w:r>
        <w:rPr>
          <w:rFonts w:hint="default" w:ascii="Times New Roman" w:hAnsi="Times New Roman" w:eastAsia="仿宋_GB2312" w:cs="Times New Roman"/>
          <w:b w:val="0"/>
          <w:bCs w:val="0"/>
          <w:spacing w:val="0"/>
          <w:highlight w:val="none"/>
        </w:rPr>
        <w:t>本项目预算绩效评价报告的评价对象是</w:t>
      </w:r>
      <w:r>
        <w:rPr>
          <w:rFonts w:hint="eastAsia" w:ascii="Times New Roman" w:hAnsi="Times New Roman" w:eastAsia="仿宋_GB2312" w:cs="Times New Roman"/>
          <w:b w:val="0"/>
          <w:bCs w:val="0"/>
          <w:spacing w:val="0"/>
          <w:highlight w:val="none"/>
          <w:lang w:eastAsia="zh-CN"/>
        </w:rPr>
        <w:t>部门专项</w:t>
      </w:r>
      <w:r>
        <w:rPr>
          <w:rFonts w:hint="eastAsia" w:ascii="Times New Roman" w:hAnsi="Times New Roman" w:eastAsia="仿宋_GB2312" w:cs="Times New Roman"/>
          <w:b w:val="0"/>
          <w:bCs w:val="0"/>
          <w:spacing w:val="0"/>
          <w:highlight w:val="none"/>
          <w:lang w:val="en-US" w:eastAsia="zh-CN"/>
        </w:rPr>
        <w:t>-社区党建工作经费</w:t>
      </w:r>
      <w:r>
        <w:rPr>
          <w:rFonts w:hint="default" w:ascii="Times New Roman" w:hAnsi="Times New Roman" w:eastAsia="仿宋_GB2312" w:cs="Times New Roman"/>
          <w:b w:val="0"/>
          <w:bCs w:val="0"/>
          <w:spacing w:val="0"/>
          <w:highlight w:val="none"/>
        </w:rPr>
        <w:t>及其预算执行情况。该项目由</w:t>
      </w:r>
      <w:r>
        <w:rPr>
          <w:rFonts w:hint="eastAsia" w:ascii="Times New Roman" w:hAnsi="Times New Roman" w:eastAsia="仿宋_GB2312" w:cs="Times New Roman"/>
          <w:b w:val="0"/>
          <w:bCs w:val="0"/>
          <w:spacing w:val="0"/>
          <w:highlight w:val="none"/>
          <w:lang w:eastAsia="zh-CN"/>
        </w:rPr>
        <w:t>库尔勒市丝路街道办事处</w:t>
      </w:r>
      <w:r>
        <w:rPr>
          <w:rFonts w:hint="default" w:ascii="Times New Roman" w:hAnsi="Times New Roman" w:eastAsia="仿宋_GB2312" w:cs="Times New Roman"/>
          <w:b w:val="0"/>
          <w:bCs w:val="0"/>
          <w:spacing w:val="0"/>
          <w:highlight w:val="none"/>
        </w:rPr>
        <w:t>负责实施，旨在</w:t>
      </w:r>
      <w:r>
        <w:rPr>
          <w:rStyle w:val="16"/>
          <w:rFonts w:hint="eastAsia" w:ascii="Times New Roman" w:hAnsi="Times New Roman" w:eastAsia="方正仿宋_GBK" w:cs="方正仿宋_GBK"/>
          <w:b w:val="0"/>
          <w:bCs/>
          <w:spacing w:val="0"/>
          <w:sz w:val="32"/>
          <w:szCs w:val="32"/>
          <w:highlight w:val="none"/>
        </w:rPr>
        <w:t>保障</w:t>
      </w:r>
      <w:r>
        <w:rPr>
          <w:rStyle w:val="16"/>
          <w:rFonts w:hint="eastAsia" w:ascii="Times New Roman" w:hAnsi="Times New Roman" w:eastAsia="方正仿宋_GBK" w:cs="方正仿宋_GBK"/>
          <w:b w:val="0"/>
          <w:bCs/>
          <w:spacing w:val="0"/>
          <w:sz w:val="32"/>
          <w:szCs w:val="32"/>
          <w:highlight w:val="none"/>
          <w:lang w:eastAsia="zh-CN"/>
        </w:rPr>
        <w:t>我单位</w:t>
      </w:r>
      <w:r>
        <w:rPr>
          <w:rStyle w:val="16"/>
          <w:rFonts w:hint="eastAsia" w:ascii="Times New Roman" w:hAnsi="Times New Roman" w:eastAsia="方正仿宋_GBK" w:cs="方正仿宋_GBK"/>
          <w:b w:val="0"/>
          <w:bCs/>
          <w:spacing w:val="0"/>
          <w:sz w:val="32"/>
          <w:szCs w:val="32"/>
          <w:highlight w:val="none"/>
        </w:rPr>
        <w:t>3个大社区、1个中社区、1个小社区正常运转</w:t>
      </w:r>
      <w:r>
        <w:rPr>
          <w:rStyle w:val="16"/>
          <w:rFonts w:hint="eastAsia" w:ascii="Times New Roman" w:hAnsi="Times New Roman" w:eastAsia="方正仿宋_GBK" w:cs="方正仿宋_GBK"/>
          <w:b w:val="0"/>
          <w:bCs/>
          <w:spacing w:val="0"/>
          <w:sz w:val="32"/>
          <w:szCs w:val="32"/>
          <w:highlight w:val="none"/>
          <w:lang w:eastAsia="zh-CN"/>
        </w:rPr>
        <w:t>，</w:t>
      </w:r>
      <w:r>
        <w:rPr>
          <w:rStyle w:val="16"/>
          <w:rFonts w:hint="eastAsia" w:ascii="Times New Roman" w:hAnsi="Times New Roman" w:eastAsia="方正仿宋_GBK" w:cs="方正仿宋_GBK"/>
          <w:b w:val="0"/>
          <w:bCs/>
          <w:spacing w:val="0"/>
          <w:sz w:val="32"/>
          <w:szCs w:val="32"/>
          <w:highlight w:val="none"/>
        </w:rPr>
        <w:t>抓好街道各社区基层党组织建设，确保基层党组织各项事业稳定有序开展，保障各项事业规范运行，开展</w:t>
      </w:r>
      <w:r>
        <w:rPr>
          <w:rStyle w:val="16"/>
          <w:rFonts w:hint="eastAsia" w:ascii="Times New Roman" w:hAnsi="Times New Roman" w:eastAsia="方正仿宋_GBK" w:cs="方正仿宋_GBK"/>
          <w:b w:val="0"/>
          <w:bCs/>
          <w:spacing w:val="0"/>
          <w:sz w:val="32"/>
          <w:szCs w:val="32"/>
          <w:highlight w:val="none"/>
          <w:lang w:eastAsia="zh-CN"/>
        </w:rPr>
        <w:t>落实</w:t>
      </w:r>
      <w:r>
        <w:rPr>
          <w:rStyle w:val="16"/>
          <w:rFonts w:hint="eastAsia" w:ascii="Times New Roman" w:hAnsi="Times New Roman" w:eastAsia="方正仿宋_GBK" w:cs="方正仿宋_GBK"/>
          <w:b w:val="0"/>
          <w:bCs/>
          <w:spacing w:val="0"/>
          <w:sz w:val="32"/>
          <w:szCs w:val="32"/>
          <w:highlight w:val="none"/>
        </w:rPr>
        <w:t>各项活动</w:t>
      </w:r>
      <w:r>
        <w:rPr>
          <w:rFonts w:hint="default" w:ascii="Times New Roman" w:hAnsi="Times New Roman" w:eastAsia="仿宋_GB2312" w:cs="Times New Roman"/>
          <w:b w:val="0"/>
          <w:bCs w:val="0"/>
          <w:spacing w:val="0"/>
          <w:highlight w:val="none"/>
        </w:rPr>
        <w:t>。项目预算涵盖从</w:t>
      </w:r>
      <w:r>
        <w:rPr>
          <w:rFonts w:hint="eastAsia" w:ascii="Times New Roman" w:hAnsi="Times New Roman" w:eastAsia="仿宋_GB2312" w:cs="Times New Roman"/>
          <w:b w:val="0"/>
          <w:bCs w:val="0"/>
          <w:spacing w:val="0"/>
          <w:highlight w:val="none"/>
          <w:lang w:val="en-US" w:eastAsia="zh-CN"/>
        </w:rPr>
        <w:t>2024年1月1日</w:t>
      </w:r>
      <w:r>
        <w:rPr>
          <w:rFonts w:hint="default" w:ascii="Times New Roman" w:hAnsi="Times New Roman" w:eastAsia="仿宋_GB2312" w:cs="Times New Roman"/>
          <w:b w:val="0"/>
          <w:bCs w:val="0"/>
          <w:spacing w:val="0"/>
          <w:highlight w:val="none"/>
        </w:rPr>
        <w:t>至</w:t>
      </w:r>
      <w:r>
        <w:rPr>
          <w:rFonts w:hint="eastAsia" w:ascii="Times New Roman" w:hAnsi="Times New Roman" w:eastAsia="仿宋_GB2312" w:cs="Times New Roman"/>
          <w:b w:val="0"/>
          <w:bCs w:val="0"/>
          <w:spacing w:val="0"/>
          <w:highlight w:val="none"/>
          <w:lang w:val="en-US" w:eastAsia="zh-CN"/>
        </w:rPr>
        <w:t>2024年12月31日</w:t>
      </w:r>
      <w:r>
        <w:rPr>
          <w:rFonts w:hint="default" w:ascii="Times New Roman" w:hAnsi="Times New Roman" w:eastAsia="仿宋_GB2312" w:cs="Times New Roman"/>
          <w:b w:val="0"/>
          <w:bCs w:val="0"/>
          <w:spacing w:val="0"/>
          <w:highlight w:val="none"/>
        </w:rPr>
        <w:t>的全部资金投入与支出，涉及资金总额为</w:t>
      </w:r>
      <w:r>
        <w:rPr>
          <w:rFonts w:hint="eastAsia" w:ascii="Times New Roman" w:hAnsi="Times New Roman" w:eastAsia="仿宋_GB2312" w:cs="Times New Roman"/>
          <w:b w:val="0"/>
          <w:bCs w:val="0"/>
          <w:spacing w:val="0"/>
          <w:highlight w:val="none"/>
          <w:lang w:val="en-US" w:eastAsia="zh-CN"/>
        </w:rPr>
        <w:t>85</w:t>
      </w:r>
      <w:r>
        <w:rPr>
          <w:rFonts w:hint="default" w:ascii="Times New Roman" w:hAnsi="Times New Roman" w:eastAsia="仿宋_GB2312" w:cs="Times New Roman"/>
          <w:b w:val="0"/>
          <w:bCs w:val="0"/>
          <w:spacing w:val="0"/>
          <w:highlight w:val="none"/>
          <w:lang w:val="en-US" w:eastAsia="zh-CN"/>
        </w:rPr>
        <w:t>万</w:t>
      </w:r>
      <w:r>
        <w:rPr>
          <w:rFonts w:hint="default" w:ascii="Times New Roman" w:hAnsi="Times New Roman" w:eastAsia="仿宋_GB2312" w:cs="Times New Roman"/>
          <w:b w:val="0"/>
          <w:bCs w:val="0"/>
          <w:spacing w:val="0"/>
          <w:highlight w:val="none"/>
        </w:rPr>
        <w:t>元。</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lang w:val="en-US" w:eastAsia="zh-CN"/>
        </w:rPr>
        <w:t>4.</w:t>
      </w:r>
      <w:r>
        <w:rPr>
          <w:rFonts w:hint="default" w:ascii="Times New Roman" w:hAnsi="Times New Roman" w:eastAsia="仿宋_GB2312" w:cs="Times New Roman"/>
          <w:b w:val="0"/>
          <w:bCs w:val="0"/>
          <w:spacing w:val="0"/>
        </w:rPr>
        <w:t>绩效评价的范围</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highlight w:val="none"/>
        </w:rPr>
      </w:pPr>
      <w:r>
        <w:rPr>
          <w:rFonts w:hint="default" w:ascii="Times New Roman" w:hAnsi="Times New Roman" w:eastAsia="仿宋_GB2312" w:cs="Times New Roman"/>
          <w:b w:val="0"/>
          <w:bCs w:val="0"/>
          <w:spacing w:val="0"/>
          <w:highlight w:val="none"/>
        </w:rPr>
        <w:t>本项目预算绩效评价报告的评价范围广泛而全面，涵盖了从项目立项至评价时点期间的所有关键预算活动和财务流程。具体而言，评价范围包括但不限于以下几个方面：</w:t>
      </w:r>
    </w:p>
    <w:p>
      <w:pPr>
        <w:pStyle w:val="10"/>
        <w:keepNext/>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highlight w:val="none"/>
        </w:rPr>
      </w:pPr>
      <w:r>
        <w:rPr>
          <w:rFonts w:hint="default" w:ascii="Times New Roman" w:hAnsi="Times New Roman" w:eastAsia="仿宋_GB2312" w:cs="Times New Roman"/>
          <w:b w:val="0"/>
          <w:bCs w:val="0"/>
          <w:spacing w:val="0"/>
          <w:highlight w:val="none"/>
        </w:rPr>
        <w:t>项目预算编制与执行：全面审视项目预算的编制依据、合理性、科学性以及实际执行情况，包括预算调整的原因和效果。</w:t>
      </w:r>
    </w:p>
    <w:p>
      <w:pPr>
        <w:pStyle w:val="10"/>
        <w:keepNext/>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highlight w:val="none"/>
          <w:lang w:eastAsia="zh-CN"/>
        </w:rPr>
      </w:pPr>
      <w:r>
        <w:rPr>
          <w:rFonts w:hint="default" w:ascii="Times New Roman" w:hAnsi="Times New Roman" w:eastAsia="仿宋_GB2312" w:cs="Times New Roman"/>
          <w:b w:val="0"/>
          <w:bCs w:val="0"/>
          <w:spacing w:val="0"/>
          <w:highlight w:val="none"/>
        </w:rPr>
        <w:t>资金管理：深入分析项目资金的分配、使用和监管情况，确保资金使用的合规性、高效性和透明度。</w:t>
      </w:r>
    </w:p>
    <w:p>
      <w:pPr>
        <w:pStyle w:val="10"/>
        <w:keepNext/>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highlight w:val="none"/>
          <w:lang w:eastAsia="zh-CN"/>
        </w:rPr>
      </w:pPr>
      <w:r>
        <w:rPr>
          <w:rFonts w:hint="default" w:ascii="Times New Roman" w:hAnsi="Times New Roman" w:eastAsia="仿宋_GB2312" w:cs="Times New Roman"/>
          <w:b w:val="0"/>
          <w:bCs w:val="0"/>
          <w:spacing w:val="0"/>
          <w:highlight w:val="none"/>
        </w:rPr>
        <w:t>项目实施进度与产出：评估项目是否按照既定计划顺利推进，各项任务是否按时完成，以及项目产出的数量、质量和时效性是否符合预期。</w:t>
      </w:r>
    </w:p>
    <w:p>
      <w:pPr>
        <w:pStyle w:val="10"/>
        <w:keepNext/>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highlight w:val="none"/>
          <w:lang w:eastAsia="zh-CN"/>
        </w:rPr>
      </w:pPr>
      <w:r>
        <w:rPr>
          <w:rFonts w:hint="default" w:ascii="Times New Roman" w:hAnsi="Times New Roman" w:eastAsia="仿宋_GB2312" w:cs="Times New Roman"/>
          <w:b w:val="0"/>
          <w:bCs w:val="0"/>
          <w:spacing w:val="0"/>
          <w:highlight w:val="none"/>
        </w:rPr>
        <w:t>社会影响：考察项目对</w:t>
      </w:r>
      <w:r>
        <w:rPr>
          <w:rFonts w:hint="eastAsia" w:ascii="Times New Roman" w:hAnsi="Times New Roman" w:eastAsia="仿宋_GB2312" w:cs="Times New Roman"/>
          <w:b w:val="0"/>
          <w:bCs w:val="0"/>
          <w:spacing w:val="0"/>
          <w:highlight w:val="none"/>
          <w:lang w:eastAsia="zh-CN"/>
        </w:rPr>
        <w:t>强化基层党组织建设、促进社区和谐稳定、推动社区治理创新以及提升社会满意度等</w:t>
      </w:r>
      <w:r>
        <w:rPr>
          <w:rFonts w:hint="default" w:ascii="Times New Roman" w:hAnsi="Times New Roman" w:eastAsia="仿宋_GB2312" w:cs="Times New Roman"/>
          <w:b w:val="0"/>
          <w:bCs w:val="0"/>
          <w:spacing w:val="0"/>
          <w:highlight w:val="none"/>
        </w:rPr>
        <w:t>方面的综合影响。</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cs="Times New Roman"/>
          <w:spacing w:val="0"/>
        </w:rPr>
      </w:pPr>
      <w:r>
        <w:rPr>
          <w:rFonts w:hint="default" w:ascii="Times New Roman" w:hAnsi="Times New Roman" w:eastAsia="楷体_GB2312" w:cs="Times New Roman"/>
          <w:b/>
          <w:bCs/>
          <w:spacing w:val="0"/>
          <w:sz w:val="32"/>
          <w:szCs w:val="32"/>
        </w:rPr>
        <w:t>（二）绩效评价原则、评价指标体系（详情见表1）、评价方法、评价标准。</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1</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b w:val="0"/>
          <w:bCs w:val="0"/>
          <w:spacing w:val="0"/>
        </w:rPr>
        <w:t>绩效评价原则</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rPr>
      </w:pPr>
      <w:r>
        <w:rPr>
          <w:rFonts w:hint="default" w:ascii="Times New Roman" w:hAnsi="Times New Roman" w:eastAsia="仿宋_GB2312" w:cs="Times New Roman"/>
          <w:color w:val="000000"/>
          <w:spacing w:val="0"/>
          <w:sz w:val="32"/>
          <w:szCs w:val="32"/>
        </w:rPr>
        <w:t>本次项目绩效评价遵循以下基本原则：</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（1）科学公正。绩效评价应当运用科学合理的方法，按照规范的程序，对项目绩效进行客观、公正的反映。</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（2）统筹兼顾。单位自评、部门评价和财政评价应职责明确，各有侧重，相互衔接。单位自评应由项目单位自主实施，即“谁支出、谁自评”。部门评价和财政评价应在单位自评的基础上开展。</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（3）激励约束。绩效评价结果应与预算安排、政策调整、改进管理实质性挂钩，体现奖优罚劣和激励相容导向，有效要安排、低效要压减、无效要问责。</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（4）公开透明。绩效评价结果应依法依规公开，并自觉接受社会监督。</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2</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b w:val="0"/>
          <w:bCs w:val="0"/>
          <w:spacing w:val="0"/>
        </w:rPr>
        <w:t>评价指标体系</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cs="Times New Roman"/>
          <w:color w:val="000000"/>
          <w:spacing w:val="0"/>
          <w:sz w:val="32"/>
          <w:szCs w:val="32"/>
        </w:rPr>
      </w:pPr>
      <w:r>
        <w:rPr>
          <w:rFonts w:hint="default" w:ascii="Times New Roman" w:hAnsi="Times New Roman" w:eastAsia="仿宋_GB2312" w:cs="Times New Roman"/>
          <w:color w:val="000000"/>
          <w:spacing w:val="0"/>
          <w:sz w:val="32"/>
          <w:szCs w:val="32"/>
        </w:rPr>
        <w:t>绩效评价框架是开展绩效评价的核心。绩效评价框架包括评价准则、关键评价问题、评价指标、数据来源、数据收集方法等。指标体系建立过程如下：</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rPr>
      </w:pPr>
      <w:r>
        <w:rPr>
          <w:rFonts w:hint="default" w:ascii="Times New Roman" w:hAnsi="Times New Roman" w:eastAsia="仿宋_GB2312" w:cs="Times New Roman"/>
          <w:color w:val="000000"/>
          <w:spacing w:val="0"/>
          <w:sz w:val="32"/>
          <w:szCs w:val="32"/>
        </w:rPr>
        <w:t>（1）确定评价指标</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rPr>
      </w:pPr>
      <w:r>
        <w:rPr>
          <w:rFonts w:hint="default" w:ascii="Times New Roman" w:hAnsi="Times New Roman" w:eastAsia="仿宋_GB2312" w:cs="Times New Roman"/>
          <w:color w:val="000000"/>
          <w:spacing w:val="0"/>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rPr>
      </w:pPr>
      <w:r>
        <w:rPr>
          <w:rFonts w:hint="default" w:ascii="Times New Roman" w:hAnsi="Times New Roman" w:eastAsia="仿宋_GB2312" w:cs="Times New Roman"/>
          <w:color w:val="000000"/>
          <w:spacing w:val="0"/>
          <w:sz w:val="32"/>
          <w:szCs w:val="32"/>
        </w:rPr>
        <w:t>（2）确定权重</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lang w:eastAsia="zh-CN"/>
        </w:rPr>
      </w:pPr>
      <w:r>
        <w:rPr>
          <w:rFonts w:hint="default" w:ascii="Times New Roman" w:hAnsi="Times New Roman" w:eastAsia="仿宋_GB2312" w:cs="Times New Roman"/>
          <w:color w:val="000000"/>
          <w:spacing w:val="0"/>
          <w:sz w:val="32"/>
          <w:szCs w:val="32"/>
        </w:rPr>
        <w:t>确定各个指标相对于项目总体绩效的权重分值。在绩效评价指标体系中，项目决策权重为20分，项目过程权重为20分，项目产出权重为40分，项目效益权重为20分。</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rPr>
      </w:pPr>
      <w:r>
        <w:rPr>
          <w:rFonts w:hint="default" w:ascii="Times New Roman" w:hAnsi="Times New Roman" w:eastAsia="仿宋_GB2312" w:cs="Times New Roman"/>
          <w:color w:val="000000"/>
          <w:spacing w:val="0"/>
          <w:sz w:val="32"/>
          <w:szCs w:val="32"/>
        </w:rPr>
        <w:t>（3）确定指标标准值</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rPr>
      </w:pPr>
      <w:r>
        <w:rPr>
          <w:rFonts w:hint="default" w:ascii="Times New Roman" w:hAnsi="Times New Roman" w:eastAsia="仿宋_GB2312" w:cs="Times New Roman"/>
          <w:color w:val="000000"/>
          <w:spacing w:val="0"/>
          <w:sz w:val="32"/>
          <w:szCs w:val="32"/>
        </w:rPr>
        <w:t>指标标准值是绩效评价指标的尺度，既要反映同类项目的先进水平，又要符合项目的实际绩效水平。具体采用计划标准等确定此次绩效评价指标标准值。</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16" w:firstLineChars="200"/>
        <w:jc w:val="both"/>
        <w:rPr>
          <w:rFonts w:hint="default" w:ascii="Times New Roman" w:hAnsi="Times New Roman" w:eastAsia="仿宋_GB2312" w:cs="Times New Roman"/>
          <w:b w:val="0"/>
          <w:bCs w:val="0"/>
          <w:color w:val="000000"/>
          <w:spacing w:val="0"/>
          <w:kern w:val="2"/>
        </w:rPr>
      </w:pPr>
      <w:r>
        <w:rPr>
          <w:rFonts w:hint="default" w:ascii="Times New Roman" w:hAnsi="Times New Roman" w:eastAsia="仿宋_GB2312" w:cs="Times New Roman"/>
          <w:b w:val="0"/>
          <w:bCs w:val="0"/>
          <w:color w:val="000000"/>
          <w:spacing w:val="-6"/>
          <w:kern w:val="2"/>
          <w:sz w:val="32"/>
        </w:rPr>
        <w:t>绩效评价总分值100分，根据综合评分结果，90（含）-100分为优、80（含）-90分为良、60（含）-80分为中、60分以下为差。</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color w:val="000000"/>
          <w:spacing w:val="0"/>
        </w:rPr>
      </w:pPr>
      <w:r>
        <w:rPr>
          <w:rFonts w:hint="default" w:ascii="Times New Roman" w:hAnsi="Times New Roman" w:eastAsia="仿宋_GB2312" w:cs="Times New Roman"/>
          <w:b w:val="0"/>
          <w:bCs w:val="0"/>
          <w:color w:val="000000"/>
          <w:spacing w:val="0"/>
        </w:rPr>
        <w:t>具体评价指标体系详情见附件1</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3</w:t>
      </w:r>
      <w:r>
        <w:rPr>
          <w:rFonts w:hint="default" w:ascii="Times New Roman" w:hAnsi="Times New Roman" w:eastAsia="仿宋_GB2312" w:cs="Times New Roman"/>
          <w:b w:val="0"/>
          <w:bCs w:val="0"/>
          <w:spacing w:val="0"/>
          <w:lang w:val="en-US" w:eastAsia="zh-CN"/>
        </w:rPr>
        <w:t>.</w:t>
      </w:r>
      <w:r>
        <w:rPr>
          <w:rFonts w:hint="default" w:ascii="Times New Roman" w:hAnsi="Times New Roman" w:eastAsia="仿宋_GB2312" w:cs="Times New Roman"/>
          <w:b w:val="0"/>
          <w:bCs w:val="0"/>
          <w:spacing w:val="0"/>
        </w:rPr>
        <w:t>绩效评价方法</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rPr>
      </w:pPr>
      <w:r>
        <w:rPr>
          <w:rFonts w:hint="default" w:ascii="Times New Roman" w:hAnsi="Times New Roman" w:eastAsia="仿宋_GB2312" w:cs="Times New Roman"/>
          <w:color w:val="000000"/>
          <w:spacing w:val="0"/>
          <w:sz w:val="32"/>
          <w:szCs w:val="32"/>
        </w:rPr>
        <w:t>绩效评价从项目决策、项目过程、项目产出、项目效益四个维度进行评价。评价对象为项目目标实施情况，评价核心为资金的支出完成情况和项目的产出效益。</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pacing w:val="0"/>
          <w:sz w:val="32"/>
          <w:szCs w:val="32"/>
          <w:highlight w:val="none"/>
        </w:rPr>
      </w:pPr>
      <w:r>
        <w:rPr>
          <w:rFonts w:hint="default" w:ascii="Times New Roman" w:hAnsi="Times New Roman" w:eastAsia="仿宋_GB2312" w:cs="Times New Roman"/>
          <w:color w:val="000000"/>
          <w:spacing w:val="0"/>
          <w:sz w:val="32"/>
          <w:szCs w:val="32"/>
        </w:rPr>
        <w:t>本次评价指标中，</w:t>
      </w:r>
      <w:r>
        <w:rPr>
          <w:rFonts w:hint="eastAsia" w:eastAsia="仿宋_GB2312" w:cs="Times New Roman"/>
          <w:color w:val="000000"/>
          <w:spacing w:val="0"/>
          <w:sz w:val="32"/>
          <w:szCs w:val="32"/>
          <w:lang w:eastAsia="zh-CN"/>
        </w:rPr>
        <w:t>该项目只有</w:t>
      </w:r>
      <w:r>
        <w:rPr>
          <w:rFonts w:hint="default" w:ascii="Times New Roman" w:hAnsi="Times New Roman" w:eastAsia="仿宋_GB2312" w:cs="Times New Roman"/>
          <w:color w:val="000000"/>
          <w:spacing w:val="0"/>
          <w:sz w:val="32"/>
          <w:szCs w:val="32"/>
        </w:rPr>
        <w:t>定量指标，</w:t>
      </w:r>
      <w:r>
        <w:rPr>
          <w:rFonts w:hint="eastAsia" w:eastAsia="仿宋_GB2312" w:cs="Times New Roman"/>
          <w:color w:val="000000"/>
          <w:spacing w:val="0"/>
          <w:sz w:val="32"/>
          <w:szCs w:val="32"/>
          <w:lang w:eastAsia="zh-CN"/>
        </w:rPr>
        <w:t>定量</w:t>
      </w:r>
      <w:r>
        <w:rPr>
          <w:rFonts w:hint="default" w:ascii="Times New Roman" w:hAnsi="Times New Roman" w:eastAsia="仿宋_GB2312" w:cs="Times New Roman"/>
          <w:color w:val="000000"/>
          <w:spacing w:val="0"/>
          <w:sz w:val="32"/>
          <w:szCs w:val="32"/>
        </w:rPr>
        <w:t>指标因考核内容不同和客观标准不同存在较大差异，因此核定具体指标时采用了</w:t>
      </w:r>
      <w:r>
        <w:rPr>
          <w:rFonts w:hint="default" w:ascii="Times New Roman" w:hAnsi="Times New Roman" w:eastAsia="仿宋_GB2312" w:cs="Times New Roman"/>
          <w:color w:val="000000"/>
          <w:spacing w:val="0"/>
          <w:sz w:val="32"/>
          <w:szCs w:val="32"/>
          <w:highlight w:val="none"/>
        </w:rPr>
        <w:t>成本效益分析法。</w:t>
      </w:r>
      <w:r>
        <w:rPr>
          <w:rFonts w:hint="eastAsia" w:eastAsia="仿宋_GB2312" w:cs="Times New Roman"/>
          <w:color w:val="000000"/>
          <w:spacing w:val="0"/>
          <w:sz w:val="32"/>
          <w:szCs w:val="32"/>
          <w:highlight w:val="none"/>
          <w:lang w:eastAsia="zh-CN"/>
        </w:rPr>
        <w:t>原因是该项目只有定量指标，通过计算成本效益比等指标来衡量项目的绩效，用这个方法能够很好的利用这些定量数据进行分析，从而评估项目的绩效</w:t>
      </w:r>
      <w:r>
        <w:rPr>
          <w:rFonts w:hint="default" w:ascii="Times New Roman" w:hAnsi="Times New Roman" w:eastAsia="仿宋_GB2312" w:cs="Times New Roman"/>
          <w:color w:val="000000"/>
          <w:spacing w:val="0"/>
          <w:sz w:val="32"/>
          <w:szCs w:val="32"/>
          <w:highlight w:val="none"/>
        </w:rPr>
        <w:t xml:space="preserve">。 </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rPr>
      </w:pPr>
      <w:r>
        <w:rPr>
          <w:rFonts w:hint="default" w:ascii="Times New Roman" w:hAnsi="Times New Roman" w:eastAsia="仿宋_GB2312" w:cs="Times New Roman"/>
          <w:b w:val="0"/>
          <w:bCs w:val="0"/>
          <w:spacing w:val="0"/>
        </w:rPr>
        <w:t>4</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仿宋_GB2312" w:cs="Times New Roman"/>
          <w:b w:val="0"/>
          <w:bCs w:val="0"/>
          <w:spacing w:val="0"/>
        </w:rPr>
        <w:t>评价标准</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eastAsia" w:ascii="Times New Roman" w:hAnsi="Times New Roman" w:eastAsia="仿宋_GB2312" w:cs="Times New Roman"/>
          <w:b w:val="0"/>
          <w:bCs w:val="0"/>
          <w:spacing w:val="0"/>
          <w:lang w:eastAsia="zh-CN"/>
        </w:rPr>
      </w:pPr>
      <w:r>
        <w:rPr>
          <w:rFonts w:hint="default" w:ascii="Times New Roman" w:hAnsi="Times New Roman" w:eastAsia="仿宋_GB2312" w:cs="Times New Roman"/>
          <w:b w:val="0"/>
          <w:bCs w:val="0"/>
          <w:spacing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spacing w:val="0"/>
          <w:highlight w:val="none"/>
          <w:lang w:val="en-US" w:eastAsia="zh-CN"/>
        </w:rPr>
        <w:t>计划</w:t>
      </w:r>
      <w:r>
        <w:rPr>
          <w:rFonts w:hint="default" w:ascii="Times New Roman" w:hAnsi="Times New Roman" w:eastAsia="仿宋_GB2312" w:cs="Times New Roman"/>
          <w:b w:val="0"/>
          <w:bCs w:val="0"/>
          <w:spacing w:val="0"/>
        </w:rPr>
        <w:t>标准。</w:t>
      </w:r>
      <w:r>
        <w:rPr>
          <w:rFonts w:hint="eastAsia" w:ascii="Times New Roman" w:hAnsi="Times New Roman" w:eastAsia="仿宋_GB2312" w:cs="Times New Roman"/>
          <w:b w:val="0"/>
          <w:bCs w:val="0"/>
          <w:spacing w:val="0"/>
          <w:lang w:eastAsia="zh-CN"/>
        </w:rPr>
        <w:t>原因是计划标准能确保标准既科学又实用，能够全面、准确的反映评价对象的实际情况。</w:t>
      </w:r>
    </w:p>
    <w:p>
      <w:pPr>
        <w:pStyle w:val="10"/>
        <w:keepNext/>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3" w:firstLineChars="200"/>
        <w:jc w:val="both"/>
        <w:rPr>
          <w:rFonts w:hint="default" w:ascii="Times New Roman" w:hAnsi="Times New Roman" w:eastAsia="楷体" w:cs="Times New Roman"/>
          <w:color w:val="000000"/>
          <w:spacing w:val="0"/>
        </w:rPr>
      </w:pPr>
      <w:r>
        <w:rPr>
          <w:rFonts w:hint="default" w:ascii="Times New Roman" w:hAnsi="Times New Roman" w:eastAsia="楷体" w:cs="Times New Roman"/>
          <w:color w:val="000000"/>
          <w:spacing w:val="0"/>
        </w:rPr>
        <w:t>绩效评价工作过程</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1</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rPr>
        <w:t>前期准备与规划</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在项目绩效评价工作启动之初，成立了专门的评价工作小组，小组成员由</w:t>
      </w:r>
      <w:r>
        <w:rPr>
          <w:rFonts w:hint="eastAsia" w:eastAsia="仿宋_GB2312" w:cs="Times New Roman"/>
          <w:spacing w:val="0"/>
          <w:sz w:val="32"/>
          <w:szCs w:val="32"/>
          <w:highlight w:val="none"/>
          <w:lang w:eastAsia="zh-CN"/>
        </w:rPr>
        <w:t>单位主要领导、财务分管领导、项目分管领导、财务会计</w:t>
      </w:r>
      <w:r>
        <w:rPr>
          <w:rFonts w:hint="default" w:ascii="Times New Roman" w:hAnsi="Times New Roman" w:eastAsia="仿宋_GB2312" w:cs="Times New Roman"/>
          <w:spacing w:val="0"/>
          <w:sz w:val="32"/>
          <w:szCs w:val="32"/>
          <w:highlight w:val="none"/>
        </w:rPr>
        <w:t>及相关领域技术骨干组成，确保从多角度、全方位对项目绩效进行评价。同时，明确了评价工作的目标、范围、重点及时间安排，制定了详细的工作计划，为评价工作的顺利开展奠定了坚实基础。</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lang w:eastAsia="zh-CN"/>
        </w:rPr>
        <w:t>）指标体系构建</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0"/>
          <w:sz w:val="32"/>
          <w:szCs w:val="32"/>
          <w:highlight w:val="none"/>
        </w:rPr>
        <w:t>项目决策、项目过程、项目产出、项目效益四个维度</w:t>
      </w:r>
      <w:r>
        <w:rPr>
          <w:rFonts w:hint="default" w:ascii="Times New Roman" w:hAnsi="Times New Roman" w:eastAsia="仿宋_GB2312" w:cs="Times New Roman"/>
          <w:spacing w:val="0"/>
          <w:sz w:val="32"/>
          <w:szCs w:val="32"/>
          <w:highlight w:val="none"/>
          <w:lang w:eastAsia="zh-CN"/>
        </w:rPr>
        <w:t>，选取了具有代表性和可衡量性的关键指标，并为每个指标设定了明确的评价标准与权重，确保评价结果能够全面、准确地反映项目的绩效状况。</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3</w:t>
      </w:r>
      <w:r>
        <w:rPr>
          <w:rFonts w:hint="default" w:ascii="Times New Roman" w:hAnsi="Times New Roman" w:eastAsia="仿宋_GB2312" w:cs="Times New Roman"/>
          <w:spacing w:val="0"/>
          <w:sz w:val="32"/>
          <w:szCs w:val="32"/>
          <w:highlight w:val="none"/>
          <w:lang w:eastAsia="zh-CN"/>
        </w:rPr>
        <w:t>）数据收集与整理</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4</w:t>
      </w:r>
      <w:r>
        <w:rPr>
          <w:rFonts w:hint="default" w:ascii="Times New Roman" w:hAnsi="Times New Roman" w:eastAsia="仿宋_GB2312" w:cs="Times New Roman"/>
          <w:spacing w:val="0"/>
          <w:sz w:val="32"/>
          <w:szCs w:val="32"/>
          <w:highlight w:val="none"/>
          <w:lang w:eastAsia="zh-CN"/>
        </w:rPr>
        <w:t>）数据分析与评估</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5</w:t>
      </w:r>
      <w:r>
        <w:rPr>
          <w:rFonts w:hint="default" w:ascii="Times New Roman" w:hAnsi="Times New Roman" w:eastAsia="仿宋_GB2312" w:cs="Times New Roman"/>
          <w:spacing w:val="0"/>
          <w:sz w:val="32"/>
          <w:szCs w:val="32"/>
          <w:highlight w:val="none"/>
          <w:lang w:eastAsia="zh-CN"/>
        </w:rPr>
        <w:t>）报告撰写与反馈</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6</w:t>
      </w:r>
      <w:r>
        <w:rPr>
          <w:rFonts w:hint="default" w:ascii="Times New Roman" w:hAnsi="Times New Roman" w:eastAsia="仿宋_GB2312" w:cs="Times New Roman"/>
          <w:spacing w:val="0"/>
          <w:sz w:val="32"/>
          <w:szCs w:val="32"/>
          <w:highlight w:val="none"/>
          <w:lang w:eastAsia="zh-CN"/>
        </w:rPr>
        <w:t>）后续跟踪与改进</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green"/>
          <w:lang w:eastAsia="zh-CN"/>
        </w:rPr>
      </w:pPr>
      <w:r>
        <w:rPr>
          <w:rFonts w:hint="default" w:ascii="Times New Roman" w:hAnsi="Times New Roman" w:eastAsia="仿宋_GB2312" w:cs="Times New Roman"/>
          <w:spacing w:val="0"/>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spacing w:val="0"/>
          <w:sz w:val="32"/>
          <w:szCs w:val="32"/>
        </w:rPr>
      </w:pPr>
      <w:r>
        <w:rPr>
          <w:rFonts w:hint="default" w:ascii="Times New Roman" w:hAnsi="Times New Roman" w:eastAsia="黑体" w:cs="Times New Roman"/>
          <w:spacing w:val="0"/>
          <w:sz w:val="32"/>
          <w:szCs w:val="32"/>
        </w:rPr>
        <w:t>综合评价情况及评价结论（附相关评分表）</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spacing w:val="0"/>
          <w:lang w:val="en-US" w:eastAsia="zh-CN"/>
        </w:rPr>
      </w:pPr>
      <w:r>
        <w:rPr>
          <w:rFonts w:hint="default" w:ascii="Times New Roman" w:hAnsi="Times New Roman" w:eastAsia="楷体_GB2312" w:cs="Times New Roman"/>
          <w:spacing w:val="0"/>
          <w:lang w:eastAsia="zh-CN"/>
        </w:rPr>
        <w:t>（</w:t>
      </w:r>
      <w:r>
        <w:rPr>
          <w:rFonts w:hint="default" w:ascii="Times New Roman" w:hAnsi="Times New Roman" w:eastAsia="楷体_GB2312" w:cs="Times New Roman"/>
          <w:spacing w:val="0"/>
          <w:lang w:val="en-US" w:eastAsia="zh-CN"/>
        </w:rPr>
        <w:t>一</w:t>
      </w:r>
      <w:r>
        <w:rPr>
          <w:rFonts w:hint="default" w:ascii="Times New Roman" w:hAnsi="Times New Roman" w:eastAsia="楷体_GB2312" w:cs="Times New Roman"/>
          <w:spacing w:val="0"/>
          <w:lang w:eastAsia="zh-CN"/>
        </w:rPr>
        <w:t>）</w:t>
      </w:r>
      <w:r>
        <w:rPr>
          <w:rFonts w:hint="default" w:ascii="Times New Roman" w:hAnsi="Times New Roman" w:eastAsia="楷体_GB2312" w:cs="Times New Roman"/>
          <w:spacing w:val="0"/>
          <w:lang w:val="en-US" w:eastAsia="zh-CN"/>
        </w:rPr>
        <w:t>评价情况</w:t>
      </w:r>
    </w:p>
    <w:p>
      <w:pPr>
        <w:pStyle w:val="9"/>
        <w:keepNext/>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本项目的综合评价基于对项目各方面绩效的深入分析与评估。从项目目标的达成情况来看，</w:t>
      </w:r>
      <w:r>
        <w:rPr>
          <w:rFonts w:hint="eastAsia" w:eastAsia="仿宋_GB2312" w:cs="Times New Roman"/>
          <w:color w:val="auto"/>
          <w:spacing w:val="0"/>
          <w:sz w:val="32"/>
          <w:szCs w:val="32"/>
          <w:highlight w:val="none"/>
          <w:lang w:eastAsia="zh-CN"/>
        </w:rPr>
        <w:t>部门专项</w:t>
      </w:r>
      <w:r>
        <w:rPr>
          <w:rFonts w:hint="eastAsia" w:eastAsia="仿宋_GB2312" w:cs="Times New Roman"/>
          <w:color w:val="auto"/>
          <w:spacing w:val="0"/>
          <w:sz w:val="32"/>
          <w:szCs w:val="32"/>
          <w:highlight w:val="none"/>
          <w:lang w:val="en-US" w:eastAsia="zh-CN"/>
        </w:rPr>
        <w:t>-社区党建工作经费</w:t>
      </w:r>
      <w:r>
        <w:rPr>
          <w:rFonts w:hint="default" w:ascii="Times New Roman" w:hAnsi="Times New Roman" w:eastAsia="仿宋_GB2312" w:cs="Times New Roman"/>
          <w:spacing w:val="0"/>
          <w:sz w:val="32"/>
          <w:szCs w:val="32"/>
          <w:highlight w:val="none"/>
        </w:rPr>
        <w:t>在</w:t>
      </w:r>
      <w:r>
        <w:rPr>
          <w:rFonts w:hint="eastAsia" w:eastAsia="仿宋_GB2312" w:cs="Times New Roman"/>
          <w:spacing w:val="0"/>
          <w:sz w:val="32"/>
          <w:szCs w:val="32"/>
          <w:highlight w:val="none"/>
          <w:lang w:eastAsia="zh-CN"/>
        </w:rPr>
        <w:t>保障大中小型</w:t>
      </w:r>
      <w:r>
        <w:rPr>
          <w:rFonts w:hint="eastAsia" w:eastAsia="仿宋_GB2312" w:cs="Times New Roman"/>
          <w:spacing w:val="0"/>
          <w:sz w:val="32"/>
          <w:szCs w:val="32"/>
          <w:highlight w:val="none"/>
          <w:lang w:val="en-US" w:eastAsia="zh-CN"/>
        </w:rPr>
        <w:t>5个社区正常运转、抓好街道各社区基层党组织建设等</w:t>
      </w:r>
      <w:r>
        <w:rPr>
          <w:rFonts w:hint="default" w:ascii="Times New Roman" w:hAnsi="Times New Roman" w:eastAsia="仿宋_GB2312" w:cs="Times New Roman"/>
          <w:spacing w:val="0"/>
          <w:sz w:val="32"/>
          <w:szCs w:val="32"/>
          <w:highlight w:val="none"/>
        </w:rPr>
        <w:t>方面表现出色，达到了预期的标准与要求。同时，项目也在</w:t>
      </w:r>
      <w:r>
        <w:rPr>
          <w:rFonts w:hint="eastAsia" w:ascii="Times New Roman" w:hAnsi="Times New Roman" w:eastAsia="仿宋_GB2312" w:cs="Times New Roman"/>
          <w:b w:val="0"/>
          <w:bCs w:val="0"/>
          <w:spacing w:val="0"/>
          <w:sz w:val="32"/>
          <w:szCs w:val="32"/>
          <w:highlight w:val="none"/>
          <w:lang w:eastAsia="zh-CN"/>
        </w:rPr>
        <w:t>促进社区和谐稳定</w:t>
      </w:r>
      <w:r>
        <w:rPr>
          <w:rFonts w:hint="eastAsia" w:eastAsia="仿宋_GB2312" w:cs="Times New Roman"/>
          <w:b w:val="0"/>
          <w:bCs w:val="0"/>
          <w:spacing w:val="0"/>
          <w:sz w:val="32"/>
          <w:szCs w:val="32"/>
          <w:highlight w:val="none"/>
          <w:lang w:eastAsia="zh-CN"/>
        </w:rPr>
        <w:t>发展方面</w:t>
      </w:r>
      <w:r>
        <w:rPr>
          <w:rFonts w:hint="default" w:ascii="Times New Roman" w:hAnsi="Times New Roman" w:eastAsia="仿宋_GB2312" w:cs="Times New Roman"/>
          <w:spacing w:val="0"/>
          <w:sz w:val="32"/>
          <w:szCs w:val="32"/>
          <w:highlight w:val="none"/>
        </w:rPr>
        <w:t>取得了显著的成效，如</w:t>
      </w:r>
      <w:r>
        <w:rPr>
          <w:rFonts w:hint="eastAsia" w:eastAsia="仿宋_GB2312" w:cs="Times New Roman"/>
          <w:spacing w:val="0"/>
          <w:sz w:val="32"/>
          <w:szCs w:val="32"/>
          <w:highlight w:val="none"/>
          <w:lang w:eastAsia="zh-CN"/>
        </w:rPr>
        <w:t>组织开展了形式多样的党建活动，增强群众参与度；优化了社区服务设施，开设群众休闲活动场所，提升社区服务质量和效率等</w:t>
      </w:r>
      <w:r>
        <w:rPr>
          <w:rFonts w:hint="default" w:ascii="Times New Roman" w:hAnsi="Times New Roman" w:eastAsia="仿宋_GB2312" w:cs="Times New Roman"/>
          <w:spacing w:val="0"/>
          <w:sz w:val="32"/>
          <w:szCs w:val="32"/>
          <w:highlight w:val="none"/>
        </w:rPr>
        <w:t>。</w:t>
      </w:r>
    </w:p>
    <w:p>
      <w:pPr>
        <w:pStyle w:val="9"/>
        <w:keepNext/>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在项目管理方面，</w:t>
      </w:r>
      <w:r>
        <w:rPr>
          <w:rFonts w:hint="eastAsia" w:eastAsia="仿宋_GB2312" w:cs="Times New Roman"/>
          <w:spacing w:val="0"/>
          <w:sz w:val="32"/>
          <w:szCs w:val="32"/>
          <w:highlight w:val="none"/>
          <w:lang w:eastAsia="zh-CN"/>
        </w:rPr>
        <w:t>丝路街道办事处</w:t>
      </w:r>
      <w:r>
        <w:rPr>
          <w:rFonts w:hint="default" w:ascii="Times New Roman" w:hAnsi="Times New Roman" w:eastAsia="仿宋_GB2312" w:cs="Times New Roman"/>
          <w:spacing w:val="0"/>
          <w:sz w:val="32"/>
          <w:szCs w:val="32"/>
          <w:highlight w:val="none"/>
        </w:rPr>
        <w:t>通过有效的规划、组织与协调，项目得以顺利实施，并在预算与时间上保持了良好的控制。</w:t>
      </w:r>
    </w:p>
    <w:p>
      <w:pPr>
        <w:pStyle w:val="9"/>
        <w:keepNext/>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从项目效益的角度来看，本项目不仅实现了预期的社会效益方面产生了积极的影响。具体而言，</w:t>
      </w:r>
      <w:r>
        <w:rPr>
          <w:rFonts w:hint="eastAsia" w:ascii="Times New Roman" w:hAnsi="Times New Roman" w:eastAsia="仿宋_GB2312" w:cs="Times New Roman"/>
          <w:b w:val="0"/>
          <w:bCs w:val="0"/>
          <w:spacing w:val="0"/>
          <w:sz w:val="32"/>
          <w:szCs w:val="32"/>
          <w:highlight w:val="none"/>
          <w:lang w:eastAsia="zh-CN"/>
        </w:rPr>
        <w:t>强化基层党组织建设、促进社区和谐稳定、推动社区治理创新</w:t>
      </w:r>
      <w:r>
        <w:rPr>
          <w:rFonts w:hint="eastAsia" w:eastAsia="仿宋_GB2312" w:cs="Times New Roman"/>
          <w:b w:val="0"/>
          <w:bCs w:val="0"/>
          <w:spacing w:val="0"/>
          <w:sz w:val="32"/>
          <w:szCs w:val="32"/>
          <w:highlight w:val="none"/>
          <w:lang w:eastAsia="zh-CN"/>
        </w:rPr>
        <w:t>等</w:t>
      </w:r>
      <w:r>
        <w:rPr>
          <w:rFonts w:hint="default" w:ascii="Times New Roman" w:hAnsi="Times New Roman" w:eastAsia="仿宋_GB2312" w:cs="Times New Roman"/>
          <w:spacing w:val="0"/>
          <w:sz w:val="32"/>
          <w:szCs w:val="32"/>
          <w:highlight w:val="none"/>
        </w:rPr>
        <w:t>方面的提升，为项目的利益相关者带来了实实在在的利益。</w:t>
      </w:r>
    </w:p>
    <w:p>
      <w:pPr>
        <w:pStyle w:val="9"/>
        <w:keepNext/>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spacing w:val="0"/>
          <w:highlight w:val="none"/>
        </w:rPr>
      </w:pPr>
      <w:r>
        <w:rPr>
          <w:rFonts w:hint="default" w:ascii="Times New Roman" w:hAnsi="Times New Roman" w:eastAsia="仿宋_GB2312" w:cs="Times New Roman"/>
          <w:spacing w:val="0"/>
          <w:sz w:val="32"/>
          <w:szCs w:val="32"/>
          <w:highlight w:val="none"/>
        </w:rPr>
        <w:t>综上所述，</w:t>
      </w:r>
      <w:r>
        <w:rPr>
          <w:rFonts w:hint="eastAsia" w:eastAsia="仿宋_GB2312" w:cs="Times New Roman"/>
          <w:spacing w:val="0"/>
          <w:sz w:val="32"/>
          <w:szCs w:val="32"/>
          <w:highlight w:val="none"/>
          <w:lang w:eastAsia="zh-CN"/>
        </w:rPr>
        <w:t>部门专项</w:t>
      </w:r>
      <w:r>
        <w:rPr>
          <w:rFonts w:hint="eastAsia" w:eastAsia="仿宋_GB2312" w:cs="Times New Roman"/>
          <w:spacing w:val="0"/>
          <w:sz w:val="32"/>
          <w:szCs w:val="32"/>
          <w:highlight w:val="none"/>
          <w:lang w:val="en-US" w:eastAsia="zh-CN"/>
        </w:rPr>
        <w:t>-</w:t>
      </w:r>
      <w:r>
        <w:rPr>
          <w:rFonts w:hint="eastAsia" w:eastAsia="仿宋_GB2312" w:cs="Times New Roman"/>
          <w:spacing w:val="0"/>
          <w:sz w:val="32"/>
          <w:szCs w:val="32"/>
          <w:highlight w:val="none"/>
          <w:lang w:eastAsia="zh-CN"/>
        </w:rPr>
        <w:t>社区党建工作经费</w:t>
      </w:r>
      <w:r>
        <w:rPr>
          <w:rFonts w:hint="default" w:ascii="Times New Roman" w:hAnsi="Times New Roman" w:eastAsia="仿宋_GB2312" w:cs="Times New Roman"/>
          <w:spacing w:val="0"/>
          <w:sz w:val="32"/>
          <w:szCs w:val="32"/>
          <w:highlight w:val="none"/>
        </w:rPr>
        <w:t>在绩效评价中表现出色，达到了项目的预期目标，并在多个方面取得了显著的成效。</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spacing w:val="0"/>
          <w:lang w:val="en-US" w:eastAsia="zh-CN"/>
        </w:rPr>
      </w:pPr>
      <w:r>
        <w:rPr>
          <w:rFonts w:hint="default" w:ascii="Times New Roman" w:hAnsi="Times New Roman" w:eastAsia="楷体_GB2312" w:cs="Times New Roman"/>
          <w:spacing w:val="0"/>
          <w:lang w:eastAsia="zh-CN"/>
        </w:rPr>
        <w:t>（</w:t>
      </w:r>
      <w:r>
        <w:rPr>
          <w:rFonts w:hint="default" w:ascii="Times New Roman" w:hAnsi="Times New Roman" w:eastAsia="楷体_GB2312" w:cs="Times New Roman"/>
          <w:spacing w:val="0"/>
          <w:lang w:val="en-US" w:eastAsia="zh-CN"/>
        </w:rPr>
        <w:t>二</w:t>
      </w:r>
      <w:r>
        <w:rPr>
          <w:rFonts w:hint="default" w:ascii="Times New Roman" w:hAnsi="Times New Roman" w:eastAsia="楷体_GB2312" w:cs="Times New Roman"/>
          <w:spacing w:val="0"/>
          <w:lang w:eastAsia="zh-CN"/>
        </w:rPr>
        <w:t>）</w:t>
      </w:r>
      <w:r>
        <w:rPr>
          <w:rFonts w:hint="default" w:ascii="Times New Roman" w:hAnsi="Times New Roman" w:eastAsia="楷体_GB2312" w:cs="Times New Roman"/>
          <w:spacing w:val="0"/>
          <w:lang w:val="en-US" w:eastAsia="zh-CN"/>
        </w:rPr>
        <w:t>评价结论</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default" w:ascii="Times New Roman" w:hAnsi="Times New Roman" w:eastAsia="仿宋_GB2312" w:cs="Times New Roman"/>
          <w:b w:val="0"/>
          <w:bCs w:val="0"/>
          <w:spacing w:val="0"/>
          <w:lang w:eastAsia="zh-CN"/>
        </w:rPr>
      </w:pPr>
      <w:r>
        <w:rPr>
          <w:rFonts w:hint="default" w:ascii="Times New Roman" w:hAnsi="Times New Roman" w:eastAsia="仿宋_GB2312" w:cs="Times New Roman"/>
          <w:b w:val="0"/>
          <w:bCs w:val="0"/>
          <w:spacing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spacing w:val="0"/>
          <w:highlight w:val="none"/>
        </w:rPr>
        <w:t>：总得分为</w:t>
      </w:r>
      <w:r>
        <w:rPr>
          <w:rFonts w:hint="eastAsia" w:ascii="Times New Roman" w:hAnsi="Times New Roman" w:eastAsia="仿宋_GB2312" w:cs="Times New Roman"/>
          <w:b w:val="0"/>
          <w:bCs w:val="0"/>
          <w:spacing w:val="0"/>
          <w:highlight w:val="none"/>
          <w:lang w:val="en-US" w:eastAsia="zh-CN"/>
        </w:rPr>
        <w:t>100</w:t>
      </w:r>
      <w:r>
        <w:rPr>
          <w:rFonts w:hint="default" w:ascii="Times New Roman" w:hAnsi="Times New Roman" w:eastAsia="仿宋_GB2312" w:cs="Times New Roman"/>
          <w:b w:val="0"/>
          <w:bCs w:val="0"/>
          <w:spacing w:val="0"/>
          <w:highlight w:val="none"/>
        </w:rPr>
        <w:t>分，属于“优”。其中，项目决策类指标权重为20分，得分为</w:t>
      </w:r>
      <w:r>
        <w:rPr>
          <w:rFonts w:hint="eastAsia" w:ascii="Times New Roman" w:hAnsi="Times New Roman" w:eastAsia="仿宋_GB2312" w:cs="Times New Roman"/>
          <w:b w:val="0"/>
          <w:bCs w:val="0"/>
          <w:spacing w:val="0"/>
          <w:highlight w:val="none"/>
          <w:lang w:val="en-US" w:eastAsia="zh-CN"/>
        </w:rPr>
        <w:t>20</w:t>
      </w:r>
      <w:r>
        <w:rPr>
          <w:rFonts w:hint="default" w:ascii="Times New Roman" w:hAnsi="Times New Roman" w:eastAsia="仿宋_GB2312" w:cs="Times New Roman"/>
          <w:b w:val="0"/>
          <w:bCs w:val="0"/>
          <w:spacing w:val="0"/>
          <w:highlight w:val="none"/>
        </w:rPr>
        <w:t>分，得分率为</w:t>
      </w:r>
      <w:r>
        <w:rPr>
          <w:rFonts w:hint="eastAsia" w:ascii="Times New Roman" w:hAnsi="Times New Roman" w:eastAsia="仿宋_GB2312" w:cs="Times New Roman"/>
          <w:b w:val="0"/>
          <w:bCs w:val="0"/>
          <w:spacing w:val="0"/>
          <w:highlight w:val="none"/>
          <w:lang w:val="en-US" w:eastAsia="zh-CN"/>
        </w:rPr>
        <w:t>100</w:t>
      </w:r>
      <w:r>
        <w:rPr>
          <w:rFonts w:hint="default" w:ascii="Times New Roman" w:hAnsi="Times New Roman" w:eastAsia="仿宋_GB2312" w:cs="Times New Roman"/>
          <w:b w:val="0"/>
          <w:bCs w:val="0"/>
          <w:spacing w:val="0"/>
          <w:highlight w:val="none"/>
        </w:rPr>
        <w:t>%。项目过程类指标权重为20分，得分为</w:t>
      </w:r>
      <w:r>
        <w:rPr>
          <w:rFonts w:hint="eastAsia" w:ascii="Times New Roman" w:hAnsi="Times New Roman" w:eastAsia="仿宋_GB2312" w:cs="Times New Roman"/>
          <w:b w:val="0"/>
          <w:bCs w:val="0"/>
          <w:spacing w:val="0"/>
          <w:highlight w:val="none"/>
          <w:lang w:val="en-US" w:eastAsia="zh-CN"/>
        </w:rPr>
        <w:t>20</w:t>
      </w:r>
      <w:r>
        <w:rPr>
          <w:rFonts w:hint="default" w:ascii="Times New Roman" w:hAnsi="Times New Roman" w:eastAsia="仿宋_GB2312" w:cs="Times New Roman"/>
          <w:b w:val="0"/>
          <w:bCs w:val="0"/>
          <w:spacing w:val="0"/>
          <w:highlight w:val="none"/>
        </w:rPr>
        <w:t xml:space="preserve">分，得分率为 </w:t>
      </w:r>
      <w:r>
        <w:rPr>
          <w:rFonts w:hint="eastAsia" w:ascii="Times New Roman" w:hAnsi="Times New Roman" w:eastAsia="仿宋_GB2312" w:cs="Times New Roman"/>
          <w:b w:val="0"/>
          <w:bCs w:val="0"/>
          <w:spacing w:val="0"/>
          <w:highlight w:val="none"/>
          <w:lang w:val="en-US" w:eastAsia="zh-CN"/>
        </w:rPr>
        <w:t>100</w:t>
      </w:r>
      <w:r>
        <w:rPr>
          <w:rFonts w:hint="default" w:ascii="Times New Roman" w:hAnsi="Times New Roman" w:eastAsia="仿宋_GB2312" w:cs="Times New Roman"/>
          <w:b w:val="0"/>
          <w:bCs w:val="0"/>
          <w:spacing w:val="0"/>
          <w:highlight w:val="none"/>
        </w:rPr>
        <w:t>%。项目产出类指标权重为40分，得分为</w:t>
      </w:r>
      <w:r>
        <w:rPr>
          <w:rFonts w:hint="eastAsia" w:ascii="Times New Roman" w:hAnsi="Times New Roman" w:eastAsia="仿宋_GB2312" w:cs="Times New Roman"/>
          <w:b w:val="0"/>
          <w:bCs w:val="0"/>
          <w:spacing w:val="0"/>
          <w:highlight w:val="none"/>
          <w:lang w:val="en-US" w:eastAsia="zh-CN"/>
        </w:rPr>
        <w:t>40</w:t>
      </w:r>
      <w:r>
        <w:rPr>
          <w:rFonts w:hint="default" w:ascii="Times New Roman" w:hAnsi="Times New Roman" w:eastAsia="仿宋_GB2312" w:cs="Times New Roman"/>
          <w:b w:val="0"/>
          <w:bCs w:val="0"/>
          <w:spacing w:val="0"/>
          <w:highlight w:val="none"/>
        </w:rPr>
        <w:t>分，得分率为</w:t>
      </w:r>
      <w:r>
        <w:rPr>
          <w:rFonts w:hint="eastAsia" w:ascii="Times New Roman" w:hAnsi="Times New Roman" w:eastAsia="仿宋_GB2312" w:cs="Times New Roman"/>
          <w:b w:val="0"/>
          <w:bCs w:val="0"/>
          <w:spacing w:val="0"/>
          <w:highlight w:val="none"/>
          <w:lang w:val="en-US" w:eastAsia="zh-CN"/>
        </w:rPr>
        <w:t>100</w:t>
      </w:r>
      <w:r>
        <w:rPr>
          <w:rFonts w:hint="default" w:ascii="Times New Roman" w:hAnsi="Times New Roman" w:eastAsia="仿宋_GB2312" w:cs="Times New Roman"/>
          <w:b w:val="0"/>
          <w:bCs w:val="0"/>
          <w:spacing w:val="0"/>
          <w:highlight w:val="none"/>
        </w:rPr>
        <w:t>%。项目效益类指标权重为20分，得分为</w:t>
      </w:r>
      <w:r>
        <w:rPr>
          <w:rFonts w:hint="eastAsia" w:ascii="Times New Roman" w:hAnsi="Times New Roman" w:eastAsia="仿宋_GB2312" w:cs="Times New Roman"/>
          <w:b w:val="0"/>
          <w:bCs w:val="0"/>
          <w:spacing w:val="0"/>
          <w:highlight w:val="none"/>
          <w:lang w:val="en-US" w:eastAsia="zh-CN"/>
        </w:rPr>
        <w:t>20</w:t>
      </w:r>
      <w:r>
        <w:rPr>
          <w:rFonts w:hint="default" w:ascii="Times New Roman" w:hAnsi="Times New Roman" w:eastAsia="仿宋_GB2312" w:cs="Times New Roman"/>
          <w:b w:val="0"/>
          <w:bCs w:val="0"/>
          <w:spacing w:val="0"/>
          <w:highlight w:val="none"/>
        </w:rPr>
        <w:t>分，得分率为</w:t>
      </w:r>
      <w:r>
        <w:rPr>
          <w:rFonts w:hint="eastAsia" w:ascii="Times New Roman" w:hAnsi="Times New Roman" w:eastAsia="仿宋_GB2312" w:cs="Times New Roman"/>
          <w:b w:val="0"/>
          <w:bCs w:val="0"/>
          <w:spacing w:val="0"/>
          <w:highlight w:val="none"/>
          <w:lang w:val="en-US" w:eastAsia="zh-CN"/>
        </w:rPr>
        <w:t>100</w:t>
      </w:r>
      <w:r>
        <w:rPr>
          <w:rFonts w:hint="default" w:ascii="Times New Roman" w:hAnsi="Times New Roman" w:eastAsia="仿宋_GB2312" w:cs="Times New Roman"/>
          <w:b w:val="0"/>
          <w:bCs w:val="0"/>
          <w:spacing w:val="0"/>
          <w:highlight w:val="none"/>
        </w:rPr>
        <w:t>%。</w:t>
      </w:r>
      <w:r>
        <w:rPr>
          <w:rFonts w:hint="default" w:ascii="Times New Roman" w:hAnsi="Times New Roman" w:eastAsia="仿宋_GB2312" w:cs="Times New Roman"/>
          <w:b w:val="0"/>
          <w:bCs w:val="0"/>
          <w:spacing w:val="0"/>
        </w:rPr>
        <w:t>具体打分情况详见：附件1综合评分表</w:t>
      </w:r>
      <w:r>
        <w:rPr>
          <w:rFonts w:hint="default" w:ascii="Times New Roman" w:hAnsi="Times New Roman" w:eastAsia="仿宋_GB2312" w:cs="Times New Roman"/>
          <w:b w:val="0"/>
          <w:bCs w:val="0"/>
          <w:spacing w:val="0"/>
          <w:lang w:eastAsia="zh-CN"/>
        </w:rPr>
        <w:t>。</w:t>
      </w:r>
    </w:p>
    <w:p>
      <w:pPr>
        <w:pStyle w:val="10"/>
        <w:keepNext/>
        <w:keepLines w:val="0"/>
        <w:pageBreakBefore w:val="0"/>
        <w:widowControl w:val="0"/>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pacing w:val="0"/>
          <w:sz w:val="21"/>
          <w:szCs w:val="21"/>
        </w:rPr>
      </w:pPr>
      <w:r>
        <w:rPr>
          <w:rFonts w:hint="default" w:ascii="Times New Roman" w:hAnsi="Times New Roman" w:eastAsia="仿宋_GB2312" w:cs="Times New Roman"/>
          <w:spacing w:val="0"/>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b/>
                <w:bCs/>
                <w:color w:val="000000"/>
                <w:spacing w:val="0"/>
                <w:sz w:val="21"/>
                <w:szCs w:val="21"/>
              </w:rPr>
            </w:pPr>
            <w:r>
              <w:rPr>
                <w:rFonts w:hint="default" w:ascii="Times New Roman" w:hAnsi="Times New Roman" w:eastAsia="仿宋_GB2312" w:cs="Times New Roman"/>
                <w:b/>
                <w:bCs/>
                <w:color w:val="000000"/>
                <w:spacing w:val="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b/>
                <w:bCs/>
                <w:color w:val="000000"/>
                <w:spacing w:val="0"/>
                <w:sz w:val="21"/>
                <w:szCs w:val="21"/>
              </w:rPr>
            </w:pPr>
            <w:r>
              <w:rPr>
                <w:rFonts w:hint="default" w:ascii="Times New Roman" w:hAnsi="Times New Roman" w:eastAsia="仿宋_GB2312" w:cs="Times New Roman"/>
                <w:b/>
                <w:bCs/>
                <w:color w:val="000000"/>
                <w:spacing w:val="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b/>
                <w:bCs/>
                <w:color w:val="000000"/>
                <w:spacing w:val="0"/>
                <w:sz w:val="21"/>
                <w:szCs w:val="21"/>
              </w:rPr>
            </w:pPr>
            <w:r>
              <w:rPr>
                <w:rFonts w:hint="default" w:ascii="Times New Roman" w:hAnsi="Times New Roman" w:eastAsia="仿宋_GB2312" w:cs="Times New Roman"/>
                <w:b/>
                <w:bCs/>
                <w:color w:val="000000"/>
                <w:spacing w:val="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rPr>
            </w:pPr>
            <w:r>
              <w:rPr>
                <w:rFonts w:hint="default" w:ascii="Times New Roman" w:hAnsi="Times New Roman" w:eastAsia="仿宋_GB2312" w:cs="Times New Roman"/>
                <w:color w:val="000000"/>
                <w:spacing w:val="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default" w:ascii="Times New Roman" w:hAnsi="Times New Roman" w:eastAsia="仿宋_GB2312" w:cs="Times New Roman"/>
                <w:color w:val="000000"/>
                <w:spacing w:val="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eastAsia" w:eastAsia="仿宋_GB2312" w:cs="Times New Roman"/>
                <w:color w:val="000000"/>
                <w:spacing w:val="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rPr>
            </w:pPr>
            <w:r>
              <w:rPr>
                <w:rFonts w:hint="default" w:ascii="Times New Roman" w:hAnsi="Times New Roman" w:eastAsia="仿宋_GB2312" w:cs="Times New Roman"/>
                <w:color w:val="000000"/>
                <w:spacing w:val="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default" w:ascii="Times New Roman" w:hAnsi="Times New Roman" w:eastAsia="仿宋_GB2312" w:cs="Times New Roman"/>
                <w:color w:val="000000"/>
                <w:spacing w:val="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eastAsia" w:eastAsia="仿宋_GB2312" w:cs="Times New Roman"/>
                <w:color w:val="000000"/>
                <w:spacing w:val="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rPr>
            </w:pPr>
            <w:r>
              <w:rPr>
                <w:rFonts w:hint="default" w:ascii="Times New Roman" w:hAnsi="Times New Roman" w:eastAsia="仿宋_GB2312" w:cs="Times New Roman"/>
                <w:color w:val="000000"/>
                <w:spacing w:val="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default" w:ascii="Times New Roman" w:hAnsi="Times New Roman" w:eastAsia="仿宋_GB2312" w:cs="Times New Roman"/>
                <w:color w:val="000000"/>
                <w:spacing w:val="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eastAsia" w:eastAsia="仿宋_GB2312" w:cs="Times New Roman"/>
                <w:color w:val="000000"/>
                <w:spacing w:val="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rPr>
            </w:pPr>
            <w:r>
              <w:rPr>
                <w:rFonts w:hint="default" w:ascii="Times New Roman" w:hAnsi="Times New Roman" w:eastAsia="仿宋_GB2312" w:cs="Times New Roman"/>
                <w:color w:val="000000"/>
                <w:spacing w:val="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default" w:ascii="Times New Roman" w:hAnsi="Times New Roman" w:eastAsia="仿宋_GB2312" w:cs="Times New Roman"/>
                <w:color w:val="000000"/>
                <w:spacing w:val="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color w:val="000000"/>
                <w:spacing w:val="0"/>
                <w:sz w:val="21"/>
                <w:szCs w:val="21"/>
                <w:lang w:val="en-US" w:eastAsia="zh-CN"/>
              </w:rPr>
            </w:pPr>
            <w:r>
              <w:rPr>
                <w:rFonts w:hint="eastAsia" w:eastAsia="仿宋_GB2312" w:cs="Times New Roman"/>
                <w:color w:val="000000"/>
                <w:spacing w:val="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b/>
                <w:bCs/>
                <w:color w:val="000000"/>
                <w:spacing w:val="0"/>
                <w:sz w:val="21"/>
                <w:szCs w:val="21"/>
              </w:rPr>
            </w:pPr>
            <w:r>
              <w:rPr>
                <w:rFonts w:hint="default" w:ascii="Times New Roman" w:hAnsi="Times New Roman" w:eastAsia="仿宋_GB2312" w:cs="Times New Roman"/>
                <w:b/>
                <w:bCs/>
                <w:color w:val="000000"/>
                <w:spacing w:val="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b/>
                <w:bCs/>
                <w:color w:val="000000"/>
                <w:spacing w:val="0"/>
                <w:sz w:val="21"/>
                <w:szCs w:val="21"/>
                <w:lang w:val="en-US" w:eastAsia="zh-CN"/>
              </w:rPr>
            </w:pPr>
            <w:r>
              <w:rPr>
                <w:rFonts w:hint="default" w:ascii="Times New Roman" w:hAnsi="Times New Roman" w:eastAsia="仿宋_GB2312" w:cs="Times New Roman"/>
                <w:b/>
                <w:bCs/>
                <w:color w:val="000000"/>
                <w:spacing w:val="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Times New Roman" w:hAnsi="Times New Roman" w:eastAsia="仿宋_GB2312" w:cs="Times New Roman"/>
                <w:b/>
                <w:bCs/>
                <w:color w:val="000000"/>
                <w:spacing w:val="0"/>
                <w:sz w:val="21"/>
                <w:szCs w:val="21"/>
                <w:lang w:val="en-US" w:eastAsia="zh-CN"/>
              </w:rPr>
            </w:pPr>
            <w:r>
              <w:rPr>
                <w:rFonts w:hint="eastAsia" w:eastAsia="仿宋_GB2312" w:cs="Times New Roman"/>
                <w:b/>
                <w:bCs/>
                <w:color w:val="000000"/>
                <w:spacing w:val="0"/>
                <w:sz w:val="21"/>
                <w:szCs w:val="21"/>
                <w:lang w:val="en-US" w:eastAsia="zh-CN"/>
              </w:rPr>
              <w:t>100</w:t>
            </w:r>
          </w:p>
        </w:tc>
      </w:tr>
    </w:tbl>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spacing w:val="0"/>
          <w:sz w:val="32"/>
          <w:szCs w:val="32"/>
        </w:rPr>
      </w:pPr>
      <w:r>
        <w:rPr>
          <w:rFonts w:hint="default" w:ascii="Times New Roman" w:hAnsi="Times New Roman" w:eastAsia="黑体" w:cs="Times New Roman"/>
          <w:spacing w:val="0"/>
          <w:sz w:val="32"/>
          <w:szCs w:val="32"/>
        </w:rPr>
        <w:t>四、绩效评价指标分析</w:t>
      </w:r>
    </w:p>
    <w:p>
      <w:pPr>
        <w:pStyle w:val="10"/>
        <w:keepNext/>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rPr>
          <w:rFonts w:hint="default" w:ascii="Times New Roman" w:hAnsi="Times New Roman" w:eastAsia="楷体_GB2312" w:cs="Times New Roman"/>
          <w:spacing w:val="0"/>
        </w:rPr>
      </w:pPr>
      <w:r>
        <w:rPr>
          <w:rFonts w:hint="default" w:ascii="Times New Roman" w:hAnsi="Times New Roman" w:eastAsia="楷体_GB2312" w:cs="Times New Roman"/>
          <w:spacing w:val="0"/>
        </w:rPr>
        <w:t>（一）项目决策情况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yellow"/>
          <w:lang w:val="en-US" w:eastAsia="zh-CN"/>
        </w:rPr>
      </w:pPr>
      <w:r>
        <w:rPr>
          <w:rFonts w:hint="default" w:ascii="Times New Roman" w:hAnsi="Times New Roman" w:eastAsia="仿宋_GB2312" w:cs="Times New Roman"/>
          <w:spacing w:val="0"/>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pacing w:val="0"/>
          <w:sz w:val="32"/>
          <w:szCs w:val="32"/>
          <w:highlight w:val="none"/>
          <w:lang w:val="en-US" w:eastAsia="zh-CN"/>
        </w:rPr>
        <w:t>20</w:t>
      </w:r>
      <w:r>
        <w:rPr>
          <w:rFonts w:hint="default" w:ascii="Times New Roman" w:hAnsi="Times New Roman" w:eastAsia="仿宋_GB2312" w:cs="Times New Roman"/>
          <w:spacing w:val="0"/>
          <w:sz w:val="32"/>
          <w:szCs w:val="32"/>
          <w:highlight w:val="none"/>
          <w:lang w:val="en-US" w:eastAsia="zh-CN"/>
        </w:rPr>
        <w:t>分，得分率为</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w:t>
      </w:r>
    </w:p>
    <w:p>
      <w:pPr>
        <w:pStyle w:val="19"/>
        <w:keepNext/>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pacing w:val="0"/>
          <w:sz w:val="32"/>
          <w:szCs w:val="32"/>
          <w:lang w:val="en-US" w:eastAsia="zh-CN"/>
        </w:rPr>
      </w:pPr>
      <w:r>
        <w:rPr>
          <w:rFonts w:hint="default" w:ascii="Times New Roman" w:hAnsi="Times New Roman" w:eastAsia="仿宋_GB2312" w:cs="Times New Roman"/>
          <w:b/>
          <w:bCs/>
          <w:spacing w:val="0"/>
          <w:sz w:val="32"/>
          <w:szCs w:val="32"/>
          <w:lang w:val="en-US" w:eastAsia="zh-CN"/>
        </w:rPr>
        <w:t>1.项目立项</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（1）立项依据充分性</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该项目立项符合</w:t>
      </w:r>
      <w:r>
        <w:rPr>
          <w:rFonts w:hint="eastAsia" w:eastAsia="仿宋_GB2312" w:cs="Times New Roman"/>
          <w:spacing w:val="0"/>
          <w:sz w:val="32"/>
          <w:szCs w:val="32"/>
          <w:lang w:val="en-US" w:eastAsia="zh-CN"/>
        </w:rPr>
        <w:t>《中国共产党党和国家机关基层组织工作条例》和《中央和国家机关基层党组织党建活动经费管理办法》等国家相关法律法规及发展政策，</w:t>
      </w:r>
      <w:r>
        <w:rPr>
          <w:rFonts w:hint="default" w:ascii="Times New Roman" w:hAnsi="Times New Roman" w:eastAsia="仿宋_GB2312" w:cs="Times New Roman"/>
          <w:spacing w:val="0"/>
          <w:sz w:val="32"/>
          <w:szCs w:val="32"/>
          <w:lang w:val="en-US" w:eastAsia="zh-CN"/>
        </w:rPr>
        <w:t>符合行业规划要求，围绕本年度</w:t>
      </w:r>
      <w:r>
        <w:rPr>
          <w:rFonts w:hint="eastAsia" w:ascii="Times New Roman" w:hAnsi="Times New Roman" w:eastAsia="仿宋_GB2312" w:cs="Times New Roman"/>
          <w:b w:val="0"/>
          <w:bCs w:val="0"/>
          <w:spacing w:val="0"/>
          <w:sz w:val="32"/>
          <w:szCs w:val="32"/>
          <w:highlight w:val="none"/>
          <w:lang w:eastAsia="zh-CN"/>
        </w:rPr>
        <w:t>强化基层党组织建设、推动社区治理创新</w:t>
      </w:r>
      <w:r>
        <w:rPr>
          <w:rFonts w:hint="eastAsia" w:eastAsia="仿宋_GB2312" w:cs="Times New Roman"/>
          <w:b w:val="0"/>
          <w:bCs w:val="0"/>
          <w:spacing w:val="0"/>
          <w:sz w:val="32"/>
          <w:szCs w:val="32"/>
          <w:highlight w:val="none"/>
          <w:lang w:eastAsia="zh-CN"/>
        </w:rPr>
        <w:t>等</w:t>
      </w:r>
      <w:r>
        <w:rPr>
          <w:rFonts w:hint="default" w:ascii="Times New Roman" w:hAnsi="Times New Roman" w:eastAsia="仿宋_GB2312" w:cs="Times New Roman"/>
          <w:spacing w:val="0"/>
          <w:sz w:val="32"/>
          <w:szCs w:val="32"/>
          <w:lang w:val="en-US" w:eastAsia="zh-CN"/>
        </w:rPr>
        <w:t>工作重点和</w:t>
      </w:r>
      <w:r>
        <w:rPr>
          <w:rFonts w:hint="eastAsia" w:ascii="Times New Roman" w:hAnsi="Times New Roman" w:eastAsia="仿宋_GB2312" w:cs="Times New Roman"/>
          <w:b w:val="0"/>
          <w:bCs w:val="0"/>
          <w:spacing w:val="0"/>
          <w:sz w:val="32"/>
          <w:szCs w:val="32"/>
          <w:highlight w:val="none"/>
          <w:lang w:eastAsia="zh-CN"/>
        </w:rPr>
        <w:t>促进社区和谐稳定、</w:t>
      </w:r>
      <w:r>
        <w:rPr>
          <w:rFonts w:hint="eastAsia" w:eastAsia="仿宋_GB2312" w:cs="Times New Roman"/>
          <w:b w:val="0"/>
          <w:bCs w:val="0"/>
          <w:spacing w:val="0"/>
          <w:sz w:val="32"/>
          <w:szCs w:val="32"/>
          <w:highlight w:val="none"/>
          <w:lang w:eastAsia="zh-CN"/>
        </w:rPr>
        <w:t>提升社会满意度等</w:t>
      </w:r>
      <w:r>
        <w:rPr>
          <w:rFonts w:hint="default" w:ascii="Times New Roman" w:hAnsi="Times New Roman" w:eastAsia="仿宋_GB2312" w:cs="Times New Roman"/>
          <w:spacing w:val="0"/>
          <w:sz w:val="32"/>
          <w:szCs w:val="32"/>
          <w:lang w:val="en-US" w:eastAsia="zh-CN"/>
        </w:rPr>
        <w:t>工作计划制定经费预算，属于公共财政支持范围。本项目与部门内部其他相关项目不重复。部门发展规划及职能文件等归档完整。</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eastAsia" w:eastAsia="仿宋_GB2312" w:cs="Times New Roman"/>
          <w:spacing w:val="0"/>
          <w:sz w:val="32"/>
          <w:szCs w:val="32"/>
          <w:lang w:val="en-US" w:eastAsia="zh-CN"/>
        </w:rPr>
        <w:t>此项权重分值为3分，得分为3分。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（2）立项程序规范性</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rPr>
        <w:t>项目申请、设立过程符合相关要求，</w:t>
      </w:r>
      <w:r>
        <w:rPr>
          <w:rFonts w:hint="default" w:ascii="Times New Roman" w:hAnsi="Times New Roman" w:eastAsia="仿宋_GB2312" w:cs="Times New Roman"/>
          <w:spacing w:val="0"/>
          <w:sz w:val="32"/>
          <w:szCs w:val="32"/>
          <w:lang w:eastAsia="zh-Hans"/>
        </w:rPr>
        <w:t>严格按照审批流程准备符合要求的文件、材料；</w:t>
      </w:r>
      <w:r>
        <w:rPr>
          <w:rFonts w:hint="default" w:ascii="Times New Roman" w:hAnsi="Times New Roman" w:eastAsia="仿宋_GB2312" w:cs="Times New Roman"/>
          <w:spacing w:val="0"/>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eastAsia" w:eastAsia="仿宋_GB2312" w:cs="Times New Roman"/>
          <w:spacing w:val="0"/>
          <w:sz w:val="32"/>
          <w:szCs w:val="32"/>
          <w:lang w:val="en-US" w:eastAsia="zh-CN"/>
        </w:rPr>
        <w:t>此项权重分值为3分，得分为3分。</w:t>
      </w:r>
    </w:p>
    <w:p>
      <w:pPr>
        <w:pStyle w:val="19"/>
        <w:keepNext/>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pacing w:val="0"/>
          <w:sz w:val="32"/>
          <w:szCs w:val="32"/>
          <w:lang w:val="en-US" w:eastAsia="zh-CN"/>
        </w:rPr>
      </w:pPr>
      <w:r>
        <w:rPr>
          <w:rFonts w:hint="default" w:ascii="Times New Roman" w:hAnsi="Times New Roman" w:eastAsia="仿宋_GB2312" w:cs="Times New Roman"/>
          <w:b/>
          <w:bCs/>
          <w:spacing w:val="0"/>
          <w:sz w:val="32"/>
          <w:szCs w:val="32"/>
          <w:lang w:val="en-US" w:eastAsia="zh-CN"/>
        </w:rPr>
        <w:t>2.绩效目标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（1）绩效目标合理性</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Hans"/>
        </w:rPr>
        <w:t>年初结合实际工作内容</w:t>
      </w:r>
      <w:r>
        <w:rPr>
          <w:rFonts w:hint="default" w:ascii="Times New Roman" w:hAnsi="Times New Roman" w:eastAsia="仿宋_GB2312" w:cs="Times New Roman"/>
          <w:spacing w:val="0"/>
          <w:sz w:val="32"/>
          <w:szCs w:val="32"/>
          <w:lang w:val="en-US" w:eastAsia="zh-CN"/>
        </w:rPr>
        <w:t>设定绩效目标</w:t>
      </w:r>
      <w:r>
        <w:rPr>
          <w:rFonts w:hint="default" w:ascii="Times New Roman" w:hAnsi="Times New Roman" w:eastAsia="仿宋_GB2312" w:cs="Times New Roman"/>
          <w:spacing w:val="0"/>
          <w:sz w:val="32"/>
          <w:szCs w:val="32"/>
          <w:lang w:val="en-US" w:eastAsia="zh-Hans"/>
        </w:rPr>
        <w:t>，绩效目标</w:t>
      </w:r>
      <w:r>
        <w:rPr>
          <w:rFonts w:hint="default" w:ascii="Times New Roman" w:hAnsi="Times New Roman" w:eastAsia="仿宋_GB2312" w:cs="Times New Roman"/>
          <w:spacing w:val="0"/>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eastAsia" w:eastAsia="仿宋_GB2312" w:cs="Times New Roman"/>
          <w:spacing w:val="0"/>
          <w:sz w:val="32"/>
          <w:szCs w:val="32"/>
          <w:lang w:val="en-US" w:eastAsia="zh-CN"/>
        </w:rPr>
        <w:t>此项权重分值为4分，得分为4分。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（2）绩效指标明确性</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eastAsia" w:eastAsia="仿宋_GB2312" w:cs="Times New Roman"/>
          <w:spacing w:val="0"/>
          <w:sz w:val="32"/>
          <w:szCs w:val="32"/>
          <w:lang w:val="en-US" w:eastAsia="zh-CN"/>
        </w:rPr>
        <w:t>此项权重分值为4分，得分为4分。</w:t>
      </w:r>
    </w:p>
    <w:p>
      <w:pPr>
        <w:pStyle w:val="19"/>
        <w:keepNext/>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pacing w:val="0"/>
          <w:sz w:val="32"/>
          <w:szCs w:val="32"/>
          <w:lang w:val="en-US" w:eastAsia="zh-CN"/>
        </w:rPr>
      </w:pPr>
      <w:r>
        <w:rPr>
          <w:rFonts w:hint="default" w:ascii="Times New Roman" w:hAnsi="Times New Roman" w:eastAsia="仿宋_GB2312" w:cs="Times New Roman"/>
          <w:b/>
          <w:bCs/>
          <w:spacing w:val="0"/>
          <w:sz w:val="32"/>
          <w:szCs w:val="32"/>
          <w:lang w:val="en-US" w:eastAsia="zh-CN"/>
        </w:rPr>
        <w:t>3.资金投入</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（1）预算编制科学性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在预算编制过程中，</w:t>
      </w:r>
      <w:r>
        <w:rPr>
          <w:rFonts w:hint="default" w:ascii="Times New Roman" w:hAnsi="Times New Roman" w:eastAsia="仿宋_GB2312" w:cs="Times New Roman"/>
          <w:spacing w:val="0"/>
          <w:sz w:val="32"/>
          <w:szCs w:val="32"/>
          <w:highlight w:val="none"/>
          <w:lang w:val="en-US" w:eastAsia="zh-CN"/>
        </w:rPr>
        <w:t>还</w:t>
      </w:r>
      <w:r>
        <w:rPr>
          <w:rFonts w:hint="default" w:ascii="Times New Roman" w:hAnsi="Times New Roman" w:eastAsia="仿宋_GB2312" w:cs="Times New Roman"/>
          <w:spacing w:val="0"/>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green"/>
          <w:lang w:eastAsia="zh-CN"/>
        </w:rPr>
      </w:pPr>
      <w:r>
        <w:rPr>
          <w:rFonts w:hint="eastAsia" w:eastAsia="仿宋_GB2312" w:cs="Times New Roman"/>
          <w:spacing w:val="0"/>
          <w:sz w:val="32"/>
          <w:szCs w:val="32"/>
          <w:lang w:val="en-US" w:eastAsia="zh-CN"/>
        </w:rPr>
        <w:t>此项权重分值为3分，得分为3分。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（2）资金分配合理性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具体而言，资金分配紧密结合了项目</w:t>
      </w:r>
      <w:r>
        <w:rPr>
          <w:rFonts w:hint="eastAsia" w:eastAsia="仿宋_GB2312" w:cs="Times New Roman"/>
          <w:spacing w:val="0"/>
          <w:sz w:val="32"/>
          <w:szCs w:val="32"/>
          <w:highlight w:val="none"/>
          <w:lang w:eastAsia="zh-CN"/>
        </w:rPr>
        <w:t>专款专用、严格管理和支持基层的</w:t>
      </w:r>
      <w:r>
        <w:rPr>
          <w:rFonts w:hint="default" w:ascii="Times New Roman" w:hAnsi="Times New Roman" w:eastAsia="仿宋_GB2312" w:cs="Times New Roman"/>
          <w:spacing w:val="0"/>
          <w:sz w:val="32"/>
          <w:szCs w:val="32"/>
          <w:highlight w:val="none"/>
          <w:lang w:eastAsia="zh-CN"/>
        </w:rPr>
        <w:t>特点与</w:t>
      </w:r>
      <w:r>
        <w:rPr>
          <w:rFonts w:hint="eastAsia" w:eastAsia="仿宋_GB2312" w:cs="Times New Roman"/>
          <w:spacing w:val="0"/>
          <w:sz w:val="32"/>
          <w:szCs w:val="32"/>
          <w:highlight w:val="none"/>
          <w:lang w:eastAsia="zh-CN"/>
        </w:rPr>
        <w:t>经费使用灵活、经费管理规范化等</w:t>
      </w:r>
      <w:r>
        <w:rPr>
          <w:rFonts w:hint="default" w:ascii="Times New Roman" w:hAnsi="Times New Roman" w:eastAsia="仿宋_GB2312" w:cs="Times New Roman"/>
          <w:spacing w:val="0"/>
          <w:sz w:val="32"/>
          <w:szCs w:val="32"/>
          <w:highlight w:val="none"/>
          <w:lang w:eastAsia="zh-CN"/>
        </w:rPr>
        <w:t>实际情况，对</w:t>
      </w:r>
      <w:r>
        <w:rPr>
          <w:rFonts w:hint="eastAsia" w:ascii="Times New Roman" w:hAnsi="Times New Roman" w:eastAsia="仿宋_GB2312" w:cs="Times New Roman"/>
          <w:b w:val="0"/>
          <w:bCs w:val="0"/>
          <w:spacing w:val="0"/>
          <w:sz w:val="32"/>
          <w:szCs w:val="32"/>
          <w:highlight w:val="none"/>
          <w:lang w:eastAsia="zh-CN"/>
        </w:rPr>
        <w:t>强化基层党组织建设、促进社区和谐稳定</w:t>
      </w:r>
      <w:r>
        <w:rPr>
          <w:rFonts w:hint="eastAsia" w:eastAsia="仿宋_GB2312" w:cs="Times New Roman"/>
          <w:b w:val="0"/>
          <w:bCs w:val="0"/>
          <w:spacing w:val="0"/>
          <w:sz w:val="32"/>
          <w:szCs w:val="32"/>
          <w:highlight w:val="none"/>
          <w:lang w:eastAsia="zh-CN"/>
        </w:rPr>
        <w:t>等</w:t>
      </w:r>
      <w:r>
        <w:rPr>
          <w:rFonts w:hint="default" w:ascii="Times New Roman" w:hAnsi="Times New Roman" w:eastAsia="仿宋_GB2312" w:cs="Times New Roman"/>
          <w:spacing w:val="0"/>
          <w:sz w:val="32"/>
          <w:szCs w:val="32"/>
          <w:highlight w:val="none"/>
          <w:lang w:eastAsia="zh-CN"/>
        </w:rPr>
        <w:t>关键领域与</w:t>
      </w:r>
      <w:r>
        <w:rPr>
          <w:rFonts w:hint="eastAsia" w:ascii="Times New Roman" w:hAnsi="Times New Roman" w:eastAsia="仿宋_GB2312" w:cs="Times New Roman"/>
          <w:b w:val="0"/>
          <w:bCs w:val="0"/>
          <w:spacing w:val="0"/>
          <w:sz w:val="32"/>
          <w:szCs w:val="32"/>
          <w:highlight w:val="none"/>
          <w:lang w:eastAsia="zh-CN"/>
        </w:rPr>
        <w:t>推动社区治理创新</w:t>
      </w:r>
      <w:r>
        <w:rPr>
          <w:rFonts w:hint="eastAsia" w:eastAsia="仿宋_GB2312" w:cs="Times New Roman"/>
          <w:b w:val="0"/>
          <w:bCs w:val="0"/>
          <w:spacing w:val="0"/>
          <w:sz w:val="32"/>
          <w:szCs w:val="32"/>
          <w:highlight w:val="none"/>
          <w:lang w:eastAsia="zh-CN"/>
        </w:rPr>
        <w:t>、提升社会满意度等</w:t>
      </w:r>
      <w:r>
        <w:rPr>
          <w:rFonts w:hint="default" w:ascii="Times New Roman" w:hAnsi="Times New Roman" w:eastAsia="仿宋_GB2312" w:cs="Times New Roman"/>
          <w:spacing w:val="0"/>
          <w:sz w:val="32"/>
          <w:szCs w:val="32"/>
          <w:highlight w:val="none"/>
          <w:lang w:eastAsia="zh-CN"/>
        </w:rPr>
        <w:t>重要环节给予了重点支持。同时，我们也注重了资金的均衡分配，避免了资源浪费与资金闲置。此外，资金分配还充分考虑了风险因素，对可能出现的超支情况进行了预留与调整。</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green"/>
          <w:lang w:eastAsia="zh-CN"/>
        </w:rPr>
      </w:pPr>
      <w:r>
        <w:rPr>
          <w:rFonts w:hint="eastAsia" w:eastAsia="仿宋_GB2312" w:cs="Times New Roman"/>
          <w:spacing w:val="0"/>
          <w:sz w:val="32"/>
          <w:szCs w:val="32"/>
          <w:lang w:val="en-US" w:eastAsia="zh-CN"/>
        </w:rPr>
        <w:t>此项权重分值为3分，得分为3分。</w:t>
      </w:r>
    </w:p>
    <w:p>
      <w:pPr>
        <w:pStyle w:val="10"/>
        <w:keepNext/>
        <w:keepLines w:val="0"/>
        <w:pageBreakBefore w:val="0"/>
        <w:widowControl w:val="0"/>
        <w:numPr>
          <w:ilvl w:val="0"/>
          <w:numId w:val="4"/>
        </w:numPr>
        <w:kinsoku/>
        <w:wordWrap/>
        <w:overflowPunct/>
        <w:topLinePunct w:val="0"/>
        <w:autoSpaceDE/>
        <w:autoSpaceDN/>
        <w:bidi w:val="0"/>
        <w:adjustRightInd/>
        <w:snapToGrid/>
        <w:spacing w:before="0" w:after="0" w:line="560" w:lineRule="exact"/>
        <w:ind w:firstLine="643" w:firstLineChars="200"/>
        <w:jc w:val="both"/>
        <w:rPr>
          <w:rFonts w:hint="default" w:ascii="Times New Roman" w:hAnsi="Times New Roman" w:eastAsia="楷体" w:cs="Times New Roman"/>
          <w:spacing w:val="0"/>
        </w:rPr>
      </w:pPr>
      <w:r>
        <w:rPr>
          <w:rFonts w:hint="default" w:ascii="Times New Roman" w:hAnsi="Times New Roman" w:eastAsia="楷体" w:cs="Times New Roman"/>
          <w:spacing w:val="0"/>
        </w:rPr>
        <w:t>项目过程情况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lang w:val="en-US" w:eastAsia="zh-CN"/>
        </w:rPr>
        <w:t>项目过程类指标包括资金管理和组织实施两方面的内容，</w:t>
      </w:r>
      <w:r>
        <w:rPr>
          <w:rFonts w:hint="default" w:ascii="Times New Roman" w:hAnsi="Times New Roman" w:eastAsia="仿宋_GB2312" w:cs="Times New Roman"/>
          <w:spacing w:val="0"/>
          <w:sz w:val="32"/>
          <w:szCs w:val="32"/>
          <w:highlight w:val="none"/>
          <w:lang w:val="en-US" w:eastAsia="zh-CN"/>
        </w:rPr>
        <w:t>由5个三级指标构成，权重分值为20分，实际得分</w:t>
      </w:r>
      <w:r>
        <w:rPr>
          <w:rFonts w:hint="eastAsia" w:eastAsia="仿宋_GB2312" w:cs="Times New Roman"/>
          <w:spacing w:val="0"/>
          <w:sz w:val="32"/>
          <w:szCs w:val="32"/>
          <w:highlight w:val="none"/>
          <w:lang w:val="en-US" w:eastAsia="zh-CN"/>
        </w:rPr>
        <w:t>20</w:t>
      </w:r>
      <w:r>
        <w:rPr>
          <w:rFonts w:hint="default" w:ascii="Times New Roman" w:hAnsi="Times New Roman" w:eastAsia="仿宋_GB2312" w:cs="Times New Roman"/>
          <w:spacing w:val="0"/>
          <w:sz w:val="32"/>
          <w:szCs w:val="32"/>
          <w:highlight w:val="none"/>
          <w:lang w:val="en-US" w:eastAsia="zh-CN"/>
        </w:rPr>
        <w:t>分，得分率为</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w:t>
      </w:r>
    </w:p>
    <w:p>
      <w:pPr>
        <w:pStyle w:val="19"/>
        <w:keepNext/>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1.资金管理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（1）资金到位率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本项目总投资</w:t>
      </w:r>
      <w:r>
        <w:rPr>
          <w:rFonts w:hint="eastAsia" w:eastAsia="仿宋_GB2312" w:cs="Times New Roman"/>
          <w:spacing w:val="0"/>
          <w:sz w:val="32"/>
          <w:szCs w:val="32"/>
          <w:highlight w:val="none"/>
          <w:lang w:val="en-US" w:eastAsia="zh-CN"/>
        </w:rPr>
        <w:t>85</w:t>
      </w:r>
      <w:r>
        <w:rPr>
          <w:rFonts w:hint="default" w:ascii="Times New Roman" w:hAnsi="Times New Roman" w:eastAsia="仿宋_GB2312" w:cs="Times New Roman"/>
          <w:spacing w:val="0"/>
          <w:sz w:val="32"/>
          <w:szCs w:val="32"/>
          <w:highlight w:val="none"/>
          <w:lang w:val="en-US" w:eastAsia="zh-CN"/>
        </w:rPr>
        <w:t>万元，财政资金及时足额到位，到位率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%，预算资金按计划进度执行。</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此项权重分值为4分，得分为4分。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（2）预算执行率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预算编制较为详细，项目资金支出总体能够按照预算执行，预算资金支出</w:t>
      </w:r>
      <w:r>
        <w:rPr>
          <w:rFonts w:hint="eastAsia" w:eastAsia="仿宋_GB2312" w:cs="Times New Roman"/>
          <w:spacing w:val="0"/>
          <w:sz w:val="32"/>
          <w:szCs w:val="32"/>
          <w:highlight w:val="none"/>
          <w:lang w:val="en-US" w:eastAsia="zh-CN"/>
        </w:rPr>
        <w:t>85</w:t>
      </w:r>
      <w:r>
        <w:rPr>
          <w:rFonts w:hint="default" w:ascii="Times New Roman" w:hAnsi="Times New Roman" w:eastAsia="仿宋_GB2312" w:cs="Times New Roman"/>
          <w:spacing w:val="0"/>
          <w:sz w:val="32"/>
          <w:szCs w:val="32"/>
          <w:highlight w:val="none"/>
          <w:lang w:val="en-US" w:eastAsia="zh-CN"/>
        </w:rPr>
        <w:t>万元，预算执行率为</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此项权重分值为4分，得分为4分。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（3）资金使用合规性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本项目的资金使用严格遵循了</w:t>
      </w:r>
      <w:r>
        <w:rPr>
          <w:rFonts w:hint="eastAsia" w:eastAsia="仿宋_GB2312" w:cs="Times New Roman"/>
          <w:spacing w:val="0"/>
          <w:sz w:val="32"/>
          <w:szCs w:val="32"/>
          <w:highlight w:val="none"/>
          <w:lang w:eastAsia="zh-CN"/>
        </w:rPr>
        <w:t>《中华人民共和国预算法》《中国共产党党和国家机关基层组织工作条例》和《关于中国共产党党费收缴、使用和管理的规定》等</w:t>
      </w:r>
      <w:r>
        <w:rPr>
          <w:rFonts w:hint="default" w:ascii="Times New Roman" w:hAnsi="Times New Roman" w:eastAsia="仿宋_GB2312" w:cs="Times New Roman"/>
          <w:spacing w:val="0"/>
          <w:sz w:val="32"/>
          <w:szCs w:val="32"/>
          <w:highlight w:val="none"/>
          <w:lang w:eastAsia="zh-CN"/>
        </w:rPr>
        <w:t>国家相关法律法规</w:t>
      </w:r>
      <w:r>
        <w:rPr>
          <w:rFonts w:hint="eastAsia"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eastAsia="zh-CN"/>
        </w:rPr>
        <w:t>与</w:t>
      </w:r>
      <w:r>
        <w:rPr>
          <w:rFonts w:hint="eastAsia" w:eastAsia="仿宋_GB2312" w:cs="Times New Roman"/>
          <w:spacing w:val="0"/>
          <w:sz w:val="32"/>
          <w:szCs w:val="32"/>
          <w:highlight w:val="none"/>
          <w:lang w:eastAsia="zh-CN"/>
        </w:rPr>
        <w:t>本单位制定的《库尔勒市丝路街道办事处财务管理制度》</w:t>
      </w:r>
      <w:r>
        <w:rPr>
          <w:rFonts w:hint="default" w:ascii="Times New Roman" w:hAnsi="Times New Roman" w:eastAsia="仿宋_GB2312" w:cs="Times New Roman"/>
          <w:spacing w:val="0"/>
          <w:sz w:val="32"/>
          <w:szCs w:val="32"/>
          <w:highlight w:val="none"/>
          <w:lang w:eastAsia="zh-CN"/>
        </w:rPr>
        <w:t>，确保了资金的合规性与安全性。在资金使用过程中，我们建立了完善的财务管理体系，对资金的流动进行了全程监控与记录。</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green"/>
          <w:lang w:eastAsia="zh-CN"/>
        </w:rPr>
      </w:pPr>
      <w:r>
        <w:rPr>
          <w:rFonts w:hint="eastAsia" w:eastAsia="仿宋_GB2312" w:cs="Times New Roman"/>
          <w:spacing w:val="0"/>
          <w:sz w:val="32"/>
          <w:szCs w:val="32"/>
          <w:lang w:val="en-US" w:eastAsia="zh-CN"/>
        </w:rPr>
        <w:t>此项权重分值为4分，得分为4分。</w:t>
      </w:r>
    </w:p>
    <w:p>
      <w:pPr>
        <w:pStyle w:val="19"/>
        <w:keepNext/>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pacing w:val="0"/>
          <w:sz w:val="32"/>
          <w:szCs w:val="32"/>
          <w:lang w:val="en-US" w:eastAsia="zh-CN"/>
        </w:rPr>
      </w:pPr>
      <w:r>
        <w:rPr>
          <w:rFonts w:hint="default" w:ascii="Times New Roman" w:hAnsi="Times New Roman" w:eastAsia="仿宋_GB2312" w:cs="Times New Roman"/>
          <w:b/>
          <w:bCs/>
          <w:spacing w:val="0"/>
          <w:sz w:val="32"/>
          <w:szCs w:val="32"/>
          <w:lang w:val="en-US" w:eastAsia="zh-CN"/>
        </w:rPr>
        <w:t>2.组织实施</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（1）管理制度健全性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本项目拥有一套完善、健全的管理制度体系</w:t>
      </w:r>
      <w:r>
        <w:rPr>
          <w:rFonts w:hint="eastAsia" w:eastAsia="仿宋_GB2312" w:cs="Times New Roman"/>
          <w:spacing w:val="0"/>
          <w:sz w:val="32"/>
          <w:szCs w:val="32"/>
          <w:highlight w:val="none"/>
          <w:lang w:eastAsia="zh-CN"/>
        </w:rPr>
        <w:t>《库尔勒市丝路街道办事处项目管理办法》</w:t>
      </w:r>
      <w:r>
        <w:rPr>
          <w:rFonts w:hint="default" w:ascii="Times New Roman" w:hAnsi="Times New Roman" w:eastAsia="仿宋_GB2312" w:cs="Times New Roman"/>
          <w:spacing w:val="0"/>
          <w:sz w:val="32"/>
          <w:szCs w:val="32"/>
          <w:highlight w:val="none"/>
          <w:lang w:eastAsia="zh-CN"/>
        </w:rPr>
        <w:t>，为项目的成功实施提供了坚实的制度保障。项目管理制度的制定紧密结合了项目的特点与实际情况，涵盖了项目的策划、组织、实施、监控与收尾等各个环节。</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在制度设计上，我们注重了制度的科学性与可操作性，确保制度能够切实指导项目的执行与管理。</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green"/>
          <w:lang w:eastAsia="zh-CN"/>
        </w:rPr>
      </w:pPr>
      <w:r>
        <w:rPr>
          <w:rFonts w:hint="default" w:ascii="Times New Roman" w:hAnsi="Times New Roman" w:eastAsia="仿宋_GB2312" w:cs="Times New Roman"/>
          <w:spacing w:val="0"/>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green"/>
          <w:lang w:eastAsia="zh-CN"/>
        </w:rPr>
      </w:pPr>
      <w:r>
        <w:rPr>
          <w:rFonts w:hint="eastAsia" w:eastAsia="仿宋_GB2312" w:cs="Times New Roman"/>
          <w:spacing w:val="0"/>
          <w:sz w:val="32"/>
          <w:szCs w:val="32"/>
          <w:lang w:val="en-US" w:eastAsia="zh-CN"/>
        </w:rPr>
        <w:t>此项权重分值为4分，得分为4分。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（2）制度执行有效性</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lang w:eastAsia="zh-CN"/>
        </w:rPr>
      </w:pPr>
      <w:r>
        <w:rPr>
          <w:rFonts w:hint="default" w:ascii="Times New Roman" w:hAnsi="Times New Roman" w:eastAsia="仿宋_GB2312" w:cs="Times New Roman"/>
          <w:spacing w:val="0"/>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pacing w:val="0"/>
          <w:sz w:val="32"/>
          <w:szCs w:val="32"/>
          <w:lang w:val="en-US" w:eastAsia="zh-CN"/>
        </w:rPr>
        <w:t>单位</w:t>
      </w:r>
      <w:r>
        <w:rPr>
          <w:rFonts w:hint="default" w:ascii="Times New Roman" w:hAnsi="Times New Roman" w:eastAsia="仿宋_GB2312" w:cs="Times New Roman"/>
          <w:spacing w:val="0"/>
          <w:sz w:val="32"/>
          <w:szCs w:val="32"/>
          <w:lang w:eastAsia="zh-CN"/>
        </w:rPr>
        <w:t>重视制度执行的重要性，通过明确责任分工、制定详细执行计划、加强监督考核等措施，确保了各项管理制度能够得到有效执行。</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lang w:eastAsia="zh-CN"/>
        </w:rPr>
      </w:pPr>
      <w:r>
        <w:rPr>
          <w:rFonts w:hint="default" w:ascii="Times New Roman" w:hAnsi="Times New Roman" w:eastAsia="仿宋_GB2312" w:cs="Times New Roman"/>
          <w:spacing w:val="0"/>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Fonts w:hint="default" w:ascii="Times New Roman" w:hAnsi="Times New Roman" w:eastAsia="仿宋_GB2312" w:cs="Times New Roman"/>
          <w:spacing w:val="0"/>
          <w:sz w:val="32"/>
          <w:szCs w:val="32"/>
          <w:lang w:eastAsia="zh-CN"/>
        </w:rPr>
      </w:pPr>
      <w:r>
        <w:rPr>
          <w:rFonts w:hint="default" w:ascii="Times New Roman" w:hAnsi="Times New Roman" w:eastAsia="仿宋_GB2312" w:cs="Times New Roman"/>
          <w:spacing w:val="-6"/>
          <w:sz w:val="32"/>
          <w:szCs w:val="32"/>
          <w:lang w:eastAsia="zh-CN"/>
        </w:rPr>
        <w:t>综上所述，本项目的管理制度在执行过程中表现出了高度的有效性，既确保了项目的顺利进行，又实现了项目目标的有效达成。</w:t>
      </w:r>
    </w:p>
    <w:p>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pacing w:val="0"/>
          <w:sz w:val="32"/>
          <w:szCs w:val="32"/>
          <w:lang w:val="en-US" w:eastAsia="zh-CN"/>
        </w:rPr>
      </w:pPr>
      <w:r>
        <w:rPr>
          <w:rFonts w:hint="eastAsia" w:eastAsia="仿宋_GB2312" w:cs="Times New Roman"/>
          <w:spacing w:val="0"/>
          <w:sz w:val="32"/>
          <w:szCs w:val="32"/>
          <w:lang w:val="en-US" w:eastAsia="zh-CN"/>
        </w:rPr>
        <w:t>此项权重分值为4分，得分为4分。</w:t>
      </w:r>
    </w:p>
    <w:p>
      <w:pPr>
        <w:pStyle w:val="12"/>
        <w:keepNext/>
        <w:keepLines w:val="0"/>
        <w:pageBreakBefore w:val="0"/>
        <w:widowControl w:val="0"/>
        <w:numPr>
          <w:ilvl w:val="0"/>
          <w:numId w:val="4"/>
        </w:numPr>
        <w:kinsoku/>
        <w:wordWrap/>
        <w:overflowPunct/>
        <w:topLinePunct w:val="0"/>
        <w:autoSpaceDE/>
        <w:autoSpaceDN/>
        <w:bidi w:val="0"/>
        <w:adjustRightInd/>
        <w:snapToGrid/>
        <w:spacing w:line="560" w:lineRule="exact"/>
        <w:ind w:firstLine="643"/>
        <w:rPr>
          <w:rFonts w:hint="default" w:ascii="Times New Roman" w:hAnsi="Times New Roman" w:eastAsia="楷体_GB2312" w:cs="Times New Roman"/>
          <w:b/>
          <w:bCs/>
          <w:spacing w:val="0"/>
          <w:sz w:val="32"/>
          <w:szCs w:val="32"/>
        </w:rPr>
      </w:pPr>
      <w:r>
        <w:rPr>
          <w:rFonts w:hint="default" w:ascii="Times New Roman" w:hAnsi="Times New Roman" w:eastAsia="楷体_GB2312" w:cs="Times New Roman"/>
          <w:b/>
          <w:bCs/>
          <w:spacing w:val="0"/>
          <w:sz w:val="32"/>
          <w:szCs w:val="32"/>
        </w:rPr>
        <w:t>项目产出</w:t>
      </w:r>
      <w:r>
        <w:rPr>
          <w:rFonts w:hint="default" w:ascii="Times New Roman" w:hAnsi="Times New Roman" w:eastAsia="楷体_GB2312" w:cs="Times New Roman"/>
          <w:b/>
          <w:bCs/>
          <w:spacing w:val="0"/>
          <w:sz w:val="32"/>
          <w:szCs w:val="32"/>
          <w:lang w:val="en-US" w:eastAsia="zh-CN"/>
        </w:rPr>
        <w:t>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项目产出类指标包括产出数量、产出质量、产出时效、产出成本四方面的内</w:t>
      </w:r>
      <w:r>
        <w:rPr>
          <w:rFonts w:hint="default" w:ascii="Times New Roman" w:hAnsi="Times New Roman" w:eastAsia="仿宋_GB2312" w:cs="Times New Roman"/>
          <w:spacing w:val="0"/>
          <w:sz w:val="32"/>
          <w:szCs w:val="32"/>
          <w:highlight w:val="none"/>
          <w:lang w:val="en-US" w:eastAsia="zh-CN"/>
        </w:rPr>
        <w:t>容，由</w:t>
      </w:r>
      <w:r>
        <w:rPr>
          <w:rFonts w:hint="eastAsia" w:eastAsia="仿宋_GB2312" w:cs="Times New Roman"/>
          <w:spacing w:val="0"/>
          <w:sz w:val="32"/>
          <w:szCs w:val="32"/>
          <w:highlight w:val="none"/>
          <w:lang w:val="en-US" w:eastAsia="zh-CN"/>
        </w:rPr>
        <w:t>8</w:t>
      </w:r>
      <w:r>
        <w:rPr>
          <w:rFonts w:hint="default" w:ascii="Times New Roman" w:hAnsi="Times New Roman" w:eastAsia="仿宋_GB2312" w:cs="Times New Roman"/>
          <w:spacing w:val="0"/>
          <w:sz w:val="32"/>
          <w:szCs w:val="32"/>
          <w:highlight w:val="none"/>
          <w:lang w:val="en-US" w:eastAsia="zh-CN"/>
        </w:rPr>
        <w:t>个三级指标构成，权重分为40分，实际得分</w:t>
      </w:r>
      <w:r>
        <w:rPr>
          <w:rFonts w:hint="eastAsia" w:eastAsia="仿宋_GB2312" w:cs="Times New Roman"/>
          <w:spacing w:val="0"/>
          <w:sz w:val="32"/>
          <w:szCs w:val="32"/>
          <w:highlight w:val="none"/>
          <w:lang w:val="en-US" w:eastAsia="zh-CN"/>
        </w:rPr>
        <w:t>40</w:t>
      </w:r>
      <w:r>
        <w:rPr>
          <w:rFonts w:hint="default" w:ascii="Times New Roman" w:hAnsi="Times New Roman" w:eastAsia="仿宋_GB2312" w:cs="Times New Roman"/>
          <w:spacing w:val="0"/>
          <w:sz w:val="32"/>
          <w:szCs w:val="32"/>
          <w:highlight w:val="none"/>
          <w:lang w:val="en-US" w:eastAsia="zh-CN"/>
        </w:rPr>
        <w:t>分，得分率为</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w:t>
      </w:r>
      <w:r>
        <w:rPr>
          <w:rFonts w:hint="default" w:ascii="Times New Roman" w:hAnsi="Times New Roman" w:eastAsia="仿宋_GB2312" w:cs="Times New Roman"/>
          <w:spacing w:val="0"/>
          <w:sz w:val="32"/>
          <w:szCs w:val="32"/>
          <w:lang w:val="en-US" w:eastAsia="zh-CN"/>
        </w:rPr>
        <w:t>具体产出指标完成情况如下：</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fldChar w:fldCharType="begin"/>
      </w:r>
      <w:r>
        <w:rPr>
          <w:rFonts w:hint="default" w:ascii="Times New Roman" w:hAnsi="Times New Roman" w:eastAsia="仿宋_GB2312" w:cs="Times New Roman"/>
          <w:spacing w:val="0"/>
          <w:sz w:val="32"/>
          <w:szCs w:val="32"/>
          <w:highlight w:val="none"/>
        </w:rPr>
        <w:instrText xml:space="preserve"> = 1 \* GB3 </w:instrText>
      </w:r>
      <w:r>
        <w:rPr>
          <w:rFonts w:hint="default" w:ascii="Times New Roman" w:hAnsi="Times New Roman" w:eastAsia="仿宋_GB2312" w:cs="Times New Roman"/>
          <w:spacing w:val="0"/>
          <w:sz w:val="32"/>
          <w:szCs w:val="32"/>
          <w:highlight w:val="none"/>
        </w:rPr>
        <w:fldChar w:fldCharType="separate"/>
      </w:r>
      <w:r>
        <w:rPr>
          <w:rFonts w:hint="default" w:ascii="Times New Roman" w:hAnsi="Times New Roman" w:eastAsia="仿宋_GB2312" w:cs="Times New Roman"/>
          <w:spacing w:val="0"/>
          <w:sz w:val="32"/>
          <w:szCs w:val="32"/>
          <w:highlight w:val="none"/>
        </w:rPr>
        <w:t>①</w:t>
      </w:r>
      <w:r>
        <w:rPr>
          <w:rFonts w:hint="default" w:ascii="Times New Roman" w:hAnsi="Times New Roman" w:eastAsia="仿宋_GB2312" w:cs="Times New Roman"/>
          <w:spacing w:val="0"/>
          <w:sz w:val="32"/>
          <w:szCs w:val="32"/>
          <w:highlight w:val="none"/>
        </w:rPr>
        <w:fldChar w:fldCharType="end"/>
      </w:r>
      <w:r>
        <w:rPr>
          <w:rFonts w:hint="default" w:ascii="Times New Roman" w:hAnsi="Times New Roman" w:eastAsia="仿宋_GB2312" w:cs="Times New Roman"/>
          <w:spacing w:val="0"/>
          <w:sz w:val="32"/>
          <w:szCs w:val="32"/>
          <w:highlight w:val="none"/>
        </w:rPr>
        <w:t>数量指标：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指标1：保障大型社区数量，指标值：&gt;=3个，实际完成值：</w:t>
      </w:r>
      <w:r>
        <w:rPr>
          <w:rFonts w:hint="eastAsia" w:eastAsia="仿宋_GB2312" w:cs="Times New Roman"/>
          <w:spacing w:val="0"/>
          <w:sz w:val="32"/>
          <w:szCs w:val="32"/>
          <w:highlight w:val="none"/>
          <w:lang w:val="en-US" w:eastAsia="zh-CN"/>
        </w:rPr>
        <w:t>3个</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rPr>
        <w:t>：保障</w:t>
      </w:r>
      <w:r>
        <w:rPr>
          <w:rFonts w:hint="eastAsia" w:eastAsia="仿宋_GB2312" w:cs="Times New Roman"/>
          <w:spacing w:val="0"/>
          <w:sz w:val="32"/>
          <w:szCs w:val="32"/>
          <w:highlight w:val="none"/>
          <w:lang w:eastAsia="zh-CN"/>
        </w:rPr>
        <w:t>中</w:t>
      </w:r>
      <w:r>
        <w:rPr>
          <w:rFonts w:hint="default" w:ascii="Times New Roman" w:hAnsi="Times New Roman" w:eastAsia="仿宋_GB2312" w:cs="Times New Roman"/>
          <w:spacing w:val="0"/>
          <w:sz w:val="32"/>
          <w:szCs w:val="32"/>
          <w:highlight w:val="none"/>
        </w:rPr>
        <w:t>型社区数量，指标值：&gt;=</w:t>
      </w:r>
      <w:r>
        <w:rPr>
          <w:rFonts w:hint="eastAsia" w:eastAsia="仿宋_GB2312" w:cs="Times New Roman"/>
          <w:spacing w:val="0"/>
          <w:sz w:val="32"/>
          <w:szCs w:val="32"/>
          <w:highlight w:val="none"/>
          <w:lang w:val="en-US" w:eastAsia="zh-CN"/>
        </w:rPr>
        <w:t>1</w:t>
      </w:r>
      <w:r>
        <w:rPr>
          <w:rFonts w:hint="default" w:ascii="Times New Roman" w:hAnsi="Times New Roman" w:eastAsia="仿宋_GB2312" w:cs="Times New Roman"/>
          <w:spacing w:val="0"/>
          <w:sz w:val="32"/>
          <w:szCs w:val="32"/>
          <w:highlight w:val="none"/>
        </w:rPr>
        <w:t>个，实际完成值：</w:t>
      </w:r>
      <w:r>
        <w:rPr>
          <w:rFonts w:hint="eastAsia" w:eastAsia="仿宋_GB2312" w:cs="Times New Roman"/>
          <w:spacing w:val="0"/>
          <w:sz w:val="32"/>
          <w:szCs w:val="32"/>
          <w:highlight w:val="none"/>
          <w:lang w:val="en-US" w:eastAsia="zh-CN"/>
        </w:rPr>
        <w:t>1个</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3</w:t>
      </w:r>
      <w:r>
        <w:rPr>
          <w:rFonts w:hint="default" w:ascii="Times New Roman" w:hAnsi="Times New Roman" w:eastAsia="仿宋_GB2312" w:cs="Times New Roman"/>
          <w:spacing w:val="0"/>
          <w:sz w:val="32"/>
          <w:szCs w:val="32"/>
          <w:highlight w:val="none"/>
        </w:rPr>
        <w:t>：保障</w:t>
      </w:r>
      <w:r>
        <w:rPr>
          <w:rFonts w:hint="eastAsia" w:eastAsia="仿宋_GB2312" w:cs="Times New Roman"/>
          <w:spacing w:val="0"/>
          <w:sz w:val="32"/>
          <w:szCs w:val="32"/>
          <w:highlight w:val="none"/>
          <w:lang w:eastAsia="zh-CN"/>
        </w:rPr>
        <w:t>小</w:t>
      </w:r>
      <w:r>
        <w:rPr>
          <w:rFonts w:hint="default" w:ascii="Times New Roman" w:hAnsi="Times New Roman" w:eastAsia="仿宋_GB2312" w:cs="Times New Roman"/>
          <w:spacing w:val="0"/>
          <w:sz w:val="32"/>
          <w:szCs w:val="32"/>
          <w:highlight w:val="none"/>
        </w:rPr>
        <w:t>型社区数量，指标值：&gt;=</w:t>
      </w:r>
      <w:r>
        <w:rPr>
          <w:rFonts w:hint="eastAsia" w:eastAsia="仿宋_GB2312" w:cs="Times New Roman"/>
          <w:spacing w:val="0"/>
          <w:sz w:val="32"/>
          <w:szCs w:val="32"/>
          <w:highlight w:val="none"/>
          <w:lang w:val="en-US" w:eastAsia="zh-CN"/>
        </w:rPr>
        <w:t>1</w:t>
      </w:r>
      <w:r>
        <w:rPr>
          <w:rFonts w:hint="default" w:ascii="Times New Roman" w:hAnsi="Times New Roman" w:eastAsia="仿宋_GB2312" w:cs="Times New Roman"/>
          <w:spacing w:val="0"/>
          <w:sz w:val="32"/>
          <w:szCs w:val="32"/>
          <w:highlight w:val="none"/>
        </w:rPr>
        <w:t>个，实际完成值：</w:t>
      </w:r>
      <w:r>
        <w:rPr>
          <w:rFonts w:hint="eastAsia" w:eastAsia="仿宋_GB2312" w:cs="Times New Roman"/>
          <w:spacing w:val="0"/>
          <w:sz w:val="32"/>
          <w:szCs w:val="32"/>
          <w:highlight w:val="none"/>
          <w:lang w:val="en-US" w:eastAsia="zh-CN"/>
        </w:rPr>
        <w:t>1个</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eastAsia="仿宋_GB2312" w:cs="Times New Roman"/>
          <w:spacing w:val="0"/>
          <w:sz w:val="32"/>
          <w:szCs w:val="32"/>
          <w:highlight w:val="none"/>
          <w:lang w:val="en-US" w:eastAsia="zh-CN"/>
        </w:rPr>
      </w:pPr>
      <w:r>
        <w:rPr>
          <w:rFonts w:hint="eastAsia" w:eastAsia="仿宋_GB2312" w:cs="Times New Roman"/>
          <w:spacing w:val="0"/>
          <w:sz w:val="32"/>
          <w:szCs w:val="32"/>
          <w:highlight w:val="none"/>
          <w:lang w:eastAsia="zh-CN"/>
        </w:rPr>
        <w:t>此项权重分值为</w:t>
      </w:r>
      <w:r>
        <w:rPr>
          <w:rFonts w:hint="eastAsia" w:eastAsia="仿宋_GB2312" w:cs="Times New Roman"/>
          <w:spacing w:val="0"/>
          <w:sz w:val="32"/>
          <w:szCs w:val="32"/>
          <w:highlight w:val="none"/>
          <w:lang w:val="en-US" w:eastAsia="zh-CN"/>
        </w:rPr>
        <w:t>15分，得分15分。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fldChar w:fldCharType="begin"/>
      </w:r>
      <w:r>
        <w:rPr>
          <w:rFonts w:hint="default" w:ascii="Times New Roman" w:hAnsi="Times New Roman" w:eastAsia="仿宋_GB2312" w:cs="Times New Roman"/>
          <w:spacing w:val="0"/>
          <w:sz w:val="32"/>
          <w:szCs w:val="32"/>
          <w:highlight w:val="none"/>
        </w:rPr>
        <w:instrText xml:space="preserve"> = 2 \* GB3 </w:instrText>
      </w:r>
      <w:r>
        <w:rPr>
          <w:rFonts w:hint="default" w:ascii="Times New Roman" w:hAnsi="Times New Roman" w:eastAsia="仿宋_GB2312" w:cs="Times New Roman"/>
          <w:spacing w:val="0"/>
          <w:sz w:val="32"/>
          <w:szCs w:val="32"/>
          <w:highlight w:val="none"/>
        </w:rPr>
        <w:fldChar w:fldCharType="separate"/>
      </w:r>
      <w:r>
        <w:rPr>
          <w:rFonts w:hint="default" w:ascii="Times New Roman" w:hAnsi="Times New Roman" w:eastAsia="仿宋_GB2312" w:cs="Times New Roman"/>
          <w:spacing w:val="0"/>
          <w:sz w:val="32"/>
          <w:szCs w:val="32"/>
          <w:highlight w:val="none"/>
        </w:rPr>
        <w:t>②</w:t>
      </w:r>
      <w:r>
        <w:rPr>
          <w:rFonts w:hint="default" w:ascii="Times New Roman" w:hAnsi="Times New Roman" w:eastAsia="仿宋_GB2312" w:cs="Times New Roman"/>
          <w:spacing w:val="0"/>
          <w:sz w:val="32"/>
          <w:szCs w:val="32"/>
          <w:highlight w:val="none"/>
        </w:rPr>
        <w:fldChar w:fldCharType="end"/>
      </w:r>
      <w:r>
        <w:rPr>
          <w:rFonts w:hint="default" w:ascii="Times New Roman" w:hAnsi="Times New Roman" w:eastAsia="仿宋_GB2312" w:cs="Times New Roman"/>
          <w:spacing w:val="0"/>
          <w:sz w:val="32"/>
          <w:szCs w:val="32"/>
          <w:highlight w:val="none"/>
        </w:rPr>
        <w:t>质量指标：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指标1：</w:t>
      </w:r>
      <w:r>
        <w:rPr>
          <w:rFonts w:hint="eastAsia" w:eastAsia="仿宋_GB2312" w:cs="Times New Roman"/>
          <w:spacing w:val="0"/>
          <w:sz w:val="32"/>
          <w:szCs w:val="32"/>
          <w:highlight w:val="none"/>
          <w:lang w:eastAsia="zh-CN"/>
        </w:rPr>
        <w:t>资金使用合规率</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eastAsia" w:eastAsia="仿宋_GB2312" w:cs="Times New Roman"/>
          <w:spacing w:val="0"/>
          <w:sz w:val="32"/>
          <w:szCs w:val="32"/>
          <w:highlight w:val="none"/>
          <w:lang w:eastAsia="zh-CN"/>
        </w:rPr>
        <w:t>此项权重分值为</w:t>
      </w:r>
      <w:r>
        <w:rPr>
          <w:rFonts w:hint="eastAsia" w:eastAsia="仿宋_GB2312" w:cs="Times New Roman"/>
          <w:spacing w:val="0"/>
          <w:sz w:val="32"/>
          <w:szCs w:val="32"/>
          <w:highlight w:val="none"/>
          <w:lang w:val="en-US" w:eastAsia="zh-CN"/>
        </w:rPr>
        <w:t>5分，得分5分。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fldChar w:fldCharType="begin"/>
      </w:r>
      <w:r>
        <w:rPr>
          <w:rFonts w:hint="default" w:ascii="Times New Roman" w:hAnsi="Times New Roman" w:eastAsia="仿宋_GB2312" w:cs="Times New Roman"/>
          <w:spacing w:val="0"/>
          <w:sz w:val="32"/>
          <w:szCs w:val="32"/>
          <w:highlight w:val="none"/>
        </w:rPr>
        <w:instrText xml:space="preserve"> = 3 \* GB3 </w:instrText>
      </w:r>
      <w:r>
        <w:rPr>
          <w:rFonts w:hint="default" w:ascii="Times New Roman" w:hAnsi="Times New Roman" w:eastAsia="仿宋_GB2312" w:cs="Times New Roman"/>
          <w:spacing w:val="0"/>
          <w:sz w:val="32"/>
          <w:szCs w:val="32"/>
          <w:highlight w:val="none"/>
        </w:rPr>
        <w:fldChar w:fldCharType="separate"/>
      </w:r>
      <w:r>
        <w:rPr>
          <w:rFonts w:hint="default" w:ascii="Times New Roman" w:hAnsi="Times New Roman" w:eastAsia="仿宋_GB2312" w:cs="Times New Roman"/>
          <w:spacing w:val="0"/>
          <w:sz w:val="32"/>
          <w:szCs w:val="32"/>
          <w:highlight w:val="none"/>
        </w:rPr>
        <w:t>③</w:t>
      </w:r>
      <w:r>
        <w:rPr>
          <w:rFonts w:hint="default" w:ascii="Times New Roman" w:hAnsi="Times New Roman" w:eastAsia="仿宋_GB2312" w:cs="Times New Roman"/>
          <w:spacing w:val="0"/>
          <w:sz w:val="32"/>
          <w:szCs w:val="32"/>
          <w:highlight w:val="none"/>
        </w:rPr>
        <w:fldChar w:fldCharType="end"/>
      </w:r>
      <w:r>
        <w:rPr>
          <w:rFonts w:hint="default" w:ascii="Times New Roman" w:hAnsi="Times New Roman" w:eastAsia="仿宋_GB2312" w:cs="Times New Roman"/>
          <w:spacing w:val="0"/>
          <w:sz w:val="32"/>
          <w:szCs w:val="32"/>
          <w:highlight w:val="none"/>
        </w:rPr>
        <w:t>时效指标：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指标1：</w:t>
      </w:r>
      <w:r>
        <w:rPr>
          <w:rFonts w:hint="eastAsia" w:eastAsia="仿宋_GB2312" w:cs="Times New Roman"/>
          <w:spacing w:val="0"/>
          <w:sz w:val="32"/>
          <w:szCs w:val="32"/>
          <w:highlight w:val="none"/>
          <w:lang w:eastAsia="zh-CN"/>
        </w:rPr>
        <w:t>资金支付及时率</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eastAsia" w:eastAsia="仿宋_GB2312" w:cs="Times New Roman"/>
          <w:spacing w:val="0"/>
          <w:sz w:val="32"/>
          <w:szCs w:val="32"/>
          <w:highlight w:val="none"/>
          <w:lang w:eastAsia="zh-CN"/>
        </w:rPr>
        <w:t>此项权重分值为</w:t>
      </w:r>
      <w:r>
        <w:rPr>
          <w:rFonts w:hint="eastAsia" w:eastAsia="仿宋_GB2312" w:cs="Times New Roman"/>
          <w:spacing w:val="0"/>
          <w:sz w:val="32"/>
          <w:szCs w:val="32"/>
          <w:highlight w:val="none"/>
          <w:lang w:val="en-US" w:eastAsia="zh-CN"/>
        </w:rPr>
        <w:t>5分，得分5分。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fldChar w:fldCharType="begin"/>
      </w:r>
      <w:r>
        <w:rPr>
          <w:rFonts w:hint="default" w:ascii="Times New Roman" w:hAnsi="Times New Roman" w:eastAsia="仿宋_GB2312" w:cs="Times New Roman"/>
          <w:spacing w:val="0"/>
          <w:sz w:val="32"/>
          <w:szCs w:val="32"/>
          <w:highlight w:val="none"/>
        </w:rPr>
        <w:instrText xml:space="preserve"> = 4 \* GB3 </w:instrText>
      </w:r>
      <w:r>
        <w:rPr>
          <w:rFonts w:hint="default" w:ascii="Times New Roman" w:hAnsi="Times New Roman" w:eastAsia="仿宋_GB2312" w:cs="Times New Roman"/>
          <w:spacing w:val="0"/>
          <w:sz w:val="32"/>
          <w:szCs w:val="32"/>
          <w:highlight w:val="none"/>
        </w:rPr>
        <w:fldChar w:fldCharType="separate"/>
      </w:r>
      <w:r>
        <w:rPr>
          <w:rFonts w:hint="default" w:ascii="Times New Roman" w:hAnsi="Times New Roman" w:eastAsia="仿宋_GB2312" w:cs="Times New Roman"/>
          <w:spacing w:val="0"/>
          <w:sz w:val="32"/>
          <w:szCs w:val="32"/>
          <w:highlight w:val="none"/>
        </w:rPr>
        <w:t>④</w:t>
      </w:r>
      <w:r>
        <w:rPr>
          <w:rFonts w:hint="default" w:ascii="Times New Roman" w:hAnsi="Times New Roman" w:eastAsia="仿宋_GB2312" w:cs="Times New Roman"/>
          <w:spacing w:val="0"/>
          <w:sz w:val="32"/>
          <w:szCs w:val="32"/>
          <w:highlight w:val="none"/>
        </w:rPr>
        <w:fldChar w:fldCharType="end"/>
      </w:r>
      <w:r>
        <w:rPr>
          <w:rFonts w:hint="default" w:ascii="Times New Roman" w:hAnsi="Times New Roman" w:eastAsia="仿宋_GB2312" w:cs="Times New Roman"/>
          <w:spacing w:val="0"/>
          <w:sz w:val="32"/>
          <w:szCs w:val="32"/>
          <w:highlight w:val="none"/>
        </w:rPr>
        <w:t>成本指标：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指标1：保障大型社区</w:t>
      </w:r>
      <w:r>
        <w:rPr>
          <w:rFonts w:hint="eastAsia" w:eastAsia="仿宋_GB2312" w:cs="Times New Roman"/>
          <w:spacing w:val="0"/>
          <w:sz w:val="32"/>
          <w:szCs w:val="32"/>
          <w:highlight w:val="none"/>
          <w:lang w:eastAsia="zh-CN"/>
        </w:rPr>
        <w:t>正常运转经费成本</w:t>
      </w:r>
      <w:r>
        <w:rPr>
          <w:rFonts w:hint="default" w:ascii="Times New Roman" w:hAnsi="Times New Roman" w:eastAsia="仿宋_GB2312" w:cs="Times New Roman"/>
          <w:spacing w:val="0"/>
          <w:sz w:val="32"/>
          <w:szCs w:val="32"/>
          <w:highlight w:val="none"/>
        </w:rPr>
        <w:t>，指标值：&lt;=60万元，实际完成值：</w:t>
      </w:r>
      <w:r>
        <w:rPr>
          <w:rFonts w:hint="eastAsia" w:eastAsia="仿宋_GB2312" w:cs="Times New Roman"/>
          <w:spacing w:val="0"/>
          <w:sz w:val="32"/>
          <w:szCs w:val="32"/>
          <w:highlight w:val="none"/>
          <w:lang w:val="en-US" w:eastAsia="zh-CN"/>
        </w:rPr>
        <w:t>60万元</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rPr>
        <w:t>：保障</w:t>
      </w:r>
      <w:r>
        <w:rPr>
          <w:rFonts w:hint="eastAsia" w:eastAsia="仿宋_GB2312" w:cs="Times New Roman"/>
          <w:spacing w:val="0"/>
          <w:sz w:val="32"/>
          <w:szCs w:val="32"/>
          <w:highlight w:val="none"/>
          <w:lang w:eastAsia="zh-CN"/>
        </w:rPr>
        <w:t>中</w:t>
      </w:r>
      <w:r>
        <w:rPr>
          <w:rFonts w:hint="default" w:ascii="Times New Roman" w:hAnsi="Times New Roman" w:eastAsia="仿宋_GB2312" w:cs="Times New Roman"/>
          <w:spacing w:val="0"/>
          <w:sz w:val="32"/>
          <w:szCs w:val="32"/>
          <w:highlight w:val="none"/>
        </w:rPr>
        <w:t>型社区</w:t>
      </w:r>
      <w:r>
        <w:rPr>
          <w:rFonts w:hint="eastAsia" w:eastAsia="仿宋_GB2312" w:cs="Times New Roman"/>
          <w:spacing w:val="0"/>
          <w:sz w:val="32"/>
          <w:szCs w:val="32"/>
          <w:highlight w:val="none"/>
          <w:lang w:eastAsia="zh-CN"/>
        </w:rPr>
        <w:t>正常运转经费成本</w:t>
      </w:r>
      <w:r>
        <w:rPr>
          <w:rFonts w:hint="default" w:ascii="Times New Roman" w:hAnsi="Times New Roman" w:eastAsia="仿宋_GB2312" w:cs="Times New Roman"/>
          <w:spacing w:val="0"/>
          <w:sz w:val="32"/>
          <w:szCs w:val="32"/>
          <w:highlight w:val="none"/>
        </w:rPr>
        <w:t>，指标值：&lt;=</w:t>
      </w:r>
      <w:r>
        <w:rPr>
          <w:rFonts w:hint="eastAsia" w:eastAsia="仿宋_GB2312" w:cs="Times New Roman"/>
          <w:spacing w:val="0"/>
          <w:sz w:val="32"/>
          <w:szCs w:val="32"/>
          <w:highlight w:val="none"/>
          <w:lang w:val="en-US" w:eastAsia="zh-CN"/>
        </w:rPr>
        <w:t>15</w:t>
      </w:r>
      <w:r>
        <w:rPr>
          <w:rFonts w:hint="default" w:ascii="Times New Roman" w:hAnsi="Times New Roman" w:eastAsia="仿宋_GB2312" w:cs="Times New Roman"/>
          <w:spacing w:val="0"/>
          <w:sz w:val="32"/>
          <w:szCs w:val="32"/>
          <w:highlight w:val="none"/>
        </w:rPr>
        <w:t>万元，实际完成值：</w:t>
      </w:r>
      <w:r>
        <w:rPr>
          <w:rFonts w:hint="eastAsia" w:eastAsia="仿宋_GB2312" w:cs="Times New Roman"/>
          <w:spacing w:val="0"/>
          <w:sz w:val="32"/>
          <w:szCs w:val="32"/>
          <w:highlight w:val="none"/>
          <w:lang w:val="en-US" w:eastAsia="zh-CN"/>
        </w:rPr>
        <w:t>15万元</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w:t>
      </w:r>
      <w:r>
        <w:rPr>
          <w:rFonts w:hint="eastAsia" w:eastAsia="仿宋_GB2312" w:cs="Times New Roman"/>
          <w:spacing w:val="0"/>
          <w:sz w:val="32"/>
          <w:szCs w:val="32"/>
          <w:highlight w:val="none"/>
          <w:lang w:val="en-US" w:eastAsia="zh-CN"/>
        </w:rPr>
        <w:t>3</w:t>
      </w:r>
      <w:r>
        <w:rPr>
          <w:rFonts w:hint="default" w:ascii="Times New Roman" w:hAnsi="Times New Roman" w:eastAsia="仿宋_GB2312" w:cs="Times New Roman"/>
          <w:spacing w:val="0"/>
          <w:sz w:val="32"/>
          <w:szCs w:val="32"/>
          <w:highlight w:val="none"/>
        </w:rPr>
        <w:t>：保障</w:t>
      </w:r>
      <w:r>
        <w:rPr>
          <w:rFonts w:hint="eastAsia" w:eastAsia="仿宋_GB2312" w:cs="Times New Roman"/>
          <w:spacing w:val="0"/>
          <w:sz w:val="32"/>
          <w:szCs w:val="32"/>
          <w:highlight w:val="none"/>
          <w:lang w:eastAsia="zh-CN"/>
        </w:rPr>
        <w:t>小</w:t>
      </w:r>
      <w:r>
        <w:rPr>
          <w:rFonts w:hint="default" w:ascii="Times New Roman" w:hAnsi="Times New Roman" w:eastAsia="仿宋_GB2312" w:cs="Times New Roman"/>
          <w:spacing w:val="0"/>
          <w:sz w:val="32"/>
          <w:szCs w:val="32"/>
          <w:highlight w:val="none"/>
        </w:rPr>
        <w:t>型社区</w:t>
      </w:r>
      <w:r>
        <w:rPr>
          <w:rFonts w:hint="eastAsia" w:eastAsia="仿宋_GB2312" w:cs="Times New Roman"/>
          <w:spacing w:val="0"/>
          <w:sz w:val="32"/>
          <w:szCs w:val="32"/>
          <w:highlight w:val="none"/>
          <w:lang w:eastAsia="zh-CN"/>
        </w:rPr>
        <w:t>正常运转经费成本</w:t>
      </w:r>
      <w:r>
        <w:rPr>
          <w:rFonts w:hint="default" w:ascii="Times New Roman" w:hAnsi="Times New Roman" w:eastAsia="仿宋_GB2312" w:cs="Times New Roman"/>
          <w:spacing w:val="0"/>
          <w:sz w:val="32"/>
          <w:szCs w:val="32"/>
          <w:highlight w:val="none"/>
        </w:rPr>
        <w:t>，指标值：&lt;=</w:t>
      </w:r>
      <w:r>
        <w:rPr>
          <w:rFonts w:hint="eastAsia" w:eastAsia="仿宋_GB2312" w:cs="Times New Roman"/>
          <w:spacing w:val="0"/>
          <w:sz w:val="32"/>
          <w:szCs w:val="32"/>
          <w:highlight w:val="none"/>
          <w:lang w:val="en-US" w:eastAsia="zh-CN"/>
        </w:rPr>
        <w:t>10</w:t>
      </w:r>
      <w:r>
        <w:rPr>
          <w:rFonts w:hint="default" w:ascii="Times New Roman" w:hAnsi="Times New Roman" w:eastAsia="仿宋_GB2312" w:cs="Times New Roman"/>
          <w:spacing w:val="0"/>
          <w:sz w:val="32"/>
          <w:szCs w:val="32"/>
          <w:highlight w:val="none"/>
        </w:rPr>
        <w:t>万元，实际完成值：</w:t>
      </w:r>
      <w:r>
        <w:rPr>
          <w:rFonts w:hint="eastAsia" w:eastAsia="仿宋_GB2312" w:cs="Times New Roman"/>
          <w:spacing w:val="0"/>
          <w:sz w:val="32"/>
          <w:szCs w:val="32"/>
          <w:highlight w:val="none"/>
          <w:lang w:val="en-US" w:eastAsia="zh-CN"/>
        </w:rPr>
        <w:t>10万元</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lang w:val="en-US" w:eastAsia="zh-CN"/>
        </w:rPr>
        <w:t>此项权重分值为15分，得分为15分。</w:t>
      </w:r>
    </w:p>
    <w:p>
      <w:pPr>
        <w:pStyle w:val="12"/>
        <w:keepNext/>
        <w:keepLines w:val="0"/>
        <w:pageBreakBefore w:val="0"/>
        <w:widowControl w:val="0"/>
        <w:numPr>
          <w:ilvl w:val="0"/>
          <w:numId w:val="4"/>
        </w:numPr>
        <w:kinsoku/>
        <w:wordWrap/>
        <w:overflowPunct/>
        <w:topLinePunct w:val="0"/>
        <w:autoSpaceDE/>
        <w:autoSpaceDN/>
        <w:bidi w:val="0"/>
        <w:adjustRightInd/>
        <w:snapToGrid/>
        <w:spacing w:line="560" w:lineRule="exact"/>
        <w:ind w:firstLine="643"/>
        <w:rPr>
          <w:rFonts w:hint="default" w:ascii="Times New Roman" w:hAnsi="Times New Roman" w:eastAsia="楷体_GB2312" w:cs="Times New Roman"/>
          <w:b/>
          <w:bCs/>
          <w:spacing w:val="0"/>
          <w:sz w:val="32"/>
          <w:szCs w:val="32"/>
          <w:lang w:val="en-US" w:eastAsia="zh-CN"/>
        </w:rPr>
      </w:pPr>
      <w:r>
        <w:rPr>
          <w:rFonts w:hint="default" w:ascii="Times New Roman" w:hAnsi="Times New Roman" w:eastAsia="楷体_GB2312" w:cs="Times New Roman"/>
          <w:b/>
          <w:bCs/>
          <w:spacing w:val="0"/>
          <w:sz w:val="32"/>
          <w:szCs w:val="32"/>
          <w:lang w:val="en-US" w:eastAsia="zh-CN"/>
        </w:rPr>
        <w:t>项目效益情况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highlight w:val="none"/>
          <w:lang w:val="en-US" w:eastAsia="zh-CN"/>
        </w:rPr>
        <w:t>项目效益类指标包括项目实施效益和满意度两方面的内容，由</w:t>
      </w:r>
      <w:r>
        <w:rPr>
          <w:rFonts w:hint="eastAsia"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lang w:val="en-US" w:eastAsia="zh-CN"/>
        </w:rPr>
        <w:t>个三级指标构成，权重分为20分，实际得分</w:t>
      </w:r>
      <w:r>
        <w:rPr>
          <w:rFonts w:hint="eastAsia" w:eastAsia="仿宋_GB2312" w:cs="Times New Roman"/>
          <w:spacing w:val="0"/>
          <w:sz w:val="32"/>
          <w:szCs w:val="32"/>
          <w:highlight w:val="none"/>
          <w:lang w:val="en-US" w:eastAsia="zh-CN"/>
        </w:rPr>
        <w:t>20</w:t>
      </w:r>
      <w:r>
        <w:rPr>
          <w:rFonts w:hint="default" w:ascii="Times New Roman" w:hAnsi="Times New Roman" w:eastAsia="仿宋_GB2312" w:cs="Times New Roman"/>
          <w:spacing w:val="0"/>
          <w:sz w:val="32"/>
          <w:szCs w:val="32"/>
          <w:highlight w:val="none"/>
          <w:lang w:val="en-US" w:eastAsia="zh-CN"/>
        </w:rPr>
        <w:t>分，得分率为</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lang w:val="en-US" w:eastAsia="zh-CN"/>
        </w:rPr>
        <w:t>%。</w:t>
      </w:r>
      <w:r>
        <w:rPr>
          <w:rFonts w:hint="default" w:ascii="Times New Roman" w:hAnsi="Times New Roman" w:eastAsia="仿宋_GB2312" w:cs="Times New Roman"/>
          <w:spacing w:val="0"/>
          <w:sz w:val="32"/>
          <w:szCs w:val="32"/>
          <w:lang w:val="en-US" w:eastAsia="zh-CN"/>
        </w:rPr>
        <w:t>具体效益指标及满意度指标完成情况如下：</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1.实施效益</w:t>
      </w:r>
      <w:r>
        <w:rPr>
          <w:rFonts w:hint="eastAsia" w:eastAsia="仿宋_GB2312" w:cs="Times New Roman"/>
          <w:spacing w:val="0"/>
          <w:sz w:val="32"/>
          <w:szCs w:val="32"/>
          <w:highlight w:val="none"/>
          <w:lang w:val="en-US"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lang w:val="en-US" w:eastAsia="zh-CN"/>
        </w:rPr>
        <w:t>①</w:t>
      </w:r>
      <w:r>
        <w:rPr>
          <w:rFonts w:hint="default" w:ascii="Times New Roman" w:hAnsi="Times New Roman" w:eastAsia="仿宋_GB2312" w:cs="Times New Roman"/>
          <w:spacing w:val="0"/>
          <w:sz w:val="32"/>
          <w:szCs w:val="32"/>
          <w:highlight w:val="none"/>
        </w:rPr>
        <w:t>社会效益指标：</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rPr>
      </w:pPr>
      <w:r>
        <w:rPr>
          <w:rFonts w:hint="default" w:ascii="Times New Roman" w:hAnsi="Times New Roman" w:eastAsia="仿宋_GB2312" w:cs="Times New Roman"/>
          <w:spacing w:val="0"/>
          <w:sz w:val="32"/>
          <w:szCs w:val="32"/>
          <w:highlight w:val="none"/>
        </w:rPr>
        <w:t>指标1：</w:t>
      </w:r>
      <w:r>
        <w:rPr>
          <w:rFonts w:hint="eastAsia" w:eastAsia="仿宋_GB2312" w:cs="Times New Roman"/>
          <w:spacing w:val="0"/>
          <w:sz w:val="32"/>
          <w:szCs w:val="32"/>
          <w:highlight w:val="none"/>
          <w:lang w:eastAsia="zh-CN"/>
        </w:rPr>
        <w:t>受益居民人数</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&gt;=2.90万人</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2.9万人</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lang w:val="en-US" w:eastAsia="zh-CN"/>
        </w:rPr>
        <w:t>此项权重分值为10分，得分为10分。</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2.满意度</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eastAsia"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rPr>
        <w:t>指标1：</w:t>
      </w:r>
      <w:r>
        <w:rPr>
          <w:rFonts w:hint="eastAsia" w:eastAsia="仿宋_GB2312" w:cs="Times New Roman"/>
          <w:spacing w:val="0"/>
          <w:sz w:val="32"/>
          <w:szCs w:val="32"/>
          <w:highlight w:val="none"/>
          <w:lang w:eastAsia="zh-CN"/>
        </w:rPr>
        <w:t>单位满意率</w:t>
      </w:r>
      <w:r>
        <w:rPr>
          <w:rFonts w:hint="default" w:ascii="Times New Roman" w:hAnsi="Times New Roman" w:eastAsia="仿宋_GB2312" w:cs="Times New Roman"/>
          <w:spacing w:val="0"/>
          <w:sz w:val="32"/>
          <w:szCs w:val="32"/>
          <w:highlight w:val="none"/>
        </w:rPr>
        <w:t>，指标值：</w:t>
      </w:r>
      <w:r>
        <w:rPr>
          <w:rFonts w:hint="eastAsia" w:eastAsia="仿宋_GB2312" w:cs="Times New Roman"/>
          <w:spacing w:val="0"/>
          <w:sz w:val="32"/>
          <w:szCs w:val="32"/>
          <w:highlight w:val="none"/>
          <w:lang w:val="en-US" w:eastAsia="zh-CN"/>
        </w:rPr>
        <w:t>&gt;=95%</w:t>
      </w:r>
      <w:r>
        <w:rPr>
          <w:rFonts w:hint="default" w:ascii="Times New Roman" w:hAnsi="Times New Roman" w:eastAsia="仿宋_GB2312" w:cs="Times New Roman"/>
          <w:spacing w:val="0"/>
          <w:sz w:val="32"/>
          <w:szCs w:val="32"/>
          <w:highlight w:val="none"/>
        </w:rPr>
        <w:t>，实际完成值：</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，指标完成率</w:t>
      </w:r>
      <w:r>
        <w:rPr>
          <w:rFonts w:hint="eastAsia" w:eastAsia="仿宋_GB2312" w:cs="Times New Roman"/>
          <w:spacing w:val="0"/>
          <w:sz w:val="32"/>
          <w:szCs w:val="32"/>
          <w:highlight w:val="none"/>
          <w:lang w:val="en-US" w:eastAsia="zh-CN"/>
        </w:rPr>
        <w:t>100</w:t>
      </w:r>
      <w:r>
        <w:rPr>
          <w:rFonts w:hint="default" w:ascii="Times New Roman" w:hAnsi="Times New Roman" w:eastAsia="仿宋_GB2312" w:cs="Times New Roman"/>
          <w:spacing w:val="0"/>
          <w:sz w:val="32"/>
          <w:szCs w:val="32"/>
          <w:highlight w:val="none"/>
        </w:rPr>
        <w:t>%</w:t>
      </w:r>
      <w:r>
        <w:rPr>
          <w:rFonts w:hint="eastAsia" w:eastAsia="仿宋_GB2312" w:cs="Times New Roman"/>
          <w:spacing w:val="0"/>
          <w:sz w:val="32"/>
          <w:szCs w:val="32"/>
          <w:highlight w:val="none"/>
          <w:lang w:eastAsia="zh-CN"/>
        </w:rPr>
        <w:t>。</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lang w:val="en-US" w:eastAsia="zh-CN"/>
        </w:rPr>
        <w:t>此项权重分值为10分，得分为10分。</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pacing w:val="0"/>
          <w:sz w:val="32"/>
          <w:szCs w:val="32"/>
          <w:lang w:val="en-US" w:eastAsia="zh-Hans"/>
        </w:rPr>
      </w:pPr>
      <w:r>
        <w:rPr>
          <w:rFonts w:hint="default" w:ascii="Times New Roman" w:hAnsi="Times New Roman" w:eastAsia="楷体_GB2312" w:cs="Times New Roman"/>
          <w:b/>
          <w:bCs/>
          <w:spacing w:val="0"/>
          <w:sz w:val="32"/>
          <w:szCs w:val="32"/>
          <w:lang w:val="en-US" w:eastAsia="zh-CN"/>
        </w:rPr>
        <w:t>（五）</w:t>
      </w:r>
      <w:r>
        <w:rPr>
          <w:rFonts w:hint="default" w:ascii="Times New Roman" w:hAnsi="Times New Roman" w:eastAsia="楷体_GB2312" w:cs="Times New Roman"/>
          <w:b/>
          <w:bCs/>
          <w:spacing w:val="0"/>
          <w:sz w:val="32"/>
          <w:szCs w:val="32"/>
          <w:lang w:val="en-US" w:eastAsia="zh-Hans"/>
        </w:rPr>
        <w:t>预算执行进度与绩效指标总体完成率偏差</w:t>
      </w:r>
    </w:p>
    <w:p>
      <w:pPr>
        <w:pStyle w:val="19"/>
        <w:keepNext/>
        <w:keepLines w:val="0"/>
        <w:pageBreakBefore w:val="0"/>
        <w:widowControl w:val="0"/>
        <w:kinsoku/>
        <w:wordWrap/>
        <w:overflowPunct/>
        <w:topLinePunct w:val="0"/>
        <w:autoSpaceDE/>
        <w:autoSpaceDN/>
        <w:bidi w:val="0"/>
        <w:adjustRightInd/>
        <w:snapToGrid/>
        <w:spacing w:line="560" w:lineRule="exact"/>
        <w:ind w:firstLine="640"/>
        <w:rPr>
          <w:rFonts w:hint="default" w:ascii="Times New Roman" w:hAnsi="Times New Roman" w:eastAsia="方正仿宋_GBK" w:cs="Times New Roman"/>
          <w:spacing w:val="0"/>
          <w:sz w:val="32"/>
          <w:szCs w:val="32"/>
          <w:highlight w:val="none"/>
        </w:rPr>
      </w:pPr>
      <w:r>
        <w:rPr>
          <w:rFonts w:hint="eastAsia" w:eastAsia="方正仿宋_GBK" w:cs="Times New Roman"/>
          <w:spacing w:val="0"/>
          <w:sz w:val="32"/>
          <w:szCs w:val="32"/>
          <w:highlight w:val="none"/>
          <w:lang w:val="en-US" w:eastAsia="zh-CN"/>
        </w:rPr>
        <w:t>部门专项-社区党建工作经费</w:t>
      </w:r>
      <w:r>
        <w:rPr>
          <w:rFonts w:hint="default" w:ascii="Times New Roman" w:hAnsi="Times New Roman" w:eastAsia="方正仿宋_GBK" w:cs="Times New Roman"/>
          <w:spacing w:val="0"/>
          <w:sz w:val="32"/>
          <w:szCs w:val="32"/>
          <w:highlight w:val="none"/>
        </w:rPr>
        <w:t>项目年初预算</w:t>
      </w:r>
      <w:r>
        <w:rPr>
          <w:rFonts w:hint="eastAsia" w:eastAsia="方正仿宋_GBK" w:cs="Times New Roman"/>
          <w:spacing w:val="0"/>
          <w:sz w:val="32"/>
          <w:szCs w:val="32"/>
          <w:highlight w:val="none"/>
          <w:lang w:val="en-US" w:eastAsia="zh-CN"/>
        </w:rPr>
        <w:t>85</w:t>
      </w:r>
      <w:r>
        <w:rPr>
          <w:rFonts w:hint="default" w:ascii="Times New Roman" w:hAnsi="Times New Roman" w:eastAsia="方正仿宋_GBK" w:cs="Times New Roman"/>
          <w:spacing w:val="0"/>
          <w:sz w:val="32"/>
          <w:szCs w:val="32"/>
          <w:highlight w:val="none"/>
        </w:rPr>
        <w:t>万元，全年预算</w:t>
      </w:r>
      <w:r>
        <w:rPr>
          <w:rFonts w:hint="eastAsia" w:eastAsia="方正仿宋_GBK" w:cs="Times New Roman"/>
          <w:spacing w:val="0"/>
          <w:sz w:val="32"/>
          <w:szCs w:val="32"/>
          <w:highlight w:val="none"/>
          <w:lang w:val="en-US" w:eastAsia="zh-CN"/>
        </w:rPr>
        <w:t>85</w:t>
      </w:r>
      <w:r>
        <w:rPr>
          <w:rFonts w:hint="default" w:ascii="Times New Roman" w:hAnsi="Times New Roman" w:eastAsia="方正仿宋_GBK" w:cs="Times New Roman"/>
          <w:spacing w:val="0"/>
          <w:sz w:val="32"/>
          <w:szCs w:val="32"/>
          <w:highlight w:val="none"/>
        </w:rPr>
        <w:t>万元，实际支出</w:t>
      </w:r>
      <w:r>
        <w:rPr>
          <w:rFonts w:hint="eastAsia" w:eastAsia="方正仿宋_GBK" w:cs="Times New Roman"/>
          <w:spacing w:val="0"/>
          <w:sz w:val="32"/>
          <w:szCs w:val="32"/>
          <w:highlight w:val="none"/>
          <w:lang w:val="en-US" w:eastAsia="zh-CN"/>
        </w:rPr>
        <w:t>85</w:t>
      </w:r>
      <w:r>
        <w:rPr>
          <w:rFonts w:hint="default" w:ascii="Times New Roman" w:hAnsi="Times New Roman" w:eastAsia="方正仿宋_GBK" w:cs="Times New Roman"/>
          <w:spacing w:val="0"/>
          <w:sz w:val="32"/>
          <w:szCs w:val="32"/>
          <w:highlight w:val="none"/>
        </w:rPr>
        <w:t>万元，预算执行率为</w:t>
      </w:r>
      <w:r>
        <w:rPr>
          <w:rFonts w:hint="eastAsia" w:eastAsia="方正仿宋_GBK" w:cs="Times New Roman"/>
          <w:spacing w:val="0"/>
          <w:sz w:val="32"/>
          <w:szCs w:val="32"/>
          <w:highlight w:val="none"/>
          <w:lang w:val="en-US" w:eastAsia="zh-CN"/>
        </w:rPr>
        <w:t>100</w:t>
      </w:r>
      <w:r>
        <w:rPr>
          <w:rFonts w:hint="default" w:ascii="Times New Roman" w:hAnsi="Times New Roman" w:eastAsia="方正仿宋_GBK" w:cs="Times New Roman"/>
          <w:spacing w:val="0"/>
          <w:sz w:val="32"/>
          <w:szCs w:val="32"/>
          <w:highlight w:val="none"/>
        </w:rPr>
        <w:t>%，项目绩效指标总体完成率为</w:t>
      </w:r>
      <w:r>
        <w:rPr>
          <w:rFonts w:hint="eastAsia" w:eastAsia="方正仿宋_GBK" w:cs="Times New Roman"/>
          <w:spacing w:val="0"/>
          <w:sz w:val="32"/>
          <w:szCs w:val="32"/>
          <w:highlight w:val="none"/>
          <w:lang w:val="en-US" w:eastAsia="zh-CN"/>
        </w:rPr>
        <w:t>100</w:t>
      </w:r>
      <w:r>
        <w:rPr>
          <w:rFonts w:hint="default" w:ascii="Times New Roman" w:hAnsi="Times New Roman" w:eastAsia="方正仿宋_GBK" w:cs="Times New Roman"/>
          <w:spacing w:val="0"/>
          <w:sz w:val="32"/>
          <w:szCs w:val="32"/>
          <w:highlight w:val="none"/>
        </w:rPr>
        <w:t>%，</w:t>
      </w:r>
      <w:r>
        <w:rPr>
          <w:rFonts w:hint="default" w:ascii="Times New Roman" w:hAnsi="Times New Roman" w:eastAsia="方正仿宋_GBK" w:cs="Times New Roman"/>
          <w:spacing w:val="0"/>
          <w:sz w:val="32"/>
          <w:szCs w:val="32"/>
          <w:highlight w:val="none"/>
          <w:lang w:eastAsia="zh-Hans"/>
        </w:rPr>
        <w:t>总体</w:t>
      </w:r>
      <w:r>
        <w:rPr>
          <w:rFonts w:hint="default" w:ascii="Times New Roman" w:hAnsi="Times New Roman" w:eastAsia="方正仿宋_GBK" w:cs="Times New Roman"/>
          <w:spacing w:val="0"/>
          <w:sz w:val="32"/>
          <w:szCs w:val="32"/>
          <w:highlight w:val="none"/>
        </w:rPr>
        <w:t>偏差率为</w:t>
      </w:r>
      <w:r>
        <w:rPr>
          <w:rFonts w:hint="eastAsia" w:eastAsia="方正仿宋_GBK" w:cs="Times New Roman"/>
          <w:spacing w:val="0"/>
          <w:sz w:val="32"/>
          <w:szCs w:val="32"/>
          <w:highlight w:val="none"/>
          <w:lang w:val="en-US" w:eastAsia="zh-CN"/>
        </w:rPr>
        <w:t>0</w:t>
      </w:r>
      <w:r>
        <w:rPr>
          <w:rFonts w:hint="default" w:ascii="Times New Roman" w:hAnsi="Times New Roman" w:eastAsia="方正仿宋_GBK" w:cs="Times New Roman"/>
          <w:spacing w:val="0"/>
          <w:sz w:val="32"/>
          <w:szCs w:val="32"/>
          <w:highlight w:val="none"/>
        </w:rPr>
        <w:t>%</w:t>
      </w:r>
      <w:r>
        <w:rPr>
          <w:rFonts w:hint="eastAsia" w:eastAsia="方正仿宋_GBK" w:cs="Times New Roman"/>
          <w:spacing w:val="0"/>
          <w:sz w:val="32"/>
          <w:szCs w:val="32"/>
          <w:highlight w:val="none"/>
          <w:lang w:eastAsia="zh-CN"/>
        </w:rPr>
        <w:t>，该项目预算执行进度与绩效指标总体完成率无偏差</w:t>
      </w:r>
      <w:r>
        <w:rPr>
          <w:rFonts w:hint="default" w:ascii="Times New Roman" w:hAnsi="Times New Roman" w:eastAsia="方正仿宋_GBK" w:cs="Times New Roman"/>
          <w:spacing w:val="0"/>
          <w:sz w:val="32"/>
          <w:szCs w:val="32"/>
          <w:highlight w:val="none"/>
        </w:rPr>
        <w:t>。</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Style w:val="18"/>
          <w:rFonts w:hint="default" w:ascii="Times New Roman" w:hAnsi="Times New Roman" w:cs="Times New Roman"/>
          <w:color w:val="auto"/>
          <w:spacing w:val="0"/>
        </w:rPr>
      </w:pPr>
      <w:r>
        <w:rPr>
          <w:rFonts w:hint="eastAsia" w:eastAsia="黑体" w:cs="Times New Roman"/>
          <w:spacing w:val="0"/>
          <w:sz w:val="32"/>
          <w:szCs w:val="32"/>
          <w:lang w:val="en-US" w:eastAsia="zh-CN"/>
        </w:rPr>
        <w:t>五</w:t>
      </w:r>
      <w:r>
        <w:rPr>
          <w:rFonts w:hint="default" w:ascii="Times New Roman" w:hAnsi="Times New Roman" w:eastAsia="仿宋_GB2312" w:cs="Times New Roman"/>
          <w:b/>
          <w:bCs/>
          <w:spacing w:val="0"/>
          <w:sz w:val="32"/>
          <w:szCs w:val="32"/>
          <w:lang w:val="en-US" w:eastAsia="zh-CN"/>
        </w:rPr>
        <w:t>.</w:t>
      </w:r>
      <w:bookmarkStart w:id="0" w:name="OLE_LINK1"/>
      <w:r>
        <w:rPr>
          <w:rFonts w:hint="default" w:ascii="Times New Roman" w:hAnsi="Times New Roman" w:eastAsia="黑体" w:cs="Times New Roman"/>
          <w:spacing w:val="0"/>
          <w:sz w:val="32"/>
          <w:szCs w:val="32"/>
        </w:rPr>
        <w:t>主要经验及做法</w:t>
      </w:r>
      <w:bookmarkEnd w:id="0"/>
      <w:r>
        <w:rPr>
          <w:rFonts w:hint="default" w:ascii="Times New Roman" w:hAnsi="Times New Roman" w:eastAsia="黑体" w:cs="Times New Roman"/>
          <w:spacing w:val="0"/>
          <w:sz w:val="32"/>
          <w:szCs w:val="32"/>
        </w:rPr>
        <w:t>、存在的问题及原因分析</w:t>
      </w:r>
    </w:p>
    <w:p>
      <w:pPr>
        <w:keepNext/>
        <w:keepLines w:val="0"/>
        <w:pageBreakBefore w:val="0"/>
        <w:widowControl w:val="0"/>
        <w:kinsoku/>
        <w:wordWrap/>
        <w:overflowPunct/>
        <w:topLinePunct w:val="0"/>
        <w:autoSpaceDE/>
        <w:autoSpaceDN/>
        <w:bidi w:val="0"/>
        <w:adjustRightInd/>
        <w:snapToGrid/>
        <w:spacing w:line="560" w:lineRule="exact"/>
        <w:ind w:firstLine="643" w:firstLineChars="200"/>
        <w:rPr>
          <w:rFonts w:hint="default" w:ascii="Times New Roman" w:hAnsi="Times New Roman" w:eastAsia="楷体" w:cs="Times New Roman"/>
          <w:b/>
          <w:spacing w:val="0"/>
          <w:sz w:val="32"/>
          <w:szCs w:val="32"/>
        </w:rPr>
      </w:pPr>
      <w:r>
        <w:rPr>
          <w:rFonts w:hint="default" w:ascii="Times New Roman" w:hAnsi="Times New Roman" w:eastAsia="楷体" w:cs="Times New Roman"/>
          <w:b/>
          <w:spacing w:val="0"/>
          <w:sz w:val="32"/>
          <w:szCs w:val="32"/>
        </w:rPr>
        <w:t>（一）主要经验及做法</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rPr>
          <w:rFonts w:hint="eastAsia" w:ascii="方正仿宋_GBK" w:hAnsi="方正仿宋_GBK" w:eastAsia="方正仿宋_GBK" w:cs="方正仿宋_GBK"/>
          <w:b w:val="0"/>
          <w:bCs w:val="0"/>
          <w:spacing w:val="0"/>
          <w:sz w:val="32"/>
          <w:szCs w:val="32"/>
        </w:rPr>
      </w:pPr>
      <w:r>
        <w:rPr>
          <w:rFonts w:hint="eastAsia" w:ascii="方正仿宋_GBK" w:hAnsi="方正仿宋_GBK" w:eastAsia="方正仿宋_GBK" w:cs="方正仿宋_GBK"/>
          <w:b/>
          <w:bCs/>
          <w:spacing w:val="0"/>
          <w:sz w:val="32"/>
          <w:szCs w:val="32"/>
          <w:lang w:eastAsia="zh-CN"/>
        </w:rPr>
        <w:t>一是</w:t>
      </w:r>
      <w:r>
        <w:rPr>
          <w:rFonts w:hint="eastAsia" w:ascii="方正仿宋_GBK" w:hAnsi="方正仿宋_GBK" w:eastAsia="方正仿宋_GBK" w:cs="方正仿宋_GBK"/>
          <w:b/>
          <w:bCs/>
          <w:spacing w:val="0"/>
          <w:sz w:val="32"/>
          <w:szCs w:val="32"/>
        </w:rPr>
        <w:t>科学规划，确保经费使用效益</w:t>
      </w:r>
      <w:r>
        <w:rPr>
          <w:rFonts w:hint="eastAsia" w:ascii="方正仿宋_GBK" w:hAnsi="方正仿宋_GBK" w:eastAsia="方正仿宋_GBK" w:cs="方正仿宋_GBK"/>
          <w:b/>
          <w:bCs/>
          <w:spacing w:val="0"/>
          <w:sz w:val="32"/>
          <w:szCs w:val="32"/>
          <w:lang w:eastAsia="zh-CN"/>
        </w:rPr>
        <w:t>。</w:t>
      </w:r>
      <w:r>
        <w:rPr>
          <w:rFonts w:hint="eastAsia" w:ascii="方正仿宋_GBK" w:hAnsi="方正仿宋_GBK" w:eastAsia="方正仿宋_GBK" w:cs="方正仿宋_GBK"/>
          <w:b w:val="0"/>
          <w:bCs w:val="0"/>
          <w:spacing w:val="0"/>
          <w:sz w:val="32"/>
          <w:szCs w:val="32"/>
        </w:rPr>
        <w:t>精准立项：深入调研社区党员群众需求，聚焦基层治理难点，确保项目与社区发展紧密结合，避免“撒胡椒面”式投入。预算细化：制定详细的经费使用计划，明确支出标准和范围，强化预算约束，杜绝浪费和挪用</w:t>
      </w:r>
      <w:r>
        <w:rPr>
          <w:rFonts w:hint="eastAsia" w:ascii="方正仿宋_GBK" w:hAnsi="方正仿宋_GBK" w:eastAsia="方正仿宋_GBK" w:cs="方正仿宋_GBK"/>
          <w:b w:val="0"/>
          <w:bCs w:val="0"/>
          <w:spacing w:val="0"/>
          <w:sz w:val="32"/>
          <w:szCs w:val="32"/>
          <w:lang w:eastAsia="zh-CN"/>
        </w:rPr>
        <w:t>。</w:t>
      </w:r>
      <w:r>
        <w:rPr>
          <w:rFonts w:hint="eastAsia" w:ascii="方正仿宋_GBK" w:hAnsi="方正仿宋_GBK" w:eastAsia="方正仿宋_GBK" w:cs="方正仿宋_GBK"/>
          <w:b w:val="0"/>
          <w:bCs w:val="0"/>
          <w:spacing w:val="0"/>
          <w:sz w:val="32"/>
          <w:szCs w:val="32"/>
        </w:rPr>
        <w:t>绩效评估：建立科学的绩效评估体系，对项目执行情况和效果进行跟踪评估，及时调整优化，确保资金效益最大化。</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rPr>
          <w:rFonts w:hint="eastAsia" w:ascii="方正仿宋_GBK" w:hAnsi="方正仿宋_GBK" w:eastAsia="方正仿宋_GBK" w:cs="方正仿宋_GBK"/>
          <w:b w:val="0"/>
          <w:bCs w:val="0"/>
          <w:spacing w:val="0"/>
          <w:sz w:val="32"/>
          <w:szCs w:val="32"/>
        </w:rPr>
      </w:pPr>
      <w:r>
        <w:rPr>
          <w:rFonts w:hint="eastAsia" w:ascii="方正仿宋_GBK" w:hAnsi="方正仿宋_GBK" w:eastAsia="方正仿宋_GBK" w:cs="方正仿宋_GBK"/>
          <w:b/>
          <w:bCs/>
          <w:spacing w:val="0"/>
          <w:sz w:val="32"/>
          <w:szCs w:val="32"/>
          <w:lang w:eastAsia="zh-CN"/>
        </w:rPr>
        <w:t>二是规范管理，保障经费使用安全。</w:t>
      </w:r>
      <w:r>
        <w:rPr>
          <w:rFonts w:hint="eastAsia" w:ascii="方正仿宋_GBK" w:hAnsi="方正仿宋_GBK" w:eastAsia="方正仿宋_GBK" w:cs="方正仿宋_GBK"/>
          <w:b w:val="0"/>
          <w:bCs w:val="0"/>
          <w:spacing w:val="0"/>
          <w:sz w:val="32"/>
          <w:szCs w:val="32"/>
        </w:rPr>
        <w:t>制度先行：建立健全经费管理制度，明确审批流程、使用规范和监管责任，做到有章可循、有据可依。公开透明：推行党务公开，定期公示经费使用情况，接受党员群众监督，增强资金使用透明度。强化监督：发挥社区纪检组织和党员群众的监督作用，对经费使用进行全过程监督，严肃查处违规违纪行为。</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rPr>
          <w:rFonts w:hint="eastAsia" w:ascii="方正仿宋_GBK" w:hAnsi="方正仿宋_GBK" w:eastAsia="方正仿宋_GBK" w:cs="方正仿宋_GBK"/>
          <w:b w:val="0"/>
          <w:bCs w:val="0"/>
          <w:spacing w:val="0"/>
          <w:sz w:val="32"/>
          <w:szCs w:val="32"/>
        </w:rPr>
      </w:pPr>
      <w:r>
        <w:rPr>
          <w:rFonts w:hint="eastAsia" w:ascii="方正仿宋_GBK" w:hAnsi="方正仿宋_GBK" w:eastAsia="方正仿宋_GBK" w:cs="方正仿宋_GBK"/>
          <w:b/>
          <w:bCs/>
          <w:spacing w:val="0"/>
          <w:sz w:val="32"/>
          <w:szCs w:val="32"/>
          <w:lang w:eastAsia="zh-CN"/>
        </w:rPr>
        <w:t>三是创新形式，激发党建工作活力。</w:t>
      </w:r>
      <w:r>
        <w:rPr>
          <w:rFonts w:hint="eastAsia" w:ascii="方正仿宋_GBK" w:hAnsi="方正仿宋_GBK" w:eastAsia="方正仿宋_GBK" w:cs="方正仿宋_GBK"/>
          <w:b w:val="0"/>
          <w:bCs w:val="0"/>
          <w:spacing w:val="0"/>
          <w:sz w:val="32"/>
          <w:szCs w:val="32"/>
        </w:rPr>
        <w:t>项目化运作：将党建工作融入具体项目，以项目化方式推进，提升党建工作的针对性和实效性。社会化参与：鼓励社会组织、企事业单位等参与社区党建项目，形成共建共治共享的良好局面。信息化赋能：利用互联网、大数据等技术手段，提高经费管理效率，拓宽党建工作渠道，增强党建工作吸引力。</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rPr>
          <w:rFonts w:hint="eastAsia" w:ascii="方正仿宋_GBK" w:hAnsi="方正仿宋_GBK" w:eastAsia="方正仿宋_GBK" w:cs="方正仿宋_GBK"/>
          <w:b w:val="0"/>
          <w:bCs w:val="0"/>
          <w:spacing w:val="0"/>
          <w:sz w:val="32"/>
          <w:szCs w:val="32"/>
        </w:rPr>
      </w:pPr>
      <w:r>
        <w:rPr>
          <w:rFonts w:hint="eastAsia" w:ascii="方正仿宋_GBK" w:hAnsi="方正仿宋_GBK" w:eastAsia="方正仿宋_GBK" w:cs="方正仿宋_GBK"/>
          <w:b/>
          <w:bCs/>
          <w:spacing w:val="0"/>
          <w:sz w:val="32"/>
          <w:szCs w:val="32"/>
          <w:lang w:eastAsia="zh-CN"/>
        </w:rPr>
        <w:t>四是注重实效，提升党员群众获得感。</w:t>
      </w:r>
      <w:r>
        <w:rPr>
          <w:rFonts w:hint="eastAsia" w:ascii="方正仿宋_GBK" w:hAnsi="方正仿宋_GBK" w:eastAsia="方正仿宋_GBK" w:cs="方正仿宋_GBK"/>
          <w:b w:val="0"/>
          <w:bCs w:val="0"/>
          <w:spacing w:val="0"/>
          <w:sz w:val="32"/>
          <w:szCs w:val="32"/>
        </w:rPr>
        <w:t>服务群众：将经费主要用于服务党员群众，开展形式多样的党建活动，解决群众实际困难，增强党组织的凝聚力和向心力。促进发展：通过党建项目推动社区经济发展、文化繁荣、环境改善，提升居民幸福感和获得感。打造品牌：注重总结经验，培育特色党建品牌，发挥示范引领作用，推动社区党建工作整体水平提升。</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rPr>
          <w:rFonts w:hint="eastAsia" w:ascii="方正仿宋_GBK" w:hAnsi="方正仿宋_GBK" w:eastAsia="方正仿宋_GBK" w:cs="方正仿宋_GBK"/>
          <w:b w:val="0"/>
          <w:bCs w:val="0"/>
          <w:spacing w:val="0"/>
          <w:sz w:val="32"/>
          <w:szCs w:val="32"/>
        </w:rPr>
      </w:pPr>
      <w:r>
        <w:rPr>
          <w:rFonts w:hint="eastAsia" w:ascii="方正仿宋_GBK" w:hAnsi="方正仿宋_GBK" w:eastAsia="方正仿宋_GBK" w:cs="方正仿宋_GBK"/>
          <w:b w:val="0"/>
          <w:bCs w:val="0"/>
          <w:spacing w:val="0"/>
          <w:sz w:val="32"/>
          <w:szCs w:val="32"/>
        </w:rPr>
        <w:t>通过以上做法，我们有效提升了社区党建工作经费的使用效益，为社区党建工作的创新发展提供了有力保障。</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rPr>
          <w:rFonts w:hint="default" w:ascii="Times New Roman" w:hAnsi="Times New Roman" w:eastAsia="楷体_GB2312" w:cs="Times New Roman"/>
          <w:b/>
          <w:bCs/>
          <w:spacing w:val="0"/>
          <w:sz w:val="32"/>
          <w:szCs w:val="32"/>
        </w:rPr>
      </w:pPr>
      <w:r>
        <w:rPr>
          <w:rFonts w:hint="eastAsia" w:eastAsia="楷体_GB2312" w:cs="Times New Roman"/>
          <w:b/>
          <w:bCs/>
          <w:spacing w:val="0"/>
          <w:sz w:val="32"/>
          <w:szCs w:val="32"/>
          <w:lang w:eastAsia="zh-CN"/>
        </w:rPr>
        <w:t>（二）</w:t>
      </w:r>
      <w:bookmarkStart w:id="1" w:name="OLE_LINK2"/>
      <w:r>
        <w:rPr>
          <w:rFonts w:hint="default" w:ascii="Times New Roman" w:hAnsi="Times New Roman" w:eastAsia="楷体_GB2312" w:cs="Times New Roman"/>
          <w:b/>
          <w:bCs/>
          <w:spacing w:val="0"/>
          <w:sz w:val="32"/>
          <w:szCs w:val="32"/>
        </w:rPr>
        <w:t>存在的问题及原因分析</w:t>
      </w:r>
      <w:bookmarkEnd w:id="1"/>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1.</w:t>
      </w:r>
      <w:r>
        <w:rPr>
          <w:rFonts w:hint="default" w:ascii="Times New Roman" w:hAnsi="Times New Roman" w:eastAsia="仿宋_GB2312" w:cs="Times New Roman"/>
          <w:spacing w:val="0"/>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lang w:val="en-US" w:eastAsia="zh-CN"/>
        </w:rPr>
        <w:t>人员专业能力欠缺</w:t>
      </w:r>
      <w:r>
        <w:rPr>
          <w:rFonts w:hint="eastAsia" w:eastAsia="仿宋_GB2312" w:cs="Times New Roman"/>
          <w:spacing w:val="0"/>
          <w:sz w:val="32"/>
          <w:szCs w:val="32"/>
          <w:highlight w:val="none"/>
          <w:lang w:val="en-US" w:eastAsia="zh-CN"/>
        </w:rPr>
        <w:t>。</w:t>
      </w:r>
      <w:r>
        <w:rPr>
          <w:rFonts w:hint="default" w:ascii="Times New Roman" w:hAnsi="Times New Roman" w:eastAsia="仿宋_GB2312" w:cs="Times New Roman"/>
          <w:spacing w:val="-6"/>
          <w:sz w:val="32"/>
          <w:szCs w:val="32"/>
          <w:highlight w:val="none"/>
          <w:lang w:val="en-US" w:eastAsia="zh-CN"/>
        </w:rPr>
        <w:t>社区党务工作者对经费管理和项目运作的专业知识不足，导致项目策划和执行水平不高，影响整体成效。</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3.</w:t>
      </w:r>
      <w:r>
        <w:rPr>
          <w:rFonts w:hint="default" w:ascii="Times New Roman" w:hAnsi="Times New Roman" w:eastAsia="仿宋_GB2312" w:cs="Times New Roman"/>
          <w:spacing w:val="0"/>
          <w:sz w:val="32"/>
          <w:szCs w:val="32"/>
          <w:highlight w:val="none"/>
          <w:lang w:val="en-US" w:eastAsia="zh-CN"/>
        </w:rPr>
        <w:t>项目创新不足</w:t>
      </w:r>
      <w:r>
        <w:rPr>
          <w:rFonts w:hint="eastAsia" w:eastAsia="仿宋_GB2312" w:cs="Times New Roman"/>
          <w:spacing w:val="0"/>
          <w:sz w:val="32"/>
          <w:szCs w:val="32"/>
          <w:highlight w:val="none"/>
          <w:lang w:val="en-US" w:eastAsia="zh-CN"/>
        </w:rPr>
        <w:t>。</w:t>
      </w:r>
      <w:r>
        <w:rPr>
          <w:rFonts w:hint="default" w:ascii="Times New Roman" w:hAnsi="Times New Roman" w:eastAsia="仿宋_GB2312" w:cs="Times New Roman"/>
          <w:spacing w:val="0"/>
          <w:sz w:val="32"/>
          <w:szCs w:val="32"/>
          <w:highlight w:val="none"/>
          <w:lang w:val="en-US" w:eastAsia="zh-CN"/>
        </w:rPr>
        <w:t>部分项目形式单一，内容缺乏吸引力，未能充分调动党员群众的参与热情。同时，对社会资源的整合利用不足，未能形成共建共享的良好格局。</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4.</w:t>
      </w:r>
      <w:r>
        <w:rPr>
          <w:rFonts w:hint="default" w:ascii="Times New Roman" w:hAnsi="Times New Roman" w:eastAsia="仿宋_GB2312" w:cs="Times New Roman"/>
          <w:spacing w:val="0"/>
          <w:sz w:val="32"/>
          <w:szCs w:val="32"/>
          <w:highlight w:val="none"/>
          <w:lang w:val="en-US" w:eastAsia="zh-CN"/>
        </w:rPr>
        <w:t>因轮岗、调动</w:t>
      </w:r>
      <w:r>
        <w:rPr>
          <w:rFonts w:hint="eastAsia" w:ascii="Times New Roman" w:hAnsi="Times New Roman" w:eastAsia="仿宋_GB2312" w:cs="Times New Roman"/>
          <w:spacing w:val="0"/>
          <w:sz w:val="32"/>
          <w:szCs w:val="32"/>
          <w:highlight w:val="none"/>
          <w:lang w:val="en-US" w:eastAsia="zh-CN"/>
        </w:rPr>
        <w:t>等</w:t>
      </w:r>
      <w:r>
        <w:rPr>
          <w:rFonts w:hint="default" w:ascii="Times New Roman" w:hAnsi="Times New Roman" w:eastAsia="仿宋_GB2312" w:cs="Times New Roman"/>
          <w:spacing w:val="0"/>
          <w:sz w:val="32"/>
          <w:szCs w:val="32"/>
          <w:highlight w:val="none"/>
          <w:lang w:val="en-US" w:eastAsia="zh-CN"/>
        </w:rPr>
        <w:t>因素使我单位绩效工作人员流动频繁，</w:t>
      </w:r>
      <w:r>
        <w:rPr>
          <w:rFonts w:hint="eastAsia" w:ascii="Times New Roman" w:hAnsi="Times New Roman" w:eastAsia="仿宋_GB2312" w:cs="Times New Roman"/>
          <w:spacing w:val="0"/>
          <w:sz w:val="32"/>
          <w:szCs w:val="32"/>
          <w:highlight w:val="none"/>
          <w:lang w:val="en-US" w:eastAsia="zh-CN"/>
        </w:rPr>
        <w:t>造成</w:t>
      </w:r>
      <w:r>
        <w:rPr>
          <w:rFonts w:hint="default" w:ascii="Times New Roman" w:hAnsi="Times New Roman" w:eastAsia="仿宋_GB2312" w:cs="Times New Roman"/>
          <w:spacing w:val="0"/>
          <w:sz w:val="32"/>
          <w:szCs w:val="32"/>
          <w:highlight w:val="none"/>
          <w:lang w:val="en-US" w:eastAsia="zh-CN"/>
        </w:rPr>
        <w:t>工作衔接不到位的情况。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以上问题主要源于制度落实不到位、监督机制不健全以及人员培训不足，需通过加强规范化管理、创新工作方式和提升人员素质加以解决。</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spacing w:val="0"/>
          <w:sz w:val="32"/>
          <w:szCs w:val="32"/>
        </w:rPr>
      </w:pPr>
      <w:r>
        <w:rPr>
          <w:rFonts w:hint="eastAsia" w:ascii="Times New Roman" w:hAnsi="Times New Roman" w:eastAsia="黑体" w:cs="Times New Roman"/>
          <w:spacing w:val="0"/>
          <w:sz w:val="32"/>
          <w:szCs w:val="32"/>
          <w:lang w:val="en-US" w:eastAsia="zh-CN"/>
        </w:rPr>
        <w:t>六</w:t>
      </w:r>
      <w:r>
        <w:rPr>
          <w:rFonts w:hint="default" w:ascii="Times New Roman" w:hAnsi="Times New Roman" w:eastAsia="黑体" w:cs="Times New Roman"/>
          <w:spacing w:val="0"/>
          <w:sz w:val="32"/>
          <w:szCs w:val="32"/>
          <w:lang w:val="en-US" w:eastAsia="zh-CN"/>
        </w:rPr>
        <w:t>.</w:t>
      </w:r>
      <w:r>
        <w:rPr>
          <w:rFonts w:hint="default" w:ascii="Times New Roman" w:hAnsi="Times New Roman" w:eastAsia="黑体" w:cs="Times New Roman"/>
          <w:spacing w:val="0"/>
          <w:sz w:val="32"/>
          <w:szCs w:val="32"/>
        </w:rPr>
        <w:t>有关建议</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1.多进行有关绩效管理工作方面的培训。积极组织第三方开展绩效管理工作培训，进一步夯实业务基础，提高我单位绩效人员水平。</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w:t>
      </w:r>
      <w:r>
        <w:rPr>
          <w:rFonts w:hint="eastAsia" w:eastAsia="仿宋_GB2312" w:cs="Times New Roman"/>
          <w:spacing w:val="0"/>
          <w:sz w:val="32"/>
          <w:szCs w:val="32"/>
          <w:highlight w:val="none"/>
          <w:lang w:val="en-US" w:eastAsia="zh-CN"/>
        </w:rPr>
        <w:t>开展形式多样的项目，制定具有吸引力的内容，充分调动党员群众的参与热情，并整合利用好社会资源，形成共建共享的良好格局。</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3.</w:t>
      </w:r>
      <w:r>
        <w:rPr>
          <w:rFonts w:hint="default" w:ascii="Times New Roman" w:hAnsi="Times New Roman" w:eastAsia="仿宋_GB2312" w:cs="Times New Roman"/>
          <w:spacing w:val="0"/>
          <w:sz w:val="32"/>
          <w:szCs w:val="32"/>
          <w:highlight w:val="none"/>
          <w:lang w:val="en-US" w:eastAsia="zh-CN"/>
        </w:rPr>
        <w:t>专门设定对绩效工作人员定职、定岗、定责等相关制度措施，进一步提升我单位绩效管理工作业务水平，扎实做好绩效管理工作。</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4.进一步加强对绩效管理工作的组织领导，提高对预算绩效管理工作重要性的认识，总结经验查找问题，抓紧研究制定更全面更完善的绩效评价管理办法。</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结合</w:t>
      </w:r>
      <w:r>
        <w:rPr>
          <w:rFonts w:hint="eastAsia" w:eastAsia="仿宋_GB2312" w:cs="Times New Roman"/>
          <w:spacing w:val="0"/>
          <w:sz w:val="32"/>
          <w:szCs w:val="32"/>
          <w:highlight w:val="none"/>
          <w:lang w:val="en-US" w:eastAsia="zh-CN"/>
        </w:rPr>
        <w:t>年终</w:t>
      </w:r>
      <w:r>
        <w:rPr>
          <w:rFonts w:hint="default" w:ascii="Times New Roman" w:hAnsi="Times New Roman" w:eastAsia="仿宋_GB2312" w:cs="Times New Roman"/>
          <w:spacing w:val="0"/>
          <w:sz w:val="32"/>
          <w:szCs w:val="32"/>
          <w:highlight w:val="none"/>
          <w:lang w:val="en-US" w:eastAsia="zh-CN"/>
        </w:rPr>
        <w:t>考核建立绩效工作考核制度，加大全局对全面实施预算绩效管理和绩效管理工作的学习力度，让“花钱必问效，无效必问责”的理念深入工作每个环节。</w:t>
      </w:r>
    </w:p>
    <w:p>
      <w:pPr>
        <w:keepNext/>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eastAsia="黑体" w:cs="Times New Roman"/>
          <w:spacing w:val="0"/>
          <w:sz w:val="32"/>
          <w:szCs w:val="32"/>
        </w:rPr>
      </w:pPr>
      <w:r>
        <w:rPr>
          <w:rFonts w:hint="eastAsia" w:eastAsia="黑体" w:cs="Times New Roman"/>
          <w:spacing w:val="0"/>
          <w:sz w:val="32"/>
          <w:szCs w:val="32"/>
          <w:lang w:val="en-US" w:eastAsia="zh-CN"/>
        </w:rPr>
        <w:t>七</w:t>
      </w:r>
      <w:r>
        <w:rPr>
          <w:rFonts w:hint="default" w:ascii="Times New Roman" w:hAnsi="Times New Roman" w:eastAsia="仿宋_GB2312" w:cs="Times New Roman"/>
          <w:b/>
          <w:bCs/>
          <w:spacing w:val="0"/>
          <w:sz w:val="32"/>
          <w:szCs w:val="32"/>
          <w:lang w:val="en-US" w:eastAsia="zh-CN"/>
        </w:rPr>
        <w:t>.</w:t>
      </w:r>
      <w:r>
        <w:rPr>
          <w:rFonts w:hint="default" w:ascii="Times New Roman" w:hAnsi="Times New Roman" w:eastAsia="黑体" w:cs="Times New Roman"/>
          <w:spacing w:val="0"/>
          <w:sz w:val="32"/>
          <w:szCs w:val="32"/>
        </w:rPr>
        <w:t>其他需要说</w:t>
      </w:r>
      <w:bookmarkStart w:id="2" w:name="page8"/>
      <w:bookmarkEnd w:id="2"/>
      <w:r>
        <w:rPr>
          <w:rFonts w:hint="default" w:ascii="Times New Roman" w:hAnsi="Times New Roman" w:eastAsia="黑体" w:cs="Times New Roman"/>
          <w:spacing w:val="0"/>
          <w:sz w:val="32"/>
          <w:szCs w:val="32"/>
        </w:rPr>
        <w:t>明的问题</w:t>
      </w:r>
    </w:p>
    <w:p>
      <w:pPr>
        <w:pStyle w:val="13"/>
        <w:keepNext/>
        <w:keepLines w:val="0"/>
        <w:pageBreakBefore w:val="0"/>
        <w:widowControl w:val="0"/>
        <w:kinsoku/>
        <w:wordWrap/>
        <w:overflowPunct/>
        <w:topLinePunct w:val="0"/>
        <w:autoSpaceDE/>
        <w:autoSpaceDN/>
        <w:bidi w:val="0"/>
        <w:adjustRightInd/>
        <w:snapToGrid/>
        <w:spacing w:after="0" w:line="560" w:lineRule="exact"/>
        <w:ind w:left="0" w:leftChars="0" w:firstLine="640"/>
        <w:rPr>
          <w:rFonts w:hint="default" w:ascii="Times New Roman" w:hAnsi="Times New Roman" w:eastAsia="仿宋_GB2312" w:cs="Times New Roman"/>
          <w:spacing w:val="0"/>
          <w:sz w:val="32"/>
          <w:szCs w:val="32"/>
          <w:lang w:eastAsia="zh-Hans"/>
        </w:rPr>
      </w:pPr>
      <w:r>
        <w:rPr>
          <w:rFonts w:hint="default" w:ascii="Times New Roman" w:hAnsi="Times New Roman" w:eastAsia="仿宋_GB2312" w:cs="Times New Roman"/>
          <w:spacing w:val="0"/>
          <w:sz w:val="32"/>
          <w:szCs w:val="32"/>
          <w:lang w:eastAsia="zh-Hans"/>
        </w:rPr>
        <w:t>本项目无其他需说明的问题。</w:t>
      </w:r>
    </w:p>
    <w:p>
      <w:pPr>
        <w:pStyle w:val="13"/>
        <w:keepNext/>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rPr>
          <w:rFonts w:hint="eastAsia" w:ascii="Times New Roman" w:hAnsi="Times New Roman" w:eastAsia="仿宋_GB2312" w:cs="Times New Roman"/>
          <w:b/>
          <w:bCs/>
          <w:color w:val="FF0000"/>
          <w:spacing w:val="0"/>
          <w:sz w:val="32"/>
          <w:szCs w:val="32"/>
          <w:lang w:eastAsia="zh-CN"/>
        </w:rPr>
      </w:pPr>
    </w:p>
    <w:p>
      <w:pPr>
        <w:keepNext/>
        <w:keepLines w:val="0"/>
        <w:pageBreakBefore w:val="0"/>
        <w:widowControl w:val="0"/>
        <w:kinsoku/>
        <w:wordWrap/>
        <w:overflowPunct/>
        <w:topLinePunct w:val="0"/>
        <w:autoSpaceDE/>
        <w:autoSpaceDN/>
        <w:bidi w:val="0"/>
        <w:adjustRightInd/>
        <w:snapToGrid/>
        <w:spacing w:line="600" w:lineRule="exact"/>
        <w:rPr>
          <w:rFonts w:hint="eastAsia" w:ascii="Times New Roman" w:hAnsi="Times New Roman" w:eastAsia="黑体" w:cs="Times New Roman"/>
          <w:spacing w:val="0"/>
          <w:sz w:val="32"/>
          <w:szCs w:val="32"/>
          <w:lang w:val="en-US" w:eastAsia="zh-CN"/>
        </w:rPr>
        <w:sectPr>
          <w:footerReference r:id="rId3" w:type="default"/>
          <w:pgSz w:w="11906" w:h="16838"/>
          <w:pgMar w:top="1440" w:right="1389" w:bottom="1440" w:left="1576" w:header="851" w:footer="992" w:gutter="0"/>
          <w:pgNumType w:start="1"/>
          <w:cols w:space="425" w:num="1"/>
          <w:docGrid w:type="lines" w:linePitch="312" w:charSpace="0"/>
        </w:sectPr>
      </w:pPr>
    </w:p>
    <w:p>
      <w:pPr>
        <w:keepNext/>
        <w:keepLines w:val="0"/>
        <w:pageBreakBefore w:val="0"/>
        <w:widowControl w:val="0"/>
        <w:kinsoku/>
        <w:wordWrap/>
        <w:overflowPunct/>
        <w:topLinePunct w:val="0"/>
        <w:autoSpaceDE/>
        <w:autoSpaceDN/>
        <w:bidi w:val="0"/>
        <w:adjustRightInd/>
        <w:snapToGrid/>
        <w:spacing w:line="600" w:lineRule="exact"/>
        <w:rPr>
          <w:rFonts w:hint="eastAsia" w:eastAsia="黑体" w:cs="Times New Roman"/>
          <w:spacing w:val="0"/>
          <w:sz w:val="32"/>
          <w:szCs w:val="32"/>
          <w:lang w:val="en-US" w:eastAsia="zh-CN"/>
        </w:rPr>
      </w:pPr>
      <w:r>
        <w:rPr>
          <w:rFonts w:hint="eastAsia" w:ascii="Times New Roman" w:hAnsi="Times New Roman" w:eastAsia="黑体" w:cs="Times New Roman"/>
          <w:spacing w:val="0"/>
          <w:sz w:val="32"/>
          <w:szCs w:val="32"/>
          <w:lang w:val="en-US" w:eastAsia="zh-CN"/>
        </w:rPr>
        <w:t>附件</w:t>
      </w:r>
      <w:r>
        <w:rPr>
          <w:rFonts w:hint="eastAsia" w:eastAsia="黑体" w:cs="Times New Roman"/>
          <w:spacing w:val="0"/>
          <w:sz w:val="32"/>
          <w:szCs w:val="32"/>
          <w:lang w:val="en-US" w:eastAsia="zh-CN"/>
        </w:rPr>
        <w:t>1</w:t>
      </w:r>
    </w:p>
    <w:p>
      <w:pPr>
        <w:pStyle w:val="19"/>
        <w:keepNext/>
        <w:keepLines w:val="0"/>
        <w:pageBreakBefore w:val="0"/>
        <w:widowControl w:val="0"/>
        <w:kinsoku/>
        <w:wordWrap/>
        <w:overflowPunct/>
        <w:topLinePunct w:val="0"/>
        <w:autoSpaceDE/>
        <w:autoSpaceDN/>
        <w:bidi w:val="0"/>
        <w:adjustRightInd/>
        <w:snapToGrid/>
        <w:ind w:firstLine="562"/>
        <w:jc w:val="center"/>
        <w:rPr>
          <w:rFonts w:hint="eastAsia" w:ascii="仿宋_GB2312" w:hAnsi="仿宋_GB2312" w:eastAsia="仿宋_GB2312" w:cs="仿宋_GB2312"/>
          <w:spacing w:val="0"/>
          <w:sz w:val="28"/>
          <w:szCs w:val="40"/>
        </w:rPr>
      </w:pPr>
      <w:bookmarkStart w:id="3" w:name="_Toc26499_WPSOffice_Level2"/>
      <w:bookmarkStart w:id="4" w:name="_Toc30064_WPSOffice_Level1"/>
      <w:r>
        <w:rPr>
          <w:rFonts w:hint="eastAsia" w:ascii="仿宋_GB2312" w:hAnsi="仿宋_GB2312" w:eastAsia="仿宋_GB2312" w:cs="仿宋_GB2312"/>
          <w:b/>
          <w:bCs/>
          <w:spacing w:val="0"/>
          <w:sz w:val="28"/>
          <w:szCs w:val="40"/>
          <w:highlight w:val="none"/>
          <w:lang w:val="en-US" w:eastAsia="zh-CN"/>
        </w:rPr>
        <w:t>部门专项-社区党建工作经费项目</w:t>
      </w:r>
      <w:r>
        <w:rPr>
          <w:rFonts w:hint="eastAsia" w:ascii="仿宋_GB2312" w:hAnsi="仿宋_GB2312" w:eastAsia="仿宋_GB2312" w:cs="仿宋_GB2312"/>
          <w:b/>
          <w:bCs/>
          <w:spacing w:val="0"/>
          <w:sz w:val="28"/>
          <w:szCs w:val="40"/>
        </w:rPr>
        <w:t>绩效评价指标体系及综合评分表</w:t>
      </w:r>
      <w:bookmarkEnd w:id="3"/>
      <w:bookmarkEnd w:id="4"/>
    </w:p>
    <w:tbl>
      <w:tblPr>
        <w:tblStyle w:val="14"/>
        <w:tblW w:w="4609"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96"/>
        <w:gridCol w:w="996"/>
        <w:gridCol w:w="1069"/>
        <w:gridCol w:w="2771"/>
        <w:gridCol w:w="5045"/>
        <w:gridCol w:w="1108"/>
        <w:gridCol w:w="108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81"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一级指标</w:t>
            </w:r>
          </w:p>
        </w:tc>
        <w:tc>
          <w:tcPr>
            <w:tcW w:w="381"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二级指标</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三级指标</w:t>
            </w:r>
          </w:p>
        </w:tc>
        <w:tc>
          <w:tcPr>
            <w:tcW w:w="106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指标解释</w:t>
            </w:r>
          </w:p>
        </w:tc>
        <w:tc>
          <w:tcPr>
            <w:tcW w:w="193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指标说明</w:t>
            </w:r>
          </w:p>
        </w:tc>
        <w:tc>
          <w:tcPr>
            <w:tcW w:w="424"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权重</w:t>
            </w:r>
          </w:p>
        </w:tc>
        <w:tc>
          <w:tcPr>
            <w:tcW w:w="413"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4" w:hRule="atLeast"/>
          <w:jc w:val="center"/>
        </w:trPr>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决策　</w:t>
            </w:r>
          </w:p>
        </w:tc>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项目立项　</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立项依据</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充分性</w:t>
            </w:r>
          </w:p>
        </w:tc>
        <w:tc>
          <w:tcPr>
            <w:tcW w:w="106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项目立项是否符合法律法规、相关政策、发展规划以及部门职责，用以反映和考核项目立项依据情况。</w:t>
            </w:r>
          </w:p>
        </w:tc>
        <w:tc>
          <w:tcPr>
            <w:tcW w:w="193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lef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①项目立项是否符合国家法律法规、国民经济发展规划和相关政策；</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②项目立项是否符合行业发展规划和政策要求；</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③项目立项是否与部门职责范围相符，属于部门履职所需；</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⑤项目是否与相关部门同类项目或部门内部相关项目重复。</w:t>
            </w:r>
          </w:p>
        </w:tc>
        <w:tc>
          <w:tcPr>
            <w:tcW w:w="424"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3</w:t>
            </w:r>
          </w:p>
        </w:tc>
        <w:tc>
          <w:tcPr>
            <w:tcW w:w="413"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立项程序</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规范性</w:t>
            </w:r>
          </w:p>
        </w:tc>
        <w:tc>
          <w:tcPr>
            <w:tcW w:w="106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项目申请、设立过程是否符合相关要求，用以反映和考核项目立项的规范情况。</w:t>
            </w:r>
          </w:p>
        </w:tc>
        <w:tc>
          <w:tcPr>
            <w:tcW w:w="193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lef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①项目是否按照规定的程序申请设立；</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②审批文件、材料是否符合相关要求；</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③事前是否已经过必要的</w:t>
            </w:r>
            <w:bookmarkStart w:id="5" w:name="_GoBack"/>
            <w:bookmarkEnd w:id="5"/>
            <w:r>
              <w:rPr>
                <w:rFonts w:hint="default" w:ascii="Times New Roman" w:hAnsi="Times New Roman" w:eastAsia="仿宋_GB2312" w:cs="Times New Roman"/>
                <w:color w:val="000000"/>
                <w:spacing w:val="0"/>
                <w:kern w:val="0"/>
                <w:sz w:val="18"/>
                <w:szCs w:val="18"/>
              </w:rPr>
              <w:t>集体决策。</w:t>
            </w:r>
          </w:p>
        </w:tc>
        <w:tc>
          <w:tcPr>
            <w:tcW w:w="424"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3</w:t>
            </w:r>
          </w:p>
        </w:tc>
        <w:tc>
          <w:tcPr>
            <w:tcW w:w="413"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绩效目标　</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绩效目标</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合理性</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项目所设定的绩效目标是否依据充分，是否符合客观实际，用以反映和考核项目绩效目标与项目实施的相符情况。</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lef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（如未设定预算绩效目标，也可考核其他工作任务目标）</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①项目是否有绩效目标；</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②项目绩效目标与实际工作内容是否具有相关性；</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③项目预期产出效益和效果是否符合正常的业绩水平；</w:t>
            </w:r>
          </w:p>
          <w:p>
            <w:pPr>
              <w:keepNext/>
              <w:keepLines w:val="0"/>
              <w:pageBreakBefore w:val="0"/>
              <w:widowControl w:val="0"/>
              <w:kinsoku/>
              <w:wordWrap/>
              <w:overflowPunct/>
              <w:topLinePunct w:val="0"/>
              <w:autoSpaceDE/>
              <w:autoSpaceDN/>
              <w:bidi w:val="0"/>
              <w:adjustRightInd/>
              <w:snapToGrid/>
              <w:spacing w:line="0" w:lineRule="atLeast"/>
              <w:jc w:val="lef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④是否与预算确定的项目投资额或资金量相匹配。</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eastAsia" w:ascii="Times New Roman" w:hAnsi="Times New Roman" w:eastAsia="仿宋_GB2312" w:cs="Times New Roman"/>
                <w:b/>
                <w:bCs/>
                <w:color w:val="000000"/>
                <w:spacing w:val="0"/>
                <w:kern w:val="0"/>
                <w:sz w:val="18"/>
                <w:szCs w:val="18"/>
                <w:lang w:eastAsia="zh-CN"/>
              </w:rPr>
            </w:pPr>
            <w:r>
              <w:rPr>
                <w:rFonts w:hint="eastAsia" w:eastAsia="仿宋_GB2312" w:cs="Times New Roman"/>
                <w:b/>
                <w:bCs/>
                <w:color w:val="000000"/>
                <w:spacing w:val="0"/>
                <w:kern w:val="0"/>
                <w:sz w:val="18"/>
                <w:szCs w:val="18"/>
                <w:lang w:val="en-US" w:eastAsia="zh-CN"/>
              </w:rPr>
              <w:t>4</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34"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绩效指标</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明确性</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依据绩效目标设定的绩效指标是否清晰、细化、可衡量等，用以反映和考核项目绩效目标的明细化情况。</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①是否将项目绩效目标细化分解为具体的绩效指标；</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②是否通过清晰、可衡量的指标值予以体现；</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③是否与项目目标任务数或计划数相对应。</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eastAsia" w:ascii="Times New Roman" w:hAnsi="Times New Roman" w:eastAsia="仿宋_GB2312" w:cs="Times New Roman"/>
                <w:b/>
                <w:bCs/>
                <w:color w:val="000000"/>
                <w:spacing w:val="0"/>
                <w:kern w:val="0"/>
                <w:sz w:val="18"/>
                <w:szCs w:val="18"/>
                <w:lang w:eastAsia="zh-CN"/>
              </w:rPr>
            </w:pPr>
            <w:r>
              <w:rPr>
                <w:rFonts w:hint="eastAsia" w:eastAsia="仿宋_GB2312" w:cs="Times New Roman"/>
                <w:b/>
                <w:bCs/>
                <w:color w:val="000000"/>
                <w:spacing w:val="0"/>
                <w:kern w:val="0"/>
                <w:sz w:val="18"/>
                <w:szCs w:val="18"/>
                <w:lang w:val="en-US" w:eastAsia="zh-CN"/>
              </w:rPr>
              <w:t>4</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22"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资金投入</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　</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预算编制</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科学性</w:t>
            </w:r>
          </w:p>
        </w:tc>
        <w:tc>
          <w:tcPr>
            <w:tcW w:w="106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项目预算编制是否经过科学论证、有明确标准，资金额度与年度目标是否相适应，用以反映和考核项目预算编制的科学性、合理性情况。</w:t>
            </w:r>
          </w:p>
        </w:tc>
        <w:tc>
          <w:tcPr>
            <w:tcW w:w="193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①预算编制是否经过科学论证；</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②预算内容与项目内容是否匹配；</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③预算额度测算依据是否充分，是否按照标准编制；</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④预算确定的项目投资额或资金量是否与工作任务相匹配。</w:t>
            </w:r>
          </w:p>
        </w:tc>
        <w:tc>
          <w:tcPr>
            <w:tcW w:w="424"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eastAsia" w:ascii="Times New Roman" w:hAnsi="Times New Roman" w:eastAsia="仿宋_GB2312" w:cs="Times New Roman"/>
                <w:b/>
                <w:bCs/>
                <w:color w:val="000000"/>
                <w:spacing w:val="0"/>
                <w:kern w:val="0"/>
                <w:sz w:val="18"/>
                <w:szCs w:val="18"/>
                <w:lang w:eastAsia="zh-CN"/>
              </w:rPr>
            </w:pPr>
            <w:r>
              <w:rPr>
                <w:rFonts w:hint="eastAsia" w:eastAsia="仿宋_GB2312" w:cs="Times New Roman"/>
                <w:b/>
                <w:bCs/>
                <w:color w:val="000000"/>
                <w:spacing w:val="0"/>
                <w:kern w:val="0"/>
                <w:sz w:val="18"/>
                <w:szCs w:val="18"/>
                <w:lang w:val="en-US" w:eastAsia="zh-CN"/>
              </w:rPr>
              <w:t>3</w:t>
            </w:r>
          </w:p>
        </w:tc>
        <w:tc>
          <w:tcPr>
            <w:tcW w:w="413"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16"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资金分配</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合理性</w:t>
            </w:r>
          </w:p>
        </w:tc>
        <w:tc>
          <w:tcPr>
            <w:tcW w:w="106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项目预算资金分配是否有测算依据，与补助单位或地方实际是否相适应，用以反映和考核项目预算资金分配的科学性、合理性情况。</w:t>
            </w:r>
          </w:p>
        </w:tc>
        <w:tc>
          <w:tcPr>
            <w:tcW w:w="193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①预算资金分配依据是否充分；</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②资金分配额度是否合理，与项目单位或地方实际是否相适应。</w:t>
            </w:r>
          </w:p>
        </w:tc>
        <w:tc>
          <w:tcPr>
            <w:tcW w:w="424"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eastAsia" w:ascii="Times New Roman" w:hAnsi="Times New Roman" w:eastAsia="仿宋_GB2312" w:cs="Times New Roman"/>
                <w:b/>
                <w:bCs/>
                <w:color w:val="000000"/>
                <w:spacing w:val="0"/>
                <w:kern w:val="0"/>
                <w:sz w:val="18"/>
                <w:szCs w:val="18"/>
                <w:lang w:eastAsia="zh-CN"/>
              </w:rPr>
            </w:pPr>
            <w:r>
              <w:rPr>
                <w:rFonts w:hint="eastAsia" w:eastAsia="仿宋_GB2312" w:cs="Times New Roman"/>
                <w:b/>
                <w:bCs/>
                <w:color w:val="000000"/>
                <w:spacing w:val="0"/>
                <w:kern w:val="0"/>
                <w:sz w:val="18"/>
                <w:szCs w:val="18"/>
                <w:lang w:val="en-US" w:eastAsia="zh-CN"/>
              </w:rPr>
              <w:t>3</w:t>
            </w:r>
          </w:p>
        </w:tc>
        <w:tc>
          <w:tcPr>
            <w:tcW w:w="413"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75" w:hRule="atLeast"/>
          <w:jc w:val="center"/>
        </w:trPr>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过程</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　　</w:t>
            </w:r>
          </w:p>
        </w:tc>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资金管理</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资金到位率</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实际到位资金与预算资金的比率，用以反映和考核资金落实情况对项目实施的总体保障程度。</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资金到位率=（实际到位资金/预算资金）×100%。</w:t>
            </w:r>
          </w:p>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实际到位资金：一定时期（本年度或项目期）内落实到具体项目的资金。</w:t>
            </w:r>
          </w:p>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预算资金：一定时期（本年度或项目期）内预算安排到具体项目的资金。</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4</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30"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预算执行率</w:t>
            </w:r>
          </w:p>
        </w:tc>
        <w:tc>
          <w:tcPr>
            <w:tcW w:w="106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项目预算资金是否按照计划执行，用以反映或考核项目预算执行情况。</w:t>
            </w:r>
          </w:p>
        </w:tc>
        <w:tc>
          <w:tcPr>
            <w:tcW w:w="193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预算执行率=（实际支出资金/实际到位资金）×100%。</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实际支出资金：一定时期（本年度或项目期）内项目实际拨付的资金。</w:t>
            </w:r>
          </w:p>
        </w:tc>
        <w:tc>
          <w:tcPr>
            <w:tcW w:w="424"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4</w:t>
            </w:r>
          </w:p>
        </w:tc>
        <w:tc>
          <w:tcPr>
            <w:tcW w:w="413"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1"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资金管理</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资金使用</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合规性</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项目资金使用是否符合相关的财务管理制度规定，用以反映和考核项目资金的规范运行情况。</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②资金的拨付是否有完整的审批程序和手续；</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③是否符合项目预算批复或合同规定的用途；</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④是否存在截留、挤占、挪用、虚列支出等情况。</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4</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62"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组织实施</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　</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管理制度</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健全性</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项目实施单位的财务和业务管理制度是否健全，用以反映和考核财务和业务管理制度对项目顺利实施的保障情况。</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①是否已制定或具有相应的财务和业务管理制度；</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②财务和业务管理制度是否合法、合规、完整。</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4</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制度执行</w:t>
            </w:r>
          </w:p>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有效性</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项目实施是否符合相关管理规定，用以反映和考核相关管理制度的有效执行情况。</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评价要点：</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①是否遵守相关法律法规和相关管理规定；</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②项目调整及支出调整手续是否完备；</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③项目合同书、验收报告、技术鉴定等资料是否齐全并及时归档；</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④项目实施的人员条件、场地设备、信息支撑等是否落实到位。</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4</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77" w:hRule="atLeast"/>
          <w:jc w:val="center"/>
        </w:trPr>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产出</w:t>
            </w:r>
          </w:p>
        </w:tc>
        <w:tc>
          <w:tcPr>
            <w:tcW w:w="381"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产出数量</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实际完成率</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项目实施的实际产出数与计划产出数的比率，用以反映和考核项目产出数量目标的实现程度。</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实际完成率=（实际产出数/计划产出数）×100%。</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计划产出数：项目绩效目标确定的在一定时期（本年度或项目期）内计划产出的产品或提供的服务数量。</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15</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48"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产出质量</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质量达标率</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项目完成的质量达标产出数与实际产出数的比率，用以反映和考核项目产出质量目标的实现程度。</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质量达标率=（质量达标产出数/实际产出数）×100%。</w:t>
            </w:r>
          </w:p>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eastAsia" w:ascii="Times New Roman" w:hAnsi="Times New Roman" w:eastAsia="仿宋_GB2312" w:cs="Times New Roman"/>
                <w:b/>
                <w:bCs/>
                <w:color w:val="000000"/>
                <w:spacing w:val="0"/>
                <w:kern w:val="0"/>
                <w:sz w:val="18"/>
                <w:szCs w:val="18"/>
                <w:lang w:eastAsia="zh-CN"/>
              </w:rPr>
            </w:pPr>
            <w:r>
              <w:rPr>
                <w:rFonts w:hint="eastAsia" w:eastAsia="仿宋_GB2312" w:cs="Times New Roman"/>
                <w:b/>
                <w:bCs/>
                <w:color w:val="000000"/>
                <w:spacing w:val="0"/>
                <w:kern w:val="0"/>
                <w:sz w:val="18"/>
                <w:szCs w:val="18"/>
                <w:lang w:val="en-US" w:eastAsia="zh-CN"/>
              </w:rPr>
              <w:t>5</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11"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产出时效</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完成及时性</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项目实际完成时间与计划完成时间的比较，用以反映和考核项目产出时效目标的实现程度。</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实际完成时间：项目实施单位完成该项目实际所耗用的时间。</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计划完成时间：按照项目实施计划或相关规定完成该项目所需的时间。</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eastAsia" w:ascii="Times New Roman" w:hAnsi="Times New Roman" w:eastAsia="仿宋_GB2312" w:cs="Times New Roman"/>
                <w:b/>
                <w:bCs/>
                <w:color w:val="000000"/>
                <w:spacing w:val="0"/>
                <w:kern w:val="0"/>
                <w:sz w:val="18"/>
                <w:szCs w:val="18"/>
                <w:lang w:eastAsia="zh-CN"/>
              </w:rPr>
            </w:pPr>
            <w:r>
              <w:rPr>
                <w:rFonts w:hint="eastAsia" w:eastAsia="仿宋_GB2312" w:cs="Times New Roman"/>
                <w:b/>
                <w:bCs/>
                <w:color w:val="000000"/>
                <w:spacing w:val="0"/>
                <w:kern w:val="0"/>
                <w:sz w:val="18"/>
                <w:szCs w:val="18"/>
                <w:lang w:val="en-US" w:eastAsia="zh-CN"/>
              </w:rPr>
              <w:t>5</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产出成本</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成本节约率</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完成项目计划工作目标的实际节约成本与计划成本的比率，用以反映和考核项目的成本节约程度。</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成本节约率=[（计划成本-实际成本）/计划成本]×100%。</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spacing w:val="0"/>
                <w:kern w:val="0"/>
                <w:sz w:val="18"/>
                <w:szCs w:val="18"/>
              </w:rPr>
              <w:br w:type="textWrapping"/>
            </w:r>
            <w:r>
              <w:rPr>
                <w:rFonts w:hint="default" w:ascii="Times New Roman" w:hAnsi="Times New Roman" w:eastAsia="仿宋_GB2312" w:cs="Times New Roman"/>
                <w:color w:val="000000"/>
                <w:spacing w:val="0"/>
                <w:kern w:val="0"/>
                <w:sz w:val="18"/>
                <w:szCs w:val="18"/>
              </w:rPr>
              <w:t>计划成本：项目实施单位为完成工作目标计划安排的支出，一般以项目预算为参考。</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15</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效益　</w:t>
            </w:r>
          </w:p>
        </w:tc>
        <w:tc>
          <w:tcPr>
            <w:tcW w:w="381" w:type="pct"/>
            <w:vMerge w:val="restar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项目效益　</w:t>
            </w: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实施效益</w:t>
            </w:r>
          </w:p>
        </w:tc>
        <w:tc>
          <w:tcPr>
            <w:tcW w:w="106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lef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项目实施所产生的效益。</w:t>
            </w:r>
          </w:p>
        </w:tc>
        <w:tc>
          <w:tcPr>
            <w:tcW w:w="1930"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项目实施所产生的社会效益、经济效益、生态效益、可持续影响等。可根据项目实际情况有选择地设置和细化。</w:t>
            </w:r>
          </w:p>
        </w:tc>
        <w:tc>
          <w:tcPr>
            <w:tcW w:w="424"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10</w:t>
            </w:r>
          </w:p>
        </w:tc>
        <w:tc>
          <w:tcPr>
            <w:tcW w:w="413"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381" w:type="pct"/>
            <w:vMerge w:val="continue"/>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p>
        </w:tc>
        <w:tc>
          <w:tcPr>
            <w:tcW w:w="409" w:type="pct"/>
            <w:shd w:val="clear" w:color="auto"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满意度</w:t>
            </w:r>
          </w:p>
        </w:tc>
        <w:tc>
          <w:tcPr>
            <w:tcW w:w="106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社会公众或服务对象对项目实施效果的满意程度。</w:t>
            </w:r>
          </w:p>
        </w:tc>
        <w:tc>
          <w:tcPr>
            <w:tcW w:w="1930"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rPr>
                <w:rFonts w:hint="default" w:ascii="Times New Roman" w:hAnsi="Times New Roman" w:eastAsia="仿宋_GB2312" w:cs="Times New Roman"/>
                <w:color w:val="000000"/>
                <w:spacing w:val="0"/>
                <w:kern w:val="0"/>
                <w:sz w:val="18"/>
                <w:szCs w:val="18"/>
              </w:rPr>
            </w:pPr>
            <w:r>
              <w:rPr>
                <w:rFonts w:hint="default" w:ascii="Times New Roman" w:hAnsi="Times New Roman" w:eastAsia="仿宋_GB2312" w:cs="Times New Roman"/>
                <w:color w:val="000000"/>
                <w:spacing w:val="0"/>
                <w:kern w:val="0"/>
                <w:sz w:val="18"/>
                <w:szCs w:val="18"/>
              </w:rPr>
              <w:t>社会公众或服务对象是指因该项目实施而受到影响的部门（单位）、群体或个人。一般采取社会调查的方式。</w:t>
            </w:r>
          </w:p>
        </w:tc>
        <w:tc>
          <w:tcPr>
            <w:tcW w:w="424"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rPr>
            </w:pPr>
            <w:r>
              <w:rPr>
                <w:rFonts w:hint="default" w:ascii="Times New Roman" w:hAnsi="Times New Roman" w:eastAsia="仿宋_GB2312" w:cs="Times New Roman"/>
                <w:b/>
                <w:bCs/>
                <w:color w:val="000000"/>
                <w:spacing w:val="0"/>
                <w:kern w:val="0"/>
                <w:sz w:val="18"/>
                <w:szCs w:val="18"/>
              </w:rPr>
              <w:t>10</w:t>
            </w:r>
          </w:p>
        </w:tc>
        <w:tc>
          <w:tcPr>
            <w:tcW w:w="413" w:type="pct"/>
            <w:shd w:val="clear" w:color="000000" w:fill="FFFFFF"/>
            <w:vAlign w:val="center"/>
          </w:tcPr>
          <w:p>
            <w:pPr>
              <w:keepNext/>
              <w:keepLines w:val="0"/>
              <w:pageBreakBefore w:val="0"/>
              <w:widowControl w:val="0"/>
              <w:kinsoku/>
              <w:wordWrap/>
              <w:overflowPunct/>
              <w:topLinePunct w:val="0"/>
              <w:autoSpaceDE/>
              <w:autoSpaceDN/>
              <w:bidi w:val="0"/>
              <w:adjustRightInd/>
              <w:snapToGrid/>
              <w:spacing w:line="0" w:lineRule="atLeast"/>
              <w:jc w:val="center"/>
              <w:rPr>
                <w:rFonts w:hint="default" w:ascii="Times New Roman" w:hAnsi="Times New Roman" w:eastAsia="仿宋_GB2312" w:cs="Times New Roman"/>
                <w:b/>
                <w:bCs/>
                <w:color w:val="000000"/>
                <w:spacing w:val="0"/>
                <w:kern w:val="0"/>
                <w:sz w:val="18"/>
                <w:szCs w:val="18"/>
                <w:lang w:val="en-US" w:eastAsia="zh-CN"/>
              </w:rPr>
            </w:pPr>
            <w:r>
              <w:rPr>
                <w:rFonts w:hint="eastAsia" w:eastAsia="仿宋_GB2312" w:cs="Times New Roman"/>
                <w:b/>
                <w:bCs/>
                <w:color w:val="000000"/>
                <w:spacing w:val="0"/>
                <w:kern w:val="0"/>
                <w:sz w:val="18"/>
                <w:szCs w:val="18"/>
                <w:lang w:val="en-US" w:eastAsia="zh-CN"/>
              </w:rPr>
              <w:t>10</w:t>
            </w:r>
          </w:p>
        </w:tc>
      </w:tr>
    </w:tbl>
    <w:p>
      <w:pPr>
        <w:keepNext/>
        <w:keepLines w:val="0"/>
        <w:pageBreakBefore w:val="0"/>
        <w:widowControl w:val="0"/>
        <w:kinsoku/>
        <w:wordWrap/>
        <w:overflowPunct/>
        <w:topLinePunct w:val="0"/>
        <w:autoSpaceDE/>
        <w:autoSpaceDN/>
        <w:bidi w:val="0"/>
        <w:adjustRightInd/>
        <w:snapToGrid/>
        <w:rPr>
          <w:rFonts w:hint="default" w:ascii="Times New Roman" w:hAnsi="Times New Roman" w:cs="Times New Roman"/>
          <w:spacing w:val="0"/>
        </w:rPr>
        <w:sectPr>
          <w:pgSz w:w="16838" w:h="11906" w:orient="landscape"/>
          <w:pgMar w:top="1380" w:right="1440" w:bottom="1219" w:left="1440" w:header="851" w:footer="992" w:gutter="0"/>
          <w:cols w:space="425" w:num="1"/>
          <w:docGrid w:type="lines" w:linePitch="312" w:charSpace="0"/>
        </w:sectPr>
      </w:pPr>
    </w:p>
    <w:p>
      <w:pPr>
        <w:keepNext/>
        <w:keepLines w:val="0"/>
        <w:pageBreakBefore w:val="0"/>
        <w:widowControl w:val="0"/>
        <w:kinsoku/>
        <w:wordWrap/>
        <w:overflowPunct/>
        <w:topLinePunct w:val="0"/>
        <w:autoSpaceDE/>
        <w:autoSpaceDN/>
        <w:bidi w:val="0"/>
        <w:adjustRightInd/>
        <w:snapToGrid/>
        <w:spacing w:line="600" w:lineRule="exact"/>
        <w:rPr>
          <w:rFonts w:hint="eastAsia" w:ascii="仿宋_GB2312" w:hAnsi="仿宋_GB2312" w:eastAsia="仿宋_GB2312" w:cs="仿宋_GB2312"/>
          <w:b/>
          <w:bCs/>
          <w:i w:val="0"/>
          <w:iCs w:val="0"/>
          <w:color w:val="000000"/>
          <w:spacing w:val="0"/>
          <w:kern w:val="0"/>
          <w:sz w:val="28"/>
          <w:szCs w:val="28"/>
          <w:u w:val="none"/>
          <w:lang w:val="en-US" w:eastAsia="zh-CN" w:bidi="ar"/>
        </w:rPr>
      </w:pPr>
      <w:r>
        <w:rPr>
          <w:rFonts w:hint="eastAsia" w:ascii="Times New Roman" w:hAnsi="Times New Roman" w:eastAsia="黑体" w:cs="Times New Roman"/>
          <w:spacing w:val="0"/>
          <w:sz w:val="32"/>
          <w:szCs w:val="32"/>
          <w:lang w:val="en-US" w:eastAsia="zh-CN"/>
        </w:rPr>
        <w:t>附件</w:t>
      </w:r>
      <w:r>
        <w:rPr>
          <w:rFonts w:hint="eastAsia" w:eastAsia="黑体" w:cs="Times New Roman"/>
          <w:spacing w:val="0"/>
          <w:sz w:val="32"/>
          <w:szCs w:val="32"/>
          <w:lang w:val="en-US" w:eastAsia="zh-CN"/>
        </w:rPr>
        <w:t xml:space="preserve">2                              </w:t>
      </w:r>
      <w:r>
        <w:rPr>
          <w:rFonts w:hint="eastAsia" w:ascii="仿宋_GB2312" w:hAnsi="仿宋_GB2312" w:eastAsia="仿宋_GB2312" w:cs="仿宋_GB2312"/>
          <w:b/>
          <w:bCs/>
          <w:i w:val="0"/>
          <w:iCs w:val="0"/>
          <w:color w:val="000000"/>
          <w:spacing w:val="0"/>
          <w:kern w:val="0"/>
          <w:sz w:val="28"/>
          <w:szCs w:val="28"/>
          <w:u w:val="none"/>
          <w:lang w:val="en-US" w:eastAsia="zh-CN" w:bidi="ar"/>
        </w:rPr>
        <w:t>项目支出绩效自评表</w:t>
      </w:r>
    </w:p>
    <w:p>
      <w:pPr>
        <w:keepNext/>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spacing w:val="0"/>
          <w:kern w:val="0"/>
          <w:sz w:val="22"/>
          <w:szCs w:val="22"/>
          <w:u w:val="none"/>
          <w:lang w:val="en-US" w:eastAsia="zh-CN" w:bidi="ar"/>
        </w:rPr>
      </w:pPr>
      <w:r>
        <w:rPr>
          <w:rFonts w:hint="default" w:ascii="Times New Roman" w:hAnsi="Times New Roman" w:eastAsia="仿宋_GB2312" w:cs="Times New Roman"/>
          <w:b/>
          <w:bCs/>
          <w:i w:val="0"/>
          <w:iCs w:val="0"/>
          <w:color w:val="000000"/>
          <w:spacing w:val="0"/>
          <w:kern w:val="0"/>
          <w:sz w:val="22"/>
          <w:szCs w:val="22"/>
          <w:u w:val="none"/>
          <w:lang w:val="en-US" w:eastAsia="zh-CN" w:bidi="ar"/>
        </w:rPr>
        <w:t>（ 2024年度）</w:t>
      </w:r>
    </w:p>
    <w:tbl>
      <w:tblPr>
        <w:tblStyle w:val="14"/>
        <w:tblW w:w="5206" w:type="pct"/>
        <w:tblInd w:w="-4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0"/>
        <w:gridCol w:w="900"/>
        <w:gridCol w:w="990"/>
        <w:gridCol w:w="1890"/>
        <w:gridCol w:w="1141"/>
        <w:gridCol w:w="899"/>
        <w:gridCol w:w="735"/>
        <w:gridCol w:w="750"/>
        <w:gridCol w:w="1095"/>
        <w:gridCol w:w="900"/>
        <w:gridCol w:w="967"/>
        <w:gridCol w:w="1177"/>
        <w:gridCol w:w="1177"/>
        <w:gridCol w:w="13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305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部门专项-社区党建工作经费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56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库尔勒市丝路街道办事处</w:t>
            </w:r>
          </w:p>
        </w:tc>
        <w:tc>
          <w:tcPr>
            <w:tcW w:w="1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pPr>
            <w:r>
              <w:rPr>
                <w:rFonts w:hint="eastAsia" w:ascii="宋体" w:hAnsi="宋体" w:eastAsia="宋体" w:cs="宋体"/>
                <w:i w:val="0"/>
                <w:iCs w:val="0"/>
                <w:color w:val="000000"/>
                <w:kern w:val="0"/>
                <w:sz w:val="18"/>
                <w:szCs w:val="18"/>
                <w:u w:val="none"/>
                <w:lang w:val="en-US" w:eastAsia="zh-CN" w:bidi="ar"/>
              </w:rPr>
              <w:t>实施单位</w:t>
            </w:r>
          </w:p>
        </w:tc>
        <w:tc>
          <w:tcPr>
            <w:tcW w:w="5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库尔勒市丝路街道办事处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171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2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资金来源</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6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pPr>
            <w:r>
              <w:rPr>
                <w:rFonts w:hint="eastAsia" w:ascii="宋体" w:hAnsi="宋体" w:eastAsia="宋体" w:cs="宋体"/>
                <w:i w:val="0"/>
                <w:iCs w:val="0"/>
                <w:color w:val="000000"/>
                <w:kern w:val="0"/>
                <w:sz w:val="18"/>
                <w:szCs w:val="18"/>
                <w:u w:val="none"/>
                <w:lang w:val="en-US" w:eastAsia="zh-CN" w:bidi="ar"/>
              </w:rPr>
              <w:t>全年执行数</w:t>
            </w:r>
          </w:p>
        </w:tc>
        <w:tc>
          <w:tcPr>
            <w:tcW w:w="1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分值权重</w:t>
            </w:r>
          </w:p>
        </w:tc>
        <w:tc>
          <w:tcPr>
            <w:tcW w:w="2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71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8"/>
                <w:szCs w:val="18"/>
                <w:u w:val="none"/>
              </w:rPr>
            </w:pPr>
          </w:p>
        </w:tc>
        <w:tc>
          <w:tcPr>
            <w:tcW w:w="2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85.00</w:t>
            </w:r>
          </w:p>
        </w:tc>
        <w:tc>
          <w:tcPr>
            <w:tcW w:w="16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85.00</w:t>
            </w:r>
          </w:p>
        </w:tc>
        <w:tc>
          <w:tcPr>
            <w:tcW w:w="1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pPr>
            <w:r>
              <w:rPr>
                <w:rFonts w:hint="eastAsia" w:ascii="宋体" w:hAnsi="宋体" w:eastAsia="宋体" w:cs="宋体"/>
                <w:i w:val="0"/>
                <w:iCs w:val="0"/>
                <w:color w:val="000000"/>
                <w:kern w:val="0"/>
                <w:sz w:val="18"/>
                <w:szCs w:val="18"/>
                <w:u w:val="none"/>
                <w:lang w:val="en-US" w:eastAsia="zh-CN" w:bidi="ar"/>
              </w:rPr>
              <w:t>85.00</w:t>
            </w:r>
          </w:p>
        </w:tc>
        <w:tc>
          <w:tcPr>
            <w:tcW w:w="1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71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8"/>
                <w:szCs w:val="18"/>
                <w:u w:val="none"/>
              </w:rPr>
            </w:pPr>
          </w:p>
        </w:tc>
        <w:tc>
          <w:tcPr>
            <w:tcW w:w="2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16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1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pPr>
            <w:r>
              <w:rPr>
                <w:rFonts w:hint="eastAsia" w:ascii="宋体" w:hAnsi="宋体" w:eastAsia="宋体" w:cs="宋体"/>
                <w:i w:val="0"/>
                <w:iCs w:val="0"/>
                <w:color w:val="000000"/>
                <w:kern w:val="0"/>
                <w:sz w:val="18"/>
                <w:szCs w:val="18"/>
                <w:u w:val="none"/>
                <w:lang w:val="en-US" w:eastAsia="zh-CN" w:bidi="ar"/>
              </w:rPr>
              <w:t>85</w:t>
            </w:r>
          </w:p>
        </w:tc>
        <w:tc>
          <w:tcPr>
            <w:tcW w:w="1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71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8"/>
                <w:szCs w:val="18"/>
                <w:u w:val="none"/>
              </w:rPr>
            </w:pPr>
          </w:p>
        </w:tc>
        <w:tc>
          <w:tcPr>
            <w:tcW w:w="2880" w:type="dxa"/>
            <w:gridSpan w:val="2"/>
            <w:tcBorders>
              <w:top w:val="single" w:color="000000" w:sz="4" w:space="0"/>
              <w:left w:val="single" w:color="000000" w:sz="4" w:space="0"/>
              <w:bottom w:val="nil"/>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141" w:type="dxa"/>
            <w:tcBorders>
              <w:top w:val="single" w:color="000000" w:sz="4" w:space="0"/>
              <w:left w:val="single" w:color="000000" w:sz="4" w:space="0"/>
              <w:bottom w:val="nil"/>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634" w:type="dxa"/>
            <w:gridSpan w:val="2"/>
            <w:tcBorders>
              <w:top w:val="single" w:color="000000" w:sz="4" w:space="0"/>
              <w:left w:val="single" w:color="000000" w:sz="4" w:space="0"/>
              <w:bottom w:val="nil"/>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845" w:type="dxa"/>
            <w:gridSpan w:val="2"/>
            <w:tcBorders>
              <w:top w:val="single" w:color="000000" w:sz="4" w:space="0"/>
              <w:left w:val="single" w:color="000000" w:sz="4" w:space="0"/>
              <w:bottom w:val="nil"/>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pPr>
          </w:p>
        </w:tc>
        <w:tc>
          <w:tcPr>
            <w:tcW w:w="1867" w:type="dxa"/>
            <w:gridSpan w:val="2"/>
            <w:tcBorders>
              <w:top w:val="single" w:color="000000" w:sz="4" w:space="0"/>
              <w:left w:val="single" w:color="000000" w:sz="4" w:space="0"/>
              <w:bottom w:val="nil"/>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3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84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总体目标</w:t>
            </w:r>
          </w:p>
        </w:tc>
        <w:tc>
          <w:tcPr>
            <w:tcW w:w="5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3"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8"/>
                <w:szCs w:val="18"/>
                <w:u w:val="none"/>
              </w:rPr>
            </w:pPr>
          </w:p>
        </w:tc>
        <w:tc>
          <w:tcPr>
            <w:tcW w:w="84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目标1：实现社区党委数全覆盖，保障3个大社区、1个中社区、1个小社区正常运转。</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目标2：抓好街道各社区基层党组织建设，确保基层党组织各项事业稳定有序开展，保障各项事业规范运行，开展各项活动，受益居民2.9万余人。</w:t>
            </w:r>
          </w:p>
        </w:tc>
        <w:tc>
          <w:tcPr>
            <w:tcW w:w="5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8"/>
                <w:szCs w:val="18"/>
                <w:u w:val="none"/>
              </w:rPr>
            </w:pPr>
            <w:r>
              <w:rPr>
                <w:rFonts w:hint="eastAsia" w:ascii="宋体" w:hAnsi="宋体" w:eastAsia="宋体" w:cs="宋体"/>
                <w:i w:val="0"/>
                <w:iCs w:val="0"/>
                <w:color w:val="000000"/>
                <w:kern w:val="0"/>
                <w:sz w:val="18"/>
                <w:szCs w:val="18"/>
                <w:u w:val="none"/>
                <w:lang w:val="en-US" w:eastAsia="zh-CN" w:bidi="ar"/>
              </w:rPr>
              <w:t>通过实施该项目，已实现五个社区党委全覆盖，保障3个大社区、1个中社区、1个小社区正常运转。抓好街道各社区基层党组织建设，确保基层党组织各项事业稳定有序开展，保障各项事业规范运行，完成各项活动，受益居民2.9万余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8"/>
                <w:szCs w:val="18"/>
                <w:u w:val="none"/>
                <w:lang w:val="en-US" w:eastAsia="zh-CN"/>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一级指标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二级指标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三级指标</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指标值</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指标值设置依据</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sz w:val="20"/>
                <w:szCs w:val="22"/>
              </w:rPr>
            </w:pPr>
            <w:r>
              <w:rPr>
                <w:rFonts w:hint="eastAsia" w:ascii="宋体" w:hAnsi="宋体" w:eastAsia="宋体" w:cs="宋体"/>
                <w:i w:val="0"/>
                <w:iCs w:val="0"/>
                <w:color w:val="000000"/>
                <w:kern w:val="0"/>
                <w:sz w:val="16"/>
                <w:szCs w:val="16"/>
                <w:u w:val="none"/>
                <w:lang w:val="en-US" w:eastAsia="zh-CN" w:bidi="ar"/>
              </w:rPr>
              <w:t>上年完成值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指标分值权重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指标赋分规则</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佐证资料</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指标实际完成值</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完成率</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指标得分</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810" w:type="dxa"/>
            <w:vMerge w:val="restart"/>
            <w:tcBorders>
              <w:top w:val="single" w:color="000000" w:sz="4" w:space="0"/>
              <w:left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年度绩效指标完成情况</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990" w:type="dxa"/>
            <w:tcBorders>
              <w:top w:val="single" w:color="000000" w:sz="4" w:space="0"/>
              <w:left w:val="single" w:color="000000" w:sz="4" w:space="0"/>
              <w:bottom w:val="nil"/>
              <w:right w:val="single" w:color="000000" w:sz="4" w:space="0"/>
            </w:tcBorders>
            <w:shd w:val="clear" w:color="auto" w:fill="auto"/>
            <w:noWrap/>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890" w:type="dxa"/>
            <w:tcBorders>
              <w:top w:val="single" w:color="000000" w:sz="4" w:space="0"/>
              <w:left w:val="nil"/>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保障大型社区数量</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&gt;=3个</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sz w:val="20"/>
                <w:szCs w:val="22"/>
              </w:rPr>
            </w:pPr>
            <w:r>
              <w:rPr>
                <w:rFonts w:hint="eastAsia" w:ascii="宋体" w:hAnsi="宋体" w:eastAsia="宋体" w:cs="宋体"/>
                <w:i w:val="0"/>
                <w:iCs w:val="0"/>
                <w:color w:val="000000"/>
                <w:kern w:val="0"/>
                <w:sz w:val="16"/>
                <w:szCs w:val="16"/>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按照正常比例赋分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=3个</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10" w:type="dxa"/>
            <w:vMerge w:val="continue"/>
            <w:tcBorders>
              <w:left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保障中型社区数量</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&gt;=1个</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sz w:val="20"/>
                <w:szCs w:val="22"/>
              </w:rPr>
            </w:pPr>
            <w:r>
              <w:rPr>
                <w:rFonts w:hint="eastAsia" w:ascii="宋体" w:hAnsi="宋体" w:eastAsia="宋体" w:cs="宋体"/>
                <w:i w:val="0"/>
                <w:iCs w:val="0"/>
                <w:color w:val="000000"/>
                <w:kern w:val="0"/>
                <w:sz w:val="16"/>
                <w:szCs w:val="16"/>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按照正常比例赋分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=1个</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10" w:type="dxa"/>
            <w:vMerge w:val="continue"/>
            <w:tcBorders>
              <w:left w:val="single" w:color="000000" w:sz="4" w:space="0"/>
              <w:right w:val="single" w:color="000000" w:sz="4" w:space="0"/>
            </w:tcBorders>
            <w:shd w:val="clear" w:color="auto" w:fill="auto"/>
            <w:noWrap/>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c>
          <w:tcPr>
            <w:tcW w:w="990" w:type="dxa"/>
            <w:tcBorders>
              <w:top w:val="single" w:color="000000" w:sz="4" w:space="0"/>
              <w:left w:val="single" w:color="000000" w:sz="4" w:space="0"/>
              <w:bottom w:val="nil"/>
              <w:right w:val="single" w:color="000000" w:sz="4" w:space="0"/>
            </w:tcBorders>
            <w:shd w:val="clear" w:color="auto" w:fill="auto"/>
            <w:noWrap/>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保障小型社区数量</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&gt;=1个</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sz w:val="20"/>
                <w:szCs w:val="22"/>
              </w:rPr>
            </w:pPr>
            <w:r>
              <w:rPr>
                <w:rFonts w:hint="eastAsia" w:ascii="宋体" w:hAnsi="宋体" w:eastAsia="宋体" w:cs="宋体"/>
                <w:i w:val="0"/>
                <w:iCs w:val="0"/>
                <w:color w:val="000000"/>
                <w:kern w:val="0"/>
                <w:sz w:val="16"/>
                <w:szCs w:val="16"/>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按照正常比例赋分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=1个</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b/>
                <w:bCs/>
                <w:i w:val="0"/>
                <w:iCs w:val="0"/>
                <w:color w:val="000000"/>
                <w:spacing w:val="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10" w:type="dxa"/>
            <w:vMerge w:val="continue"/>
            <w:tcBorders>
              <w:left w:val="single" w:color="000000" w:sz="4" w:space="0"/>
              <w:right w:val="single" w:color="000000" w:sz="4" w:space="0"/>
            </w:tcBorders>
            <w:shd w:val="clear" w:color="auto" w:fill="auto"/>
            <w:noWrap/>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default" w:ascii="仿宋_GB2312" w:hAnsi="仿宋_GB2312" w:eastAsia="仿宋_GB2312" w:cs="仿宋_GB2312"/>
                <w:i w:val="0"/>
                <w:iCs w:val="0"/>
                <w:color w:val="000000"/>
                <w:spacing w:val="0"/>
                <w:sz w:val="16"/>
                <w:szCs w:val="16"/>
                <w:u w:val="none"/>
                <w:lang w:val="en-US" w:eastAsia="zh-CN"/>
              </w:rPr>
            </w:pPr>
          </w:p>
        </w:tc>
        <w:tc>
          <w:tcPr>
            <w:tcW w:w="990" w:type="dxa"/>
            <w:tcBorders>
              <w:top w:val="single" w:color="000000" w:sz="4" w:space="0"/>
              <w:left w:val="single" w:color="000000" w:sz="4" w:space="0"/>
              <w:bottom w:val="nil"/>
              <w:right w:val="single" w:color="000000" w:sz="4" w:space="0"/>
            </w:tcBorders>
            <w:shd w:val="clear" w:color="auto" w:fill="auto"/>
            <w:noWrap/>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kern w:val="0"/>
                <w:sz w:val="16"/>
                <w:szCs w:val="16"/>
                <w:highlight w:val="red"/>
                <w:u w:val="none"/>
                <w:lang w:val="en-US" w:eastAsia="zh-CN" w:bidi="ar"/>
              </w:rPr>
            </w:pPr>
            <w:r>
              <w:rPr>
                <w:rFonts w:hint="eastAsia" w:ascii="宋体" w:hAnsi="宋体" w:eastAsia="宋体" w:cs="宋体"/>
                <w:i w:val="0"/>
                <w:iCs w:val="0"/>
                <w:color w:val="000000"/>
                <w:kern w:val="0"/>
                <w:sz w:val="16"/>
                <w:szCs w:val="16"/>
                <w:u w:val="none"/>
                <w:lang w:val="en-US" w:eastAsia="zh-CN" w:bidi="ar"/>
              </w:rPr>
              <w:t>质量指标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资金使用合规率</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=10</w:t>
            </w:r>
            <w:r>
              <w:rPr>
                <w:rFonts w:hint="eastAsia" w:ascii="宋体" w:hAnsi="宋体" w:cs="宋体"/>
                <w:i w:val="0"/>
                <w:iCs w:val="0"/>
                <w:color w:val="000000"/>
                <w:kern w:val="0"/>
                <w:sz w:val="16"/>
                <w:szCs w:val="16"/>
                <w:u w:val="none"/>
                <w:lang w:val="en-US" w:eastAsia="zh-CN" w:bidi="ar"/>
              </w:rPr>
              <w:t xml:space="preserve"> </w:t>
            </w:r>
            <w:r>
              <w:rPr>
                <w:rFonts w:hint="eastAsia" w:ascii="宋体" w:hAnsi="宋体" w:eastAsia="宋体" w:cs="宋体"/>
                <w:i w:val="0"/>
                <w:iCs w:val="0"/>
                <w:color w:val="000000"/>
                <w:kern w:val="0"/>
                <w:sz w:val="16"/>
                <w:szCs w:val="16"/>
                <w:u w:val="none"/>
                <w:lang w:val="en-US" w:eastAsia="zh-CN" w:bidi="ar"/>
              </w:rPr>
              <w:t>0%</w:t>
            </w:r>
          </w:p>
        </w:tc>
        <w:tc>
          <w:tcPr>
            <w:tcW w:w="899" w:type="dxa"/>
            <w:tcBorders>
              <w:top w:val="single" w:color="000000" w:sz="4" w:space="0"/>
              <w:left w:val="single" w:color="000000" w:sz="4" w:space="0"/>
              <w:bottom w:val="nil"/>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735" w:type="dxa"/>
            <w:tcBorders>
              <w:top w:val="single" w:color="000000" w:sz="4" w:space="0"/>
              <w:left w:val="single" w:color="000000" w:sz="4" w:space="0"/>
              <w:bottom w:val="nil"/>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sz w:val="20"/>
                <w:szCs w:val="22"/>
              </w:rPr>
            </w:pPr>
            <w:r>
              <w:rPr>
                <w:rFonts w:hint="eastAsia" w:ascii="宋体" w:hAnsi="宋体" w:eastAsia="宋体" w:cs="宋体"/>
                <w:i w:val="0"/>
                <w:iCs w:val="0"/>
                <w:color w:val="000000"/>
                <w:kern w:val="0"/>
                <w:sz w:val="16"/>
                <w:szCs w:val="16"/>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按照正常比例赋分</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10" w:type="dxa"/>
            <w:vMerge w:val="continue"/>
            <w:tcBorders>
              <w:left w:val="single" w:color="000000" w:sz="4" w:space="0"/>
              <w:right w:val="single" w:color="000000" w:sz="4" w:space="0"/>
            </w:tcBorders>
            <w:shd w:val="clear" w:color="auto" w:fill="auto"/>
            <w:noWrap/>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资金支付及时率</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sz w:val="20"/>
                <w:szCs w:val="22"/>
              </w:rPr>
            </w:pPr>
            <w:r>
              <w:rPr>
                <w:rFonts w:hint="eastAsia" w:ascii="宋体" w:hAnsi="宋体" w:eastAsia="宋体" w:cs="宋体"/>
                <w:i w:val="0"/>
                <w:iCs w:val="0"/>
                <w:color w:val="000000"/>
                <w:kern w:val="0"/>
                <w:sz w:val="16"/>
                <w:szCs w:val="16"/>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按照正常比例赋分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10" w:type="dxa"/>
            <w:vMerge w:val="continue"/>
            <w:tcBorders>
              <w:left w:val="single" w:color="000000" w:sz="4" w:space="0"/>
              <w:right w:val="single" w:color="000000" w:sz="4" w:space="0"/>
            </w:tcBorders>
            <w:shd w:val="clear" w:color="auto" w:fill="auto"/>
            <w:noWrap/>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经济成本指标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保障大型社区正常运转经费成本</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&lt;=60万元</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sz w:val="20"/>
                <w:szCs w:val="22"/>
              </w:rPr>
            </w:pPr>
            <w:r>
              <w:rPr>
                <w:rFonts w:hint="eastAsia" w:ascii="宋体" w:hAnsi="宋体" w:eastAsia="宋体" w:cs="宋体"/>
                <w:i w:val="0"/>
                <w:iCs w:val="0"/>
                <w:color w:val="000000"/>
                <w:kern w:val="0"/>
                <w:sz w:val="16"/>
                <w:szCs w:val="16"/>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按照正常比例赋分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原始凭证</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=60万元</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10" w:type="dxa"/>
            <w:vMerge w:val="continue"/>
            <w:tcBorders>
              <w:left w:val="single" w:color="000000" w:sz="4" w:space="0"/>
              <w:right w:val="single" w:color="000000" w:sz="4" w:space="0"/>
            </w:tcBorders>
            <w:shd w:val="clear" w:color="auto" w:fill="auto"/>
            <w:noWrap/>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经济成本指标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保障中型社区正常运转经费成本</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&lt;=15万元</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sz w:val="20"/>
                <w:szCs w:val="22"/>
              </w:rPr>
            </w:pPr>
            <w:r>
              <w:rPr>
                <w:rFonts w:hint="eastAsia" w:ascii="宋体" w:hAnsi="宋体" w:eastAsia="宋体" w:cs="宋体"/>
                <w:i w:val="0"/>
                <w:iCs w:val="0"/>
                <w:color w:val="000000"/>
                <w:kern w:val="0"/>
                <w:sz w:val="16"/>
                <w:szCs w:val="16"/>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按照正常比例赋分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原始凭证</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=15万元</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10" w:type="dxa"/>
            <w:vMerge w:val="continue"/>
            <w:tcBorders>
              <w:left w:val="single" w:color="000000" w:sz="4" w:space="0"/>
              <w:right w:val="single" w:color="000000" w:sz="4" w:space="0"/>
            </w:tcBorders>
            <w:shd w:val="clear" w:color="auto" w:fill="auto"/>
            <w:noWrap/>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经济成本指标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保障小型社区正常运转经费成本</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&lt;=10万元</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sz w:val="20"/>
                <w:szCs w:val="22"/>
              </w:rPr>
            </w:pPr>
            <w:r>
              <w:rPr>
                <w:rFonts w:hint="eastAsia" w:ascii="宋体" w:hAnsi="宋体" w:eastAsia="宋体" w:cs="宋体"/>
                <w:i w:val="0"/>
                <w:iCs w:val="0"/>
                <w:color w:val="000000"/>
                <w:kern w:val="0"/>
                <w:sz w:val="16"/>
                <w:szCs w:val="16"/>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按照正常比例赋分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原始凭证</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=10万元</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仿宋_GB2312" w:eastAsia="仿宋_GB2312" w:cs="仿宋_GB2312"/>
                <w:i w:val="0"/>
                <w:iCs w:val="0"/>
                <w:color w:val="000000"/>
                <w:spacing w:val="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10" w:type="dxa"/>
            <w:vMerge w:val="continue"/>
            <w:tcBorders>
              <w:left w:val="single" w:color="000000" w:sz="4" w:space="0"/>
              <w:right w:val="single" w:color="000000" w:sz="4" w:space="0"/>
            </w:tcBorders>
            <w:shd w:val="clear" w:color="auto" w:fill="auto"/>
            <w:noWrap/>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lang w:eastAsia="zh-CN"/>
              </w:rPr>
            </w:pPr>
            <w:r>
              <w:rPr>
                <w:rFonts w:hint="eastAsia" w:ascii="仿宋_GB2312" w:hAnsi="仿宋_GB2312" w:eastAsia="仿宋_GB2312" w:cs="仿宋_GB2312"/>
                <w:i w:val="0"/>
                <w:iCs w:val="0"/>
                <w:color w:val="000000"/>
                <w:spacing w:val="0"/>
                <w:sz w:val="16"/>
                <w:szCs w:val="16"/>
                <w:u w:val="none"/>
                <w:lang w:eastAsia="zh-CN"/>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社会效益指标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受益居民人数</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&gt;=</w:t>
            </w:r>
            <w:r>
              <w:rPr>
                <w:rFonts w:hint="eastAsia" w:ascii="宋体" w:hAnsi="宋体" w:cs="宋体"/>
                <w:i w:val="0"/>
                <w:iCs w:val="0"/>
                <w:color w:val="000000"/>
                <w:kern w:val="0"/>
                <w:sz w:val="16"/>
                <w:szCs w:val="16"/>
                <w:u w:val="none"/>
                <w:lang w:val="en-US" w:eastAsia="zh-CN" w:bidi="ar"/>
              </w:rPr>
              <w:t>2.9万人</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20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按照正常比例赋分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工作资料</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20</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10" w:type="dxa"/>
            <w:vMerge w:val="continue"/>
            <w:tcBorders>
              <w:left w:val="single" w:color="000000" w:sz="4" w:space="0"/>
              <w:bottom w:val="single" w:color="000000" w:sz="4" w:space="0"/>
              <w:right w:val="single" w:color="000000" w:sz="4" w:space="0"/>
            </w:tcBorders>
            <w:shd w:val="clear" w:color="auto" w:fill="auto"/>
            <w:noWrap/>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lang w:eastAsia="zh-CN"/>
              </w:rPr>
            </w:pPr>
            <w:r>
              <w:rPr>
                <w:rFonts w:hint="eastAsia" w:ascii="仿宋_GB2312" w:hAnsi="仿宋_GB2312" w:eastAsia="仿宋_GB2312" w:cs="仿宋_GB2312"/>
                <w:i w:val="0"/>
                <w:iCs w:val="0"/>
                <w:color w:val="000000"/>
                <w:spacing w:val="0"/>
                <w:sz w:val="16"/>
                <w:szCs w:val="16"/>
                <w:u w:val="none"/>
                <w:lang w:eastAsia="zh-CN"/>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满意度指标</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单位满意率</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&gt;=</w:t>
            </w:r>
            <w:r>
              <w:rPr>
                <w:rFonts w:hint="eastAsia" w:ascii="宋体" w:hAnsi="宋体" w:cs="宋体"/>
                <w:i w:val="0"/>
                <w:iCs w:val="0"/>
                <w:color w:val="000000"/>
                <w:kern w:val="0"/>
                <w:sz w:val="16"/>
                <w:szCs w:val="16"/>
                <w:u w:val="none"/>
                <w:lang w:val="en-US" w:eastAsia="zh-CN" w:bidi="ar"/>
              </w:rPr>
              <w:t>95%</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10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按照正常比例赋分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工作资料</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10</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45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总分</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6"/>
                <w:szCs w:val="16"/>
                <w:u w:val="none"/>
                <w:lang w:val="en-US" w:eastAsia="zh-CN" w:bidi="ar"/>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6"/>
                <w:szCs w:val="16"/>
                <w:u w:val="none"/>
                <w:lang w:val="en-US" w:eastAsia="zh-CN" w:bidi="ar"/>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6"/>
                <w:szCs w:val="16"/>
                <w:u w:val="none"/>
                <w:lang w:val="en-US" w:eastAsia="zh-CN" w:bidi="ar"/>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100.00分</w:t>
            </w:r>
          </w:p>
        </w:tc>
        <w:tc>
          <w:tcPr>
            <w:tcW w:w="1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jc w:val="center"/>
              <w:rPr>
                <w:rFonts w:hint="eastAsia" w:ascii="仿宋_GB2312" w:hAnsi="仿宋_GB2312" w:eastAsia="仿宋_GB2312" w:cs="仿宋_GB2312"/>
                <w:i w:val="0"/>
                <w:iCs w:val="0"/>
                <w:color w:val="000000"/>
                <w:spacing w:val="0"/>
                <w:sz w:val="16"/>
                <w:szCs w:val="16"/>
                <w:u w:val="none"/>
              </w:rPr>
            </w:pPr>
          </w:p>
        </w:tc>
      </w:tr>
    </w:tbl>
    <w:p>
      <w:pPr>
        <w:keepNext/>
        <w:keepLines w:val="0"/>
        <w:pageBreakBefore w:val="0"/>
        <w:widowControl w:val="0"/>
        <w:kinsoku/>
        <w:wordWrap/>
        <w:overflowPunct/>
        <w:topLinePunct w:val="0"/>
        <w:autoSpaceDE/>
        <w:autoSpaceDN/>
        <w:bidi w:val="0"/>
        <w:adjustRightInd/>
        <w:snapToGrid/>
        <w:rPr>
          <w:rFonts w:hint="default" w:ascii="Times New Roman" w:hAnsi="Times New Roman" w:cs="Times New Roman"/>
          <w:spacing w:val="0"/>
        </w:rPr>
      </w:pPr>
    </w:p>
    <w:sectPr>
      <w:pgSz w:w="16838" w:h="11906" w:orient="landscape"/>
      <w:pgMar w:top="96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0F71B69"/>
    <w:rsid w:val="01610122"/>
    <w:rsid w:val="01780AB8"/>
    <w:rsid w:val="02510197"/>
    <w:rsid w:val="03EC461B"/>
    <w:rsid w:val="0461077D"/>
    <w:rsid w:val="04674AB4"/>
    <w:rsid w:val="04ED58D3"/>
    <w:rsid w:val="055C06D9"/>
    <w:rsid w:val="07397B77"/>
    <w:rsid w:val="08677C9F"/>
    <w:rsid w:val="09A325C9"/>
    <w:rsid w:val="0AD007F3"/>
    <w:rsid w:val="0BB021E3"/>
    <w:rsid w:val="0BB86E2A"/>
    <w:rsid w:val="0BBA59AB"/>
    <w:rsid w:val="0BD02E6E"/>
    <w:rsid w:val="0C4379A5"/>
    <w:rsid w:val="0CB30A0A"/>
    <w:rsid w:val="0CE85E60"/>
    <w:rsid w:val="0E3C619F"/>
    <w:rsid w:val="0EF87C7E"/>
    <w:rsid w:val="0FF6224D"/>
    <w:rsid w:val="100F38EC"/>
    <w:rsid w:val="10393B72"/>
    <w:rsid w:val="11170296"/>
    <w:rsid w:val="11540AE4"/>
    <w:rsid w:val="124D4FB3"/>
    <w:rsid w:val="12C56CAE"/>
    <w:rsid w:val="12C66037"/>
    <w:rsid w:val="12CD1ABC"/>
    <w:rsid w:val="13117213"/>
    <w:rsid w:val="133A5D45"/>
    <w:rsid w:val="13471461"/>
    <w:rsid w:val="13B90F01"/>
    <w:rsid w:val="142D7190"/>
    <w:rsid w:val="155E4C4D"/>
    <w:rsid w:val="181066D2"/>
    <w:rsid w:val="1904680A"/>
    <w:rsid w:val="1A4E436B"/>
    <w:rsid w:val="1B3523DC"/>
    <w:rsid w:val="1C362552"/>
    <w:rsid w:val="1C671E73"/>
    <w:rsid w:val="1D322C47"/>
    <w:rsid w:val="1D923E20"/>
    <w:rsid w:val="1EE3229D"/>
    <w:rsid w:val="1FB001A2"/>
    <w:rsid w:val="20956308"/>
    <w:rsid w:val="218D6DB7"/>
    <w:rsid w:val="22FA7833"/>
    <w:rsid w:val="23616034"/>
    <w:rsid w:val="23696C97"/>
    <w:rsid w:val="237D5EFE"/>
    <w:rsid w:val="24480FA2"/>
    <w:rsid w:val="245637D7"/>
    <w:rsid w:val="25227A45"/>
    <w:rsid w:val="25C2461F"/>
    <w:rsid w:val="26AC3A6A"/>
    <w:rsid w:val="2798207F"/>
    <w:rsid w:val="27BB4D29"/>
    <w:rsid w:val="29D6145C"/>
    <w:rsid w:val="2B9D7E25"/>
    <w:rsid w:val="2C3214BE"/>
    <w:rsid w:val="2C7C7A3B"/>
    <w:rsid w:val="2D1B64F2"/>
    <w:rsid w:val="2EFC0266"/>
    <w:rsid w:val="2F364819"/>
    <w:rsid w:val="2F8D6086"/>
    <w:rsid w:val="2F931D31"/>
    <w:rsid w:val="2FD63906"/>
    <w:rsid w:val="30EC51E0"/>
    <w:rsid w:val="31F055B2"/>
    <w:rsid w:val="37215DAE"/>
    <w:rsid w:val="38BE659D"/>
    <w:rsid w:val="38CA40DD"/>
    <w:rsid w:val="39193DFA"/>
    <w:rsid w:val="395F2B56"/>
    <w:rsid w:val="3BBA0580"/>
    <w:rsid w:val="3BECE841"/>
    <w:rsid w:val="3CDE204C"/>
    <w:rsid w:val="3D363C36"/>
    <w:rsid w:val="3E7E0DE5"/>
    <w:rsid w:val="3E9C3F6D"/>
    <w:rsid w:val="3F7334E5"/>
    <w:rsid w:val="3FF7797D"/>
    <w:rsid w:val="42592289"/>
    <w:rsid w:val="42932F30"/>
    <w:rsid w:val="42FB2EB7"/>
    <w:rsid w:val="44971783"/>
    <w:rsid w:val="457B50BE"/>
    <w:rsid w:val="46690BD8"/>
    <w:rsid w:val="49F70BF1"/>
    <w:rsid w:val="4B4340EE"/>
    <w:rsid w:val="4F132B26"/>
    <w:rsid w:val="503D507A"/>
    <w:rsid w:val="5072468E"/>
    <w:rsid w:val="50DD00D3"/>
    <w:rsid w:val="51FA74D0"/>
    <w:rsid w:val="52AA4A52"/>
    <w:rsid w:val="53047ED3"/>
    <w:rsid w:val="53227354"/>
    <w:rsid w:val="53D53FAC"/>
    <w:rsid w:val="54486EA0"/>
    <w:rsid w:val="545C4709"/>
    <w:rsid w:val="5503404D"/>
    <w:rsid w:val="55BD24AC"/>
    <w:rsid w:val="562222E9"/>
    <w:rsid w:val="5665407C"/>
    <w:rsid w:val="57FA5120"/>
    <w:rsid w:val="59943D66"/>
    <w:rsid w:val="59E051FD"/>
    <w:rsid w:val="59E6355E"/>
    <w:rsid w:val="59F12DC3"/>
    <w:rsid w:val="5B821531"/>
    <w:rsid w:val="5BFF6039"/>
    <w:rsid w:val="5C425275"/>
    <w:rsid w:val="5D76A616"/>
    <w:rsid w:val="5D7F20B9"/>
    <w:rsid w:val="5DAC7D0E"/>
    <w:rsid w:val="5EBE5161"/>
    <w:rsid w:val="5F98B5AF"/>
    <w:rsid w:val="5FFE8511"/>
    <w:rsid w:val="5FFEACE2"/>
    <w:rsid w:val="60922E33"/>
    <w:rsid w:val="609D5BF6"/>
    <w:rsid w:val="60A453CF"/>
    <w:rsid w:val="61073070"/>
    <w:rsid w:val="61B9080E"/>
    <w:rsid w:val="61DF3FED"/>
    <w:rsid w:val="642B176B"/>
    <w:rsid w:val="643EE26D"/>
    <w:rsid w:val="650B0B70"/>
    <w:rsid w:val="656019A0"/>
    <w:rsid w:val="65AB3DB4"/>
    <w:rsid w:val="65F242EE"/>
    <w:rsid w:val="666D7E19"/>
    <w:rsid w:val="67122778"/>
    <w:rsid w:val="68376930"/>
    <w:rsid w:val="68F91E38"/>
    <w:rsid w:val="6B3158B9"/>
    <w:rsid w:val="6B7134EA"/>
    <w:rsid w:val="6BA02A3F"/>
    <w:rsid w:val="6C1E5A53"/>
    <w:rsid w:val="6D625860"/>
    <w:rsid w:val="6DAC59E7"/>
    <w:rsid w:val="6DE90E0F"/>
    <w:rsid w:val="6EAA7B69"/>
    <w:rsid w:val="6F440B18"/>
    <w:rsid w:val="6F5C41AC"/>
    <w:rsid w:val="6FAF6C78"/>
    <w:rsid w:val="706E241E"/>
    <w:rsid w:val="70AA2174"/>
    <w:rsid w:val="716167CC"/>
    <w:rsid w:val="71842810"/>
    <w:rsid w:val="718A7AD1"/>
    <w:rsid w:val="71CC5B8B"/>
    <w:rsid w:val="72A44BC2"/>
    <w:rsid w:val="72C22C05"/>
    <w:rsid w:val="7317C656"/>
    <w:rsid w:val="734ED73F"/>
    <w:rsid w:val="737759FF"/>
    <w:rsid w:val="73C82B32"/>
    <w:rsid w:val="73F94DAE"/>
    <w:rsid w:val="74220495"/>
    <w:rsid w:val="747D1B6F"/>
    <w:rsid w:val="749E5641"/>
    <w:rsid w:val="76271066"/>
    <w:rsid w:val="762C7B03"/>
    <w:rsid w:val="76E97E65"/>
    <w:rsid w:val="77917641"/>
    <w:rsid w:val="77FD8BE9"/>
    <w:rsid w:val="78000AED"/>
    <w:rsid w:val="795D4B43"/>
    <w:rsid w:val="79A9BD3F"/>
    <w:rsid w:val="7A577DA8"/>
    <w:rsid w:val="7B776F12"/>
    <w:rsid w:val="7BFFFDD0"/>
    <w:rsid w:val="7C336E5F"/>
    <w:rsid w:val="7C561A01"/>
    <w:rsid w:val="7C8D4919"/>
    <w:rsid w:val="7D7A5F86"/>
    <w:rsid w:val="7E4B683A"/>
    <w:rsid w:val="7E5E656D"/>
    <w:rsid w:val="7E8731F6"/>
    <w:rsid w:val="7E8F2BCB"/>
    <w:rsid w:val="7F37BB4E"/>
    <w:rsid w:val="7FA3381C"/>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77</Words>
  <Characters>89</Characters>
  <Lines>58</Lines>
  <Paragraphs>16</Paragraphs>
  <TotalTime>1</TotalTime>
  <ScaleCrop>false</ScaleCrop>
  <LinksUpToDate>false</LinksUpToDate>
  <CharactersWithSpaces>89</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2025-04-28T05:11:00Z</cp:lastPrinted>
  <dcterms:modified xsi:type="dcterms:W3CDTF">2025-04-30T03:41:13Z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