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库尔勒市丝路街道办事处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一）加强党的建设。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一战线工作的领导；指导工会、共青团、妇联等群团工作。坚持党管武装的基本原则和制度，协调各方力量，对行政区人民武装工作实行统一管理。</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二）统筹区域发展。指导、监督行政区各单位认真执行市委、市人民政府的各项决议、确保市委、市人民政府各项工作总体部署和工作任务的全面落实。坚持依法行政，推进民主政治，加强基础设施建设；制定街道经济发展、社区建设、社区服务等工作规划和年度计划，并组织实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（三）组织公共服务。加强公共设施建设，开展就业和社会保障等服务。</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四）实施公共管理。推进政务、居务公开，抓好卫生健康、人口计划生育工作，实施一票否决制，保障妇女儿童合法权益；开展行政区内的普法教育，完善人民调解组织，为居民提供法律服务；加强居民的文明教育、文化教育，加强流动人口管理，增强居民的文化意识和城市意识。保障残疾人合法权益不受侵犯；负责辖区内统计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五）维护公共安全。承担辖区内社会治安综合治理、信访、平安建设、应急管理、安全生产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（六）监督执法管理。协助有关部门加强对行政区内的文化娱乐等场所的管理及监督工作，对辖区内各类行政执法工作进行统筹协调，依法依规行使行政处罚权，组织开展群众监督和社会监督。</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（七）动员社会参与。动员辖区内各类单位、社会组织、社区居民等社会力量参与社会治理，为城市发展服务。</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（八）指导居民委员会建设，健全居民自治平台，组织驻街道单位和居民参与社区建设、管理。</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（九）按照管理权限，负责机关和事业单位工作人员的教育、培养、选拔、考核和监督工作；协助管理好派驻单位工作人员。</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（十）依法依规承担下放的经济社会管理权限和行政执法事项。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（十一）完成市委、市人民政府交办的其他事项。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库尔勒市丝路街道办事处2024年度，实有人数36人，其中：在职人员32人，减少1人；离休人员0人，较上年无变化；退休人员4人，增加2人。</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库尔勒市丝路街道办事处无下属预算单位，</w:t>
      </w:r>
      <w:r>
        <w:rPr>
          <w:rFonts w:hint="eastAsia" w:ascii="仿宋_GB2312" w:eastAsia="仿宋_GB2312"/>
          <w:b w:val="0"/>
          <w:sz w:val="32"/>
          <w:szCs w:val="32"/>
        </w:rPr>
        <w:t>下设6个处室，分别是：党建办、综合协调办、综治中心、行政执法中心、社会事务服务中心、统战民宗中心。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2024年度收入总计1,165.91万元，其中：本年收入合计1,165.91万元，使用非财政拨款结余（含专用结余）0.00万元，年初结转和结余0.00万元。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2024年度支出总计1,165.91万元，其中：本年支出合计1,165.91万元，结余分配0.00万元，年末结转和结余0.00万元。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收入支出总体与上年相比，减少89.16万元，下降7.10%，主要原因是：</w:t>
      </w:r>
      <w:r>
        <w:rPr>
          <w:rFonts w:hint="eastAsia" w:ascii="仿宋_GB2312" w:eastAsia="仿宋_GB2312"/>
          <w:b w:val="0"/>
          <w:sz w:val="32"/>
          <w:szCs w:val="32"/>
        </w:rPr>
        <w:t>本年在职和临聘人员减少共15人，导致人员经费减少、本年国有企业退休人员社会化管理补助减少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本年收入1,165.91万元，其中：财政拨款收入1,165.91万元,占100.00%；上级补助收入0.00万元,占0.00%；事业收入0.00万元，占0.00%；经营收入0.00万元,占0.00%；附属单位上缴收入0.00万元，占0.00%；其他收入0.00万元，占0.00%。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本年支出1,165.91万元，其中：基本支出1,041.71万元，占89.35%；项目支出124.19万元，占10.65%；上缴上级支出0.00万元，占0.00%；经营支出0.00万元，占0.00%；对附属单位补助支出0.00万元，占0.00%。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1,165.91万元，其中：年初财政拨款结转和结余0.00万元，本年财政拨款收入1,165.91万元。财政拨款支出总计1,165.91万元，其中：年末财政拨款结转和结余0.00万元，本年财政拨款支出1,165.91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财政拨款收入支出总体与上年相比，减少89.16万元，下降7.10%，主要原因是：</w:t>
      </w:r>
      <w:r>
        <w:rPr>
          <w:rFonts w:hint="eastAsia" w:ascii="仿宋_GB2312" w:eastAsia="仿宋_GB2312"/>
          <w:b w:val="0"/>
          <w:sz w:val="32"/>
          <w:szCs w:val="32"/>
        </w:rPr>
        <w:t>本年在职和临聘人员减少共15人，导致人员经费减少、本年国有企业退休人员社会化管理补助减少</w:t>
      </w:r>
      <w:r>
        <w:rPr>
          <w:rFonts w:ascii="仿宋_GB2312" w:eastAsia="仿宋_GB2312"/>
          <w:b w:val="0"/>
          <w:sz w:val="32"/>
          <w:szCs w:val="32"/>
        </w:rPr>
        <w:t>。与年初预算相比，年初预算数1,416.92万元，决算数1,165.91万元，预决算差异率-17.72%，主要原因是：</w:t>
      </w:r>
      <w:r>
        <w:rPr>
          <w:rFonts w:hint="eastAsia" w:ascii="仿宋_GB2312" w:eastAsia="仿宋_GB2312"/>
          <w:b w:val="0"/>
          <w:sz w:val="32"/>
          <w:szCs w:val="32"/>
        </w:rPr>
        <w:t>本年国有企业退休人员社会化管理补助减少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2024年度一般公共预算财政拨款支出1,162.63万元，占本年支出合计的99.72%。与上年相比，减少80.43万元，下降6.47%，主要原因是：</w:t>
      </w:r>
      <w:r>
        <w:rPr>
          <w:rFonts w:hint="eastAsia" w:ascii="仿宋_GB2312" w:eastAsia="仿宋_GB2312"/>
          <w:b w:val="0"/>
          <w:sz w:val="32"/>
          <w:szCs w:val="32"/>
        </w:rPr>
        <w:t>本年在职和临聘人员减少共15人，导致人员经费减少、本年国有企业退休人员社会化管理补助减少</w:t>
      </w:r>
      <w:r>
        <w:rPr>
          <w:rFonts w:ascii="仿宋_GB2312" w:eastAsia="仿宋_GB2312"/>
          <w:b w:val="0"/>
          <w:sz w:val="32"/>
          <w:szCs w:val="32"/>
        </w:rPr>
        <w:t>。与年初预算相比，年初预算数1,416.92万元，决算数1,162.63万元，预决算差异率-17.95%，主要原因是：</w:t>
      </w:r>
      <w:r>
        <w:rPr>
          <w:rFonts w:hint="eastAsia" w:ascii="仿宋_GB2312" w:eastAsia="仿宋_GB2312"/>
          <w:b w:val="0"/>
          <w:sz w:val="32"/>
          <w:szCs w:val="32"/>
        </w:rPr>
        <w:t>本年国有企业退休人员社会化管理补助减少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一般公共服务支出（类）1,022.20万元，占87.92%。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教育支出（类）0.46万元，占0.04%。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文化旅游体育与传媒支出（类）5.57万元，占0.48%。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社会保障和就业支出（类）73.08万元，占6.29%。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卫生健康支出（类）25.50万元，占2.19%。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住房保障支出（类）35.82万元，占3.08%。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一般公共服务支出（类）人大事务（款）代表工作（项）：支出决算数为1.29万元，比上年决算增加1.29万元，增长100.00%，主要原因是：</w:t>
      </w:r>
      <w:r>
        <w:rPr>
          <w:rFonts w:hint="eastAsia" w:ascii="仿宋_GB2312" w:eastAsia="仿宋_GB2312"/>
          <w:b w:val="0"/>
          <w:sz w:val="32"/>
          <w:szCs w:val="32"/>
          <w:highlight w:val="none"/>
          <w:lang w:val="en-US" w:eastAsia="zh-CN"/>
        </w:rPr>
        <w:t>库尔勒市十一届人大代表活动经费上年在行政运行科目中反映。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一般公共服务支出（类）政府办公厅（室）及相关机构事务（款）行政运行（项）：支出决算数为855.71万元，比上年决算减少6.05万元，下降0.70%，主要原因是：</w:t>
      </w:r>
      <w:r>
        <w:rPr>
          <w:rFonts w:hint="eastAsia" w:ascii="仿宋_GB2312" w:eastAsia="仿宋_GB2312"/>
          <w:b w:val="0"/>
          <w:sz w:val="32"/>
          <w:szCs w:val="32"/>
          <w:highlight w:val="none"/>
          <w:lang w:val="en-US" w:eastAsia="zh-CN"/>
        </w:rPr>
        <w:t>库尔勒市十一届人大代表活动经费上年在此科目中反映，本年在</w:t>
      </w:r>
      <w:r>
        <w:rPr>
          <w:rFonts w:ascii="仿宋_GB2312" w:eastAsia="仿宋_GB2312"/>
          <w:b w:val="0"/>
          <w:sz w:val="32"/>
          <w:szCs w:val="32"/>
          <w:highlight w:val="none"/>
        </w:rPr>
        <w:t>代表工作</w:t>
      </w:r>
      <w:r>
        <w:rPr>
          <w:rFonts w:hint="eastAsia" w:ascii="仿宋_GB2312" w:eastAsia="仿宋_GB2312"/>
          <w:b w:val="0"/>
          <w:sz w:val="32"/>
          <w:szCs w:val="32"/>
          <w:highlight w:val="none"/>
          <w:lang w:val="en-US" w:eastAsia="zh-CN"/>
        </w:rPr>
        <w:t>科目中反映。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一般公共服务支出（类）政府办公厅（室）及相关机构事务（款）其他政府办公厅（室）及相关机构事务支出（项）：支出决算数为110.93万元，比上年决算增加88.31万元，增长390.41%，主要原因是：</w:t>
      </w:r>
      <w:r>
        <w:rPr>
          <w:rFonts w:hint="eastAsia" w:ascii="仿宋_GB2312" w:eastAsia="仿宋_GB2312"/>
          <w:b w:val="0"/>
          <w:sz w:val="32"/>
          <w:szCs w:val="32"/>
          <w:highlight w:val="none"/>
          <w:lang w:val="en-US" w:eastAsia="zh-CN"/>
        </w:rPr>
        <w:t>本年</w:t>
      </w:r>
      <w:r>
        <w:rPr>
          <w:rFonts w:hint="eastAsia" w:eastAsia="仿宋_GB2312"/>
          <w:sz w:val="32"/>
          <w:szCs w:val="32"/>
          <w:lang w:val="zh-CN"/>
        </w:rPr>
        <w:t>网格经费、党建经费</w:t>
      </w:r>
      <w:r>
        <w:rPr>
          <w:rFonts w:hint="eastAsia" w:eastAsia="仿宋_GB2312"/>
          <w:sz w:val="32"/>
          <w:szCs w:val="32"/>
          <w:lang w:val="en-US" w:eastAsia="zh-CN"/>
        </w:rPr>
        <w:t>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一般公共服务支出（类）纪检监察事务（款）其他纪检监察事务支出（项）：支出决算数为2.00万元，比上年决算减少0.50万元，下降20.00%，主要原因是：</w:t>
      </w:r>
      <w:r>
        <w:rPr>
          <w:rFonts w:hint="eastAsia" w:ascii="仿宋_GB2312" w:eastAsia="仿宋_GB2312"/>
          <w:b w:val="0"/>
          <w:sz w:val="32"/>
          <w:szCs w:val="32"/>
          <w:highlight w:val="none"/>
          <w:lang w:val="en-US" w:eastAsia="zh-CN"/>
        </w:rPr>
        <w:t>本年中央政法转移资金减少。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一般公共服务支出（类）组织事务（款）其他组织事务支出（项）：支出决算数为40.34万元，比上年决算减少21.88万元，下降35.17%，主要原因是：</w:t>
      </w:r>
      <w:r>
        <w:rPr>
          <w:rFonts w:hint="eastAsia" w:ascii="仿宋_GB2312" w:eastAsia="仿宋_GB2312"/>
          <w:b w:val="0"/>
          <w:sz w:val="32"/>
          <w:szCs w:val="32"/>
          <w:highlight w:val="none"/>
          <w:lang w:val="en-US" w:eastAsia="zh-CN"/>
        </w:rPr>
        <w:t>本年工作队为民办实事经费较上年减少。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一般公共服务支出（类）统战事务（款）宗教事务（项）：支出决算数为0.91万元，比上年决算减少0.09万元，下降9.00%，主要原因是：</w:t>
      </w:r>
      <w:r>
        <w:rPr>
          <w:rFonts w:hint="eastAsia" w:ascii="仿宋_GB2312" w:eastAsia="仿宋_GB2312"/>
          <w:b w:val="0"/>
          <w:sz w:val="32"/>
          <w:szCs w:val="32"/>
          <w:highlight w:val="none"/>
          <w:lang w:val="en-US" w:eastAsia="zh-CN"/>
        </w:rPr>
        <w:t>本年驻村管寺委员会工作及人员经费减少。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一般公共服务支出（类）统战事务（款）其他统战事务支出（项）：支出决算数为10.91万元，比上年决算增加1.34万元，增长14.00%，主要原因是：</w:t>
      </w:r>
      <w:r>
        <w:rPr>
          <w:rFonts w:hint="eastAsia" w:ascii="仿宋_GB2312" w:eastAsia="仿宋_GB2312"/>
          <w:b w:val="0"/>
          <w:sz w:val="32"/>
          <w:szCs w:val="32"/>
          <w:highlight w:val="none"/>
          <w:lang w:val="en-US" w:eastAsia="zh-CN"/>
        </w:rPr>
        <w:t>驻村管寺人员生活补助较上年增加。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一般公共服务支出（类）其他一般公共服务支出（款）其他一般公共服务支出（项）：支出决算数为0.12万元，比上年决算增加0.12万元，增长100.00%，主要原因是：</w:t>
      </w:r>
      <w:r>
        <w:rPr>
          <w:rFonts w:hint="eastAsia" w:ascii="仿宋_GB2312" w:eastAsia="仿宋_GB2312"/>
          <w:b w:val="0"/>
          <w:sz w:val="32"/>
          <w:szCs w:val="32"/>
          <w:highlight w:val="none"/>
          <w:lang w:val="en-US" w:eastAsia="zh-CN"/>
        </w:rPr>
        <w:t>本年自治州人大代表活动经费增加。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教育支出（类）进修及培训（款）培训支出（项）：支出决算数为0.46万元，比上年决算减少1.89万元，下降80.43%，主要原因是：</w:t>
      </w:r>
      <w:r>
        <w:rPr>
          <w:rFonts w:hint="eastAsia" w:ascii="仿宋_GB2312" w:eastAsia="仿宋_GB2312"/>
          <w:b w:val="0"/>
          <w:sz w:val="32"/>
          <w:szCs w:val="32"/>
          <w:highlight w:val="none"/>
          <w:lang w:val="en-US" w:eastAsia="zh-CN"/>
        </w:rPr>
        <w:t>本年职工外出培训次数减少。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文化旅游体育与传媒支出（类）文化和旅游（款）其他文化和旅游支出（项）：支出决算数为4.87万元，比上年决算增加1.74万元，增长55.59%，主要原因是：</w:t>
      </w:r>
      <w:r>
        <w:rPr>
          <w:rFonts w:hint="eastAsia" w:ascii="仿宋_GB2312" w:eastAsia="仿宋_GB2312"/>
          <w:b w:val="0"/>
          <w:sz w:val="32"/>
          <w:szCs w:val="32"/>
          <w:highlight w:val="none"/>
          <w:lang w:val="en-US" w:eastAsia="zh-CN"/>
        </w:rPr>
        <w:t>本年图书馆、美术馆、文化馆免费开放补助资金增加。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文化旅游体育与传媒支出（类）其他文化旅游体育与传媒支出（款）其他文化旅游体育与传媒支出（项）：支出决算数为0.70万元，与上年相比无变化，主要原因是：</w:t>
      </w:r>
      <w:r>
        <w:rPr>
          <w:rFonts w:hint="eastAsia" w:ascii="仿宋_GB2312" w:eastAsia="仿宋_GB2312"/>
          <w:b w:val="0"/>
          <w:sz w:val="32"/>
          <w:szCs w:val="32"/>
          <w:highlight w:val="none"/>
          <w:lang w:val="en-US" w:eastAsia="zh-CN"/>
        </w:rPr>
        <w:t>自治区拨付本年图书馆、美术馆、文化馆免费开放补助资金与上年一致。</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社会保障和就业支出（类）行政事业单位养老支出（款）行政单位离退休（项）：支出决算数为2.71万元，比上年决算增加0.27万元，增长11.07%，主要原因是：</w:t>
      </w:r>
      <w:r>
        <w:rPr>
          <w:rFonts w:hint="eastAsia" w:ascii="仿宋_GB2312" w:eastAsia="仿宋_GB2312"/>
          <w:b w:val="0"/>
          <w:sz w:val="32"/>
          <w:szCs w:val="32"/>
          <w:highlight w:val="none"/>
          <w:lang w:val="en-US" w:eastAsia="zh-CN"/>
        </w:rPr>
        <w:t>今年退休人员增加2人</w:t>
      </w:r>
      <w:r>
        <w:rPr>
          <w:rFonts w:hint="eastAsia" w:ascii="仿宋_GB2312" w:eastAsia="仿宋_GB2312"/>
          <w:b w:val="0"/>
          <w:sz w:val="32"/>
          <w:szCs w:val="32"/>
          <w:highlight w:val="none"/>
        </w:rPr>
        <w:t>，导致行政事业单位离退休支出增加。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highlight w:val="none"/>
        </w:rPr>
        <w:t>社会保障和就业支出（类）行政事业单位养老支出（款）机关事业单位基本养老保险缴费支出（项）：支出决算数为46.32万元，比上年决算减少7.07万元，下降13.24%，主要原因是：</w:t>
      </w:r>
      <w:r>
        <w:rPr>
          <w:rFonts w:hint="eastAsia" w:ascii="仿宋_GB2312" w:eastAsia="仿宋_GB2312"/>
          <w:b w:val="0"/>
          <w:sz w:val="32"/>
          <w:szCs w:val="32"/>
        </w:rPr>
        <w:t>本年在职和临聘人员减少共15人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导致</w:t>
      </w:r>
      <w:r>
        <w:rPr>
          <w:rFonts w:ascii="仿宋_GB2312" w:eastAsia="仿宋_GB2312"/>
          <w:b w:val="0"/>
          <w:sz w:val="32"/>
          <w:szCs w:val="32"/>
          <w:highlight w:val="none"/>
        </w:rPr>
        <w:t>机关事业单位基本养老保险缴费支出</w:t>
      </w:r>
      <w:r>
        <w:rPr>
          <w:rFonts w:hint="eastAsia" w:ascii="仿宋_GB2312" w:eastAsia="仿宋_GB2312"/>
          <w:b w:val="0"/>
          <w:sz w:val="32"/>
          <w:szCs w:val="32"/>
          <w:highlight w:val="none"/>
          <w:lang w:val="en-US"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val="en-US" w:eastAsia="zh-CN"/>
        </w:rPr>
      </w:pPr>
      <w:r>
        <w:rPr>
          <w:rFonts w:ascii="仿宋_GB2312" w:eastAsia="仿宋_GB2312"/>
          <w:b w:val="0"/>
          <w:sz w:val="32"/>
          <w:szCs w:val="32"/>
          <w:highlight w:val="none"/>
        </w:rPr>
        <w:t>社会保障和就业支出（类）行政事业单位养老支出（款）机关事业单位职业年金缴费支出（项）：支出决算数为14.04万元，比上年决算增加0.70万元，增长5.25%，主要原因是：</w:t>
      </w:r>
      <w:r>
        <w:rPr>
          <w:rFonts w:hint="eastAsia" w:ascii="仿宋_GB2312" w:eastAsia="仿宋_GB2312"/>
          <w:b w:val="0"/>
          <w:sz w:val="32"/>
          <w:szCs w:val="32"/>
          <w:highlight w:val="none"/>
          <w:lang w:val="en-US" w:eastAsia="zh-CN"/>
        </w:rPr>
        <w:t>今年在职人眼减少，导致</w:t>
      </w:r>
      <w:r>
        <w:rPr>
          <w:rFonts w:ascii="仿宋_GB2312" w:eastAsia="仿宋_GB2312"/>
          <w:b w:val="0"/>
          <w:sz w:val="32"/>
          <w:szCs w:val="32"/>
          <w:highlight w:val="none"/>
        </w:rPr>
        <w:t>机关事业单位职业年金缴费支出</w:t>
      </w:r>
      <w:r>
        <w:rPr>
          <w:rFonts w:hint="eastAsia" w:ascii="仿宋_GB2312" w:eastAsia="仿宋_GB2312"/>
          <w:b w:val="0"/>
          <w:sz w:val="32"/>
          <w:szCs w:val="32"/>
          <w:highlight w:val="none"/>
          <w:lang w:val="en-US" w:eastAsia="zh-CN"/>
        </w:rPr>
        <w:t>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社会保障和就业支出（类）就业补助（款）公益性岗位补贴（项）：支出决算数为0.00万元，比上年决算减少60.00万元，下降100.00%，主要原因是：</w:t>
      </w:r>
      <w:r>
        <w:rPr>
          <w:rFonts w:hint="eastAsia" w:ascii="仿宋_GB2312" w:eastAsia="仿宋_GB2312"/>
          <w:b w:val="0"/>
          <w:sz w:val="32"/>
          <w:szCs w:val="32"/>
          <w:highlight w:val="none"/>
          <w:lang w:val="en-US" w:eastAsia="zh-CN"/>
        </w:rPr>
        <w:t>今年公益性岗位人员减少。</w:t>
      </w:r>
    </w:p>
    <w:p>
      <w:pPr>
        <w:ind w:firstLine="640" w:firstLineChars="200"/>
        <w:rPr>
          <w:rFonts w:eastAsia="仿宋_GB2312"/>
          <w:sz w:val="32"/>
          <w:szCs w:val="32"/>
        </w:rPr>
      </w:pPr>
      <w:r>
        <w:rPr>
          <w:rFonts w:ascii="仿宋_GB2312" w:eastAsia="仿宋_GB2312"/>
          <w:b w:val="0"/>
          <w:sz w:val="32"/>
          <w:szCs w:val="32"/>
          <w:highlight w:val="none"/>
        </w:rPr>
        <w:t>社会保障和就业支出（类）社会福利（款）儿童福利（项）：支出决算数为10.00万元，比上年决算减少80.00万元，下降88.89%，主要原因是：</w:t>
      </w:r>
      <w:r>
        <w:rPr>
          <w:rFonts w:hint="eastAsia" w:eastAsia="仿宋_GB2312"/>
          <w:sz w:val="32"/>
          <w:szCs w:val="32"/>
        </w:rPr>
        <w:t>巴州下拨2023年积极应对人口老龄化工程和托育建设中央基建经费9</w:t>
      </w:r>
      <w:r>
        <w:rPr>
          <w:rFonts w:eastAsia="仿宋_GB2312"/>
          <w:sz w:val="32"/>
          <w:szCs w:val="32"/>
        </w:rPr>
        <w:t>0</w:t>
      </w:r>
      <w:r>
        <w:rPr>
          <w:rFonts w:hint="eastAsia" w:eastAsia="仿宋_GB2312"/>
          <w:sz w:val="32"/>
          <w:szCs w:val="32"/>
        </w:rPr>
        <w:t>万用于改造建筑面积1254平方米，新增托位100个，配套附属设施，购置相关设备，该项目</w:t>
      </w:r>
      <w:r>
        <w:rPr>
          <w:rFonts w:hint="eastAsia" w:eastAsia="仿宋_GB2312"/>
          <w:sz w:val="32"/>
          <w:szCs w:val="32"/>
          <w:lang w:val="en-US" w:eastAsia="zh-CN"/>
        </w:rPr>
        <w:t>上年基本</w:t>
      </w:r>
      <w:r>
        <w:rPr>
          <w:rFonts w:hint="eastAsia" w:eastAsia="仿宋_GB2312"/>
          <w:sz w:val="32"/>
          <w:szCs w:val="32"/>
        </w:rPr>
        <w:t>已完成。</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卫生健康支出（类）行政事业单位医疗（款）行政单位医疗（项）：支出决算数为22.96万元，比上年决算增加2.11万元，增长10.12%，主要原因是：</w:t>
      </w:r>
      <w:r>
        <w:rPr>
          <w:rFonts w:hint="eastAsia" w:ascii="仿宋_GB2312" w:eastAsia="仿宋_GB2312"/>
          <w:b w:val="0"/>
          <w:sz w:val="32"/>
          <w:szCs w:val="32"/>
          <w:highlight w:val="none"/>
          <w:lang w:val="en-US" w:eastAsia="zh-CN"/>
        </w:rPr>
        <w:t>本</w:t>
      </w:r>
      <w:r>
        <w:rPr>
          <w:rFonts w:hint="eastAsia" w:ascii="仿宋_GB2312" w:eastAsia="仿宋_GB2312"/>
          <w:b w:val="0"/>
          <w:sz w:val="32"/>
          <w:szCs w:val="32"/>
          <w:highlight w:val="none"/>
        </w:rPr>
        <w:t>年度在职在编人员正常升级增资</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社保基数调增。</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卫生健康支出（类）行政事业单位医疗（款）公务员医疗补助（项）：支出决算数为2.54万元，比上年决算减少0.29万元，下降10.25%，主要原因是：</w:t>
      </w:r>
      <w:r>
        <w:rPr>
          <w:rFonts w:hint="eastAsia" w:ascii="仿宋_GB2312" w:eastAsia="仿宋_GB2312"/>
          <w:b w:val="0"/>
          <w:sz w:val="32"/>
          <w:szCs w:val="32"/>
          <w:highlight w:val="none"/>
        </w:rPr>
        <w:t>工资增资，机关事业单位社保缴费</w:t>
      </w:r>
      <w:r>
        <w:rPr>
          <w:rFonts w:hint="eastAsia" w:ascii="仿宋_GB2312" w:eastAsia="仿宋_GB2312"/>
          <w:b w:val="0"/>
          <w:sz w:val="32"/>
          <w:szCs w:val="32"/>
          <w:highlight w:val="none"/>
          <w:lang w:val="en-US" w:eastAsia="zh-CN"/>
        </w:rPr>
        <w:t>技术</w:t>
      </w:r>
      <w:r>
        <w:rPr>
          <w:rFonts w:hint="eastAsia" w:ascii="仿宋_GB2312" w:eastAsia="仿宋_GB2312"/>
          <w:b w:val="0"/>
          <w:sz w:val="32"/>
          <w:szCs w:val="32"/>
          <w:highlight w:val="none"/>
        </w:rPr>
        <w:t>增加</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住房保障支出（类）住房改革支出（款）住房公积金（项）：支出决算数为35.82万元，比上年决算增加1.45万元，增长4.22%，主要原因是：</w:t>
      </w:r>
      <w:r>
        <w:rPr>
          <w:rFonts w:hint="eastAsia" w:eastAsia="仿宋_GB2312"/>
          <w:sz w:val="32"/>
          <w:szCs w:val="32"/>
        </w:rPr>
        <w:t>工资增资，</w:t>
      </w:r>
      <w:r>
        <w:rPr>
          <w:rFonts w:hint="eastAsia" w:eastAsia="仿宋_GB2312"/>
          <w:sz w:val="32"/>
          <w:szCs w:val="32"/>
          <w:lang w:val="en-US" w:eastAsia="zh-CN"/>
        </w:rPr>
        <w:t>住房公积金缴费基数</w:t>
      </w:r>
      <w:r>
        <w:rPr>
          <w:rFonts w:hint="eastAsia" w:eastAsia="仿宋_GB2312"/>
          <w:sz w:val="32"/>
          <w:szCs w:val="32"/>
        </w:rPr>
        <w:t>增加</w:t>
      </w:r>
      <w:r>
        <w:rPr>
          <w:rFonts w:hint="eastAsia" w:eastAsia="仿宋_GB2312"/>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1,041.71万元，其中：人员经费1,014.87万元，包括：基本工资、津贴补贴、奖金、机关事业单位基本养老保险缴费、职业年金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公用经费26.84万元，包括：办公费、水费、电费、邮电费、取暖费、维修（护）费、培训费、劳务费、工会经费、公务用车运行维护费和其他交通费用。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2024年度国有资本经营预算财政拨款收入总计3.28万元，其中：年初结转和结余0.00万元，本年收入3.28万元。国有资本经营预算财政拨款支出总计3.28万元，其中：年末结转和结余0.00万元，本年支出3.28万元。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国有资本经营预算财政拨款收入支出总体与上年相比，减少2.83万元，下降46.32%，主要原因是：</w:t>
      </w:r>
      <w:r>
        <w:rPr>
          <w:rFonts w:hint="eastAsia" w:ascii="仿宋_GB2312" w:eastAsia="仿宋_GB2312"/>
          <w:b w:val="0"/>
          <w:sz w:val="32"/>
          <w:szCs w:val="32"/>
        </w:rPr>
        <w:t>本年国有企业退休人员社会化管理补助减少</w:t>
      </w:r>
      <w:r>
        <w:rPr>
          <w:rFonts w:ascii="仿宋_GB2312" w:eastAsia="仿宋_GB2312"/>
          <w:b w:val="0"/>
          <w:sz w:val="32"/>
          <w:szCs w:val="32"/>
        </w:rPr>
        <w:t>。与年初预算相比，年初预算数0.00万元，决算数3.28万元，预决算差异率100%，主要原因是：</w:t>
      </w:r>
      <w:r>
        <w:rPr>
          <w:rFonts w:hint="eastAsia" w:ascii="仿宋_GB2312" w:eastAsia="仿宋_GB2312"/>
          <w:b w:val="0"/>
          <w:sz w:val="32"/>
          <w:szCs w:val="32"/>
          <w:lang w:val="en-US" w:eastAsia="zh-CN"/>
        </w:rPr>
        <w:t>本年年中上级拨入</w:t>
      </w:r>
      <w:r>
        <w:rPr>
          <w:rFonts w:hint="eastAsia" w:ascii="仿宋_GB2312" w:eastAsia="仿宋_GB2312"/>
          <w:b w:val="0"/>
          <w:sz w:val="32"/>
          <w:szCs w:val="32"/>
        </w:rPr>
        <w:t>国有企业退休人员社会化管理补助</w:t>
      </w:r>
      <w:r>
        <w:rPr>
          <w:rFonts w:hint="eastAsia" w:ascii="仿宋_GB2312" w:eastAsia="仿宋_GB2312"/>
          <w:b w:val="0"/>
          <w:sz w:val="32"/>
          <w:szCs w:val="32"/>
          <w:lang w:val="en-US" w:eastAsia="zh-CN"/>
        </w:rPr>
        <w:t>资金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国有资本经营预算财政拨款支出3.28万元。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国有资本经营预算支出（类）解决历史遗留问题及改革成本支出（款）国有企业退休人员社会化管理补助支出（项）：支出决算数为3.28万元，比上年决算减少2.83万元，下降46.32%，主要原因是：</w:t>
      </w:r>
      <w:r>
        <w:rPr>
          <w:rFonts w:hint="eastAsia" w:ascii="仿宋_GB2312" w:eastAsia="仿宋_GB2312"/>
          <w:b w:val="0"/>
          <w:sz w:val="32"/>
          <w:szCs w:val="32"/>
        </w:rPr>
        <w:t>本年国有企业退休人员社会化管理补助减少</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2024年度财政拨款“三公”经费支出1.73万元，与上年相比无变化，</w:t>
      </w:r>
      <w:r>
        <w:rPr>
          <w:rFonts w:hint="eastAsia" w:ascii="仿宋_GB2312" w:eastAsia="仿宋_GB2312"/>
          <w:b w:val="0"/>
          <w:sz w:val="32"/>
          <w:szCs w:val="32"/>
        </w:rPr>
        <w:t>主要原因是：严格控制三公经费，厉行节约，与上年一致无变化。其中：因公出国（境）费支出0.00万元，占0.00%，比上年增加0.00万元，增长0.00%,主要原因是：我单位无因公出国（境）费；</w:t>
      </w:r>
      <w:r>
        <w:rPr>
          <w:rFonts w:ascii="仿宋_GB2312" w:eastAsia="仿宋_GB2312"/>
          <w:b w:val="0"/>
          <w:sz w:val="32"/>
          <w:szCs w:val="32"/>
        </w:rPr>
        <w:t>公务用车购置及运行维护费支出1.73万元，占100.00%，与上年相比无变化，</w:t>
      </w:r>
      <w:r>
        <w:rPr>
          <w:rFonts w:hint="eastAsia" w:ascii="仿宋_GB2312" w:eastAsia="仿宋_GB2312"/>
          <w:b w:val="0"/>
          <w:sz w:val="32"/>
          <w:szCs w:val="32"/>
        </w:rPr>
        <w:t>主要原因是：严格控制三公经费，厉行节约，与上年一致无变化；公务接待费支出0.00万元，占0.00%，比上年增加0.00万元，增长0.00%,主要原因是：我单位无公务接待费。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1.73万元，其中：公务用车购置费0.00万元，公务用车运行维护费1.73万元。公务用车运行维护费开支内容包括。公务用车购置数0辆，公务用车保有量1辆。国有资产占用情况中固定资产车辆1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与全年预算相比，财政拨款“三公”经费支出全年预算数1.73万元，决算数1.73万元，预决算差异率0.00%，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单位无因公出国（境）费；公务用车购置费全年预算数0.00万元，决算数0.00万元，预决算差异率0.00%，主要原因是：我单位无公务用车购置费；</w:t>
      </w:r>
      <w:r>
        <w:rPr>
          <w:rFonts w:ascii="仿宋_GB2312" w:eastAsia="仿宋_GB2312"/>
          <w:b w:val="0"/>
          <w:sz w:val="32"/>
          <w:szCs w:val="32"/>
        </w:rPr>
        <w:t>公务用车运行维护费全年预算数1.73万元，决算数1.73万元，预决算差异率0.00%，</w:t>
      </w:r>
      <w:r>
        <w:rPr>
          <w:rFonts w:hint="eastAsia" w:ascii="仿宋_GB2312" w:eastAsia="仿宋_GB2312"/>
          <w:b w:val="0"/>
          <w:sz w:val="32"/>
          <w:szCs w:val="32"/>
        </w:rPr>
        <w:t>主要原因是：严格控制三公经费，厉行节约；公务接待费全年预算数0.00万元，决算数0.00万元，预决算差异率0.00%，主要原因是：我单位无公务接待费。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2024年度库尔勒市丝路街道办事处单位机关运行经费支出26.84万元，比上年减少30.46万元，下降53.16%，主要原因是：</w:t>
      </w:r>
      <w:r>
        <w:rPr>
          <w:rFonts w:hint="eastAsia" w:ascii="仿宋_GB2312" w:eastAsia="仿宋_GB2312"/>
          <w:b w:val="0"/>
          <w:sz w:val="32"/>
          <w:szCs w:val="32"/>
        </w:rPr>
        <w:t>本年在职和临聘人员减少共15人，</w:t>
      </w:r>
      <w:r>
        <w:rPr>
          <w:rFonts w:hint="eastAsia" w:ascii="仿宋_GB2312" w:eastAsia="仿宋_GB2312"/>
          <w:b w:val="0"/>
          <w:sz w:val="32"/>
          <w:szCs w:val="32"/>
          <w:lang w:val="en-US" w:eastAsia="zh-CN"/>
        </w:rPr>
        <w:t>相应经费减少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2024年度政府采购支出总额90.25万元，其中：政府采购货物支出22.86万元、政府采购工程支出0.00万元、政府采购服务支出67.39万元。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授予中小企业合同金额3.07万元，占政府采购支出总额的3.40%，其中：授予小微企业合同金额1.14万元，占政府采购支出总额的1.26%。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25.00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rPr>
        <w:t>单位公务用车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1165.91</w:t>
      </w:r>
      <w:r>
        <w:rPr>
          <w:rFonts w:ascii="仿宋_GB2312" w:eastAsia="仿宋_GB2312"/>
          <w:b w:val="0"/>
          <w:sz w:val="32"/>
          <w:szCs w:val="32"/>
        </w:rPr>
        <w:t>万元，实际执行总额</w:t>
      </w:r>
      <w:r>
        <w:rPr>
          <w:rFonts w:hint="eastAsia" w:ascii="仿宋_GB2312" w:eastAsia="仿宋_GB2312"/>
          <w:b w:val="0"/>
          <w:sz w:val="32"/>
          <w:szCs w:val="32"/>
          <w:lang w:val="en-US" w:eastAsia="zh-CN"/>
        </w:rPr>
        <w:t>1165.91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9</w:t>
      </w:r>
      <w:r>
        <w:rPr>
          <w:rFonts w:ascii="仿宋_GB2312" w:eastAsia="仿宋_GB2312"/>
          <w:b w:val="0"/>
          <w:sz w:val="32"/>
          <w:szCs w:val="32"/>
        </w:rPr>
        <w:t>个，全年预算数</w:t>
      </w:r>
      <w:r>
        <w:rPr>
          <w:rFonts w:hint="eastAsia" w:ascii="仿宋_GB2312" w:eastAsia="仿宋_GB2312"/>
          <w:b w:val="0"/>
          <w:sz w:val="32"/>
          <w:szCs w:val="32"/>
          <w:lang w:val="en-US" w:eastAsia="zh-CN"/>
        </w:rPr>
        <w:t>126.25</w:t>
      </w:r>
      <w:r>
        <w:rPr>
          <w:rFonts w:ascii="仿宋_GB2312" w:eastAsia="仿宋_GB2312"/>
          <w:b w:val="0"/>
          <w:sz w:val="32"/>
          <w:szCs w:val="32"/>
        </w:rPr>
        <w:t>万元，全年执行数</w:t>
      </w:r>
      <w:r>
        <w:rPr>
          <w:rFonts w:hint="eastAsia" w:ascii="仿宋_GB2312" w:eastAsia="仿宋_GB2312"/>
          <w:b w:val="0"/>
          <w:sz w:val="32"/>
          <w:szCs w:val="32"/>
          <w:lang w:val="en-US" w:eastAsia="zh-CN"/>
        </w:rPr>
        <w:t>126.25</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-333375</wp:posOffset>
            </wp:positionH>
            <wp:positionV relativeFrom="paragraph">
              <wp:posOffset>47625</wp:posOffset>
            </wp:positionV>
            <wp:extent cx="6555740" cy="7717790"/>
            <wp:effectExtent l="0" t="0" r="16510" b="1651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555740" cy="77177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-361950</wp:posOffset>
            </wp:positionH>
            <wp:positionV relativeFrom="paragraph">
              <wp:posOffset>0</wp:posOffset>
            </wp:positionV>
            <wp:extent cx="6174740" cy="8047355"/>
            <wp:effectExtent l="0" t="0" r="16510" b="10795"/>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6174740" cy="804735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-333375</wp:posOffset>
            </wp:positionH>
            <wp:positionV relativeFrom="paragraph">
              <wp:posOffset>9525</wp:posOffset>
            </wp:positionV>
            <wp:extent cx="6297930" cy="7934325"/>
            <wp:effectExtent l="0" t="0" r="7620" b="9525"/>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6297930" cy="793432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-285750</wp:posOffset>
            </wp:positionH>
            <wp:positionV relativeFrom="paragraph">
              <wp:posOffset>19050</wp:posOffset>
            </wp:positionV>
            <wp:extent cx="6318250" cy="7648575"/>
            <wp:effectExtent l="0" t="0" r="6350" b="9525"/>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6318250" cy="76485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-133350</wp:posOffset>
            </wp:positionH>
            <wp:positionV relativeFrom="paragraph">
              <wp:posOffset>38100</wp:posOffset>
            </wp:positionV>
            <wp:extent cx="6137275" cy="8599170"/>
            <wp:effectExtent l="0" t="0" r="15875" b="1143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6137275" cy="85991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-342900</wp:posOffset>
            </wp:positionH>
            <wp:positionV relativeFrom="paragraph">
              <wp:posOffset>38100</wp:posOffset>
            </wp:positionV>
            <wp:extent cx="6530975" cy="7585075"/>
            <wp:effectExtent l="0" t="0" r="3175" b="15875"/>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6530975" cy="75850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-447675</wp:posOffset>
            </wp:positionH>
            <wp:positionV relativeFrom="paragraph">
              <wp:posOffset>9525</wp:posOffset>
            </wp:positionV>
            <wp:extent cx="6616065" cy="3667760"/>
            <wp:effectExtent l="0" t="0" r="13335" b="8890"/>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6616065" cy="366776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-457200</wp:posOffset>
            </wp:positionH>
            <wp:positionV relativeFrom="paragraph">
              <wp:posOffset>47625</wp:posOffset>
            </wp:positionV>
            <wp:extent cx="6570345" cy="3173095"/>
            <wp:effectExtent l="0" t="0" r="1905" b="8255"/>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6570345" cy="317309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-523875</wp:posOffset>
            </wp:positionH>
            <wp:positionV relativeFrom="paragraph">
              <wp:posOffset>19050</wp:posOffset>
            </wp:positionV>
            <wp:extent cx="6829425" cy="3468370"/>
            <wp:effectExtent l="0" t="0" r="9525" b="17780"/>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6829425" cy="34683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BB70DAE"/>
    <w:rsid w:val="1E1F5599"/>
    <w:rsid w:val="263D11AE"/>
    <w:rsid w:val="28DC53BE"/>
    <w:rsid w:val="39D1566E"/>
    <w:rsid w:val="3B6C2DF5"/>
    <w:rsid w:val="53532162"/>
    <w:rsid w:val="65E1306A"/>
    <w:rsid w:val="68C848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2025-08-14T08:49:00Z</dcterms:created>
  <dc:creator>Administrator</dc:creator>
  <cp:lastModifiedBy>Administrator</cp:lastModifiedBy>
  <dcterms:modified xsi:type="dcterms:W3CDTF">2025-08-20T04:56:55Z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