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附件4：</w:t>
      </w: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部门单位整体支出绩效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2024</w:t>
      </w:r>
      <w:r>
        <w:rPr>
          <w:rFonts w:hint="eastAsia" w:hAnsi="宋体" w:eastAsia="仿宋_GB2312" w:cs="宋体"/>
          <w:kern w:val="0"/>
          <w:sz w:val="36"/>
          <w:szCs w:val="36"/>
        </w:rPr>
        <w:t>年度）</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540" w:lineRule="exact"/>
        <w:ind w:firstLine="720" w:firstLineChars="200"/>
        <w:rPr>
          <w:rFonts w:hAnsi="宋体" w:eastAsia="仿宋_GB2312" w:cs="宋体"/>
          <w:kern w:val="0"/>
          <w:sz w:val="44"/>
          <w:szCs w:val="44"/>
        </w:rPr>
      </w:pPr>
      <w:r>
        <w:rPr>
          <w:rFonts w:hint="eastAsia" w:hAnsi="宋体" w:eastAsia="仿宋_GB2312" w:cs="宋体"/>
          <w:kern w:val="0"/>
          <w:sz w:val="36"/>
          <w:szCs w:val="36"/>
        </w:rPr>
        <w:t>部门单位名称（公章）</w:t>
      </w:r>
      <w:r>
        <w:rPr>
          <w:rFonts w:hint="eastAsia" w:ascii="仿宋" w:hAnsi="仿宋" w:eastAsia="仿宋" w:cs="仿宋"/>
          <w:kern w:val="0"/>
          <w:sz w:val="44"/>
          <w:szCs w:val="44"/>
        </w:rPr>
        <w:t>：</w:t>
      </w:r>
      <w:r>
        <w:rPr>
          <w:rStyle w:val="6"/>
          <w:rFonts w:hint="eastAsia" w:ascii="仿宋" w:hAnsi="仿宋" w:eastAsia="仿宋" w:cs="仿宋"/>
          <w:b w:val="0"/>
          <w:bCs w:val="0"/>
          <w:spacing w:val="-4"/>
          <w:sz w:val="44"/>
          <w:szCs w:val="44"/>
        </w:rPr>
        <w:t>中国国民党革命委员会库尔勒市委员会</w:t>
      </w:r>
    </w:p>
    <w:p>
      <w:pPr>
        <w:spacing w:line="540" w:lineRule="exact"/>
        <w:ind w:firstLine="720" w:firstLineChars="200"/>
        <w:rPr>
          <w:rFonts w:ascii="仿宋" w:hAnsi="仿宋" w:eastAsia="仿宋" w:cs="仿宋"/>
          <w:kern w:val="0"/>
          <w:sz w:val="44"/>
          <w:szCs w:val="44"/>
        </w:rPr>
      </w:pPr>
      <w:r>
        <w:rPr>
          <w:rFonts w:hint="eastAsia" w:hAnsi="宋体" w:eastAsia="仿宋_GB2312" w:cs="宋体"/>
          <w:kern w:val="0"/>
          <w:sz w:val="36"/>
          <w:szCs w:val="36"/>
        </w:rPr>
        <w:t>填报时间：</w:t>
      </w:r>
      <w:r>
        <w:rPr>
          <w:rStyle w:val="6"/>
          <w:rFonts w:hint="eastAsia" w:ascii="仿宋" w:hAnsi="仿宋" w:eastAsia="仿宋" w:cs="仿宋"/>
          <w:b w:val="0"/>
          <w:bCs w:val="0"/>
          <w:spacing w:val="-4"/>
          <w:sz w:val="44"/>
          <w:szCs w:val="44"/>
        </w:rPr>
        <w:t>2025年04月29日</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基本概况：</w:t>
      </w:r>
    </w:p>
    <w:p>
      <w:pPr>
        <w:spacing w:line="600" w:lineRule="exact"/>
        <w:ind w:firstLine="964" w:firstLineChars="300"/>
        <w:jc w:val="left"/>
        <w:rPr>
          <w:rFonts w:hint="eastAsia" w:ascii="Arial" w:hAnsi="Arial" w:cs="Arial"/>
          <w:b/>
          <w:bCs/>
          <w:color w:val="333333"/>
          <w:sz w:val="30"/>
          <w:szCs w:val="30"/>
        </w:rPr>
      </w:pPr>
      <w:r>
        <w:rPr>
          <w:rFonts w:hint="eastAsia" w:ascii="黑体" w:hAnsi="黑体" w:eastAsia="黑体" w:cs="宋体"/>
          <w:b/>
          <w:color w:val="000000" w:themeColor="text1"/>
          <w:sz w:val="32"/>
          <w:szCs w:val="32"/>
          <w:lang w:bidi="ar"/>
          <w14:textFill>
            <w14:solidFill>
              <w14:schemeClr w14:val="tx1"/>
            </w14:solidFill>
          </w14:textFill>
        </w:rPr>
        <w:t>（一）</w:t>
      </w:r>
      <w:r>
        <w:rPr>
          <w:rFonts w:ascii="黑体" w:hAnsi="黑体" w:eastAsia="黑体" w:cs="宋体"/>
          <w:b/>
          <w:color w:val="000000" w:themeColor="text1"/>
          <w:sz w:val="32"/>
          <w:szCs w:val="32"/>
          <w:lang w:bidi="ar"/>
          <w14:textFill>
            <w14:solidFill>
              <w14:schemeClr w14:val="tx1"/>
            </w14:solidFill>
          </w14:textFill>
        </w:rPr>
        <w:t>部门单位基本情况</w:t>
      </w:r>
      <w:r>
        <w:rPr>
          <w:rFonts w:hint="eastAsia" w:ascii="Arial" w:hAnsi="Arial" w:cs="Arial"/>
          <w:b/>
          <w:bCs/>
          <w:color w:val="333333"/>
          <w:sz w:val="30"/>
          <w:szCs w:val="30"/>
        </w:rPr>
        <w:t>：</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1.主要职能</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 xml:space="preserve">（1）围绕巴州党委、库尔勒市委，市人民政府的中心工作开展参政议政、民主监督工作； </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 xml:space="preserve">（2）开展形式多样的社会服务工作； </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 xml:space="preserve">（3）发挥民革特色，促进祖国统一； </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（4）加强组织建设工作等。</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2.机构设置及人员情况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中国民党革命委员会库尔勒市委员会包括本级机关及0个直属事业部门，机关内设1个科室（办公室）。</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中国民党革命委员会库尔勒市委员会编制数3，实有人数7人，其中：在职3人，增加0人；退休4人，增加0人；离休0人，增加0人。</w:t>
      </w:r>
      <w:bookmarkStart w:id="0" w:name="_Hlk43849111"/>
      <w:bookmarkEnd w:id="0"/>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（二）</w:t>
      </w:r>
      <w:r>
        <w:rPr>
          <w:rFonts w:ascii="黑体" w:hAnsi="黑体" w:eastAsia="黑体" w:cs="宋体"/>
          <w:b/>
          <w:color w:val="000000" w:themeColor="text1"/>
          <w:sz w:val="32"/>
          <w:szCs w:val="32"/>
          <w:lang w:bidi="ar"/>
          <w14:textFill>
            <w14:solidFill>
              <w14:schemeClr w14:val="tx1"/>
            </w14:solidFill>
          </w14:textFill>
        </w:rPr>
        <w:t>部门单位年度重点工作：</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1.年度总体目标</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 xml:space="preserve">目标1，加强理论学习研究、强化宣传引导，团结引领市民革党员进一步增进思想共识，坚定政治信念，筑牢夯实思想政治基础;目标2，坚持守正创新，做好新时代思想宣传工作;目标3，提高组织建设水平，强化干部和人才基础，为民革事业提供有力的组织保证;目标4，不断提升履职能力，聚焦高质量发展建言献策;目标5，扎实做好社会服务工作;目标6，春节期间走访慰问民革党员、机关退休职工和参加“访惠聚”工作的机关干部。                                                                                                                                                              </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 xml:space="preserve">                                                                                                                                                                                                                                                                        </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 xml:space="preserve"> 2.重点工作计划</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一要进一步夯实共同思想政治基础。继续将深入学习宣传贯彻习近平新时代中国特色社会主义思想和党的二十大精神</w:t>
      </w:r>
      <w:bookmarkStart w:id="1" w:name="_GoBack"/>
      <w:bookmarkEnd w:id="1"/>
      <w:r>
        <w:rPr>
          <w:rFonts w:hint="eastAsia" w:ascii="仿宋_GB2312" w:hAnsi="宋体" w:eastAsia="仿宋_GB2312"/>
          <w:bCs/>
          <w:sz w:val="32"/>
          <w:szCs w:val="32"/>
        </w:rPr>
        <w:t>，第三次中央新疆工作座谈会精神作为首要政治任务，坚决维护以习近平同志为核心的中共中央权威和集中统一领导，按照中国特色社会主义新时代对民主党派思想建设提出的新要求，加强理论学习研究、强化宣传引导，团结引领市民革党员进一步增进思想共识，坚定政治信念，筑牢夯实思想政治基础。</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二要进一步加强自身能力建设。强化班子建设，充分发挥引领示范作用，营造积极向上、团结合作的良好氛围；注重高层次人才的发展与培养，全面加强市民革干部队伍建设；加强基层组织建设；提升机关干部各项技能，进一步压实责任，开创机关工作新局面。</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三要进一步凸显参政议政工作亮点。将参政议政所需要的人才作为组织发展工作的重点，把参政议政能力作为发现、使用、培养人才的重要标准，持续加强参政议政人才队伍建设。不断改进和完善参政议政工作机制，对在工作实践中形成的一些好方法、好经验，及时加以总结提升。探索建立“上下联动，区域协作”的重点课题调研机制，鼓励开展联合调研，提升调研深度和成果质量,全年调研活动不少于3次。将参政议政与社会服务相结合，为参政议政提供“接地气”的素材和务实的解决问题的思路。提高参政议政成果转化实效，加强对重大成果宣传力度，扩大市民革影响力，全年提交议案提案及社情民意不少于15件。</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四要进一步打造社会服务工作品牌。在常态化落实维稳工作、下基层、开展民主监督以及开展“博爱·牵手”“三下乡”活动的基础上，进一步拓展市民革新的社会阶层人士联谊会活动内容，充分发挥市民革资源优势，形成合力，切实打造有影响力的社会服务工作品牌。</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五要进一步推动祖统工作持续发展。进一步组织党员深入学习贯彻习近平总书记对台工作系列重要指示精神，紧紧围绕两岸关系和平发展主题，充分发挥台属中民革党员的联系纽带作用。抓住孙中山先生纪念活动有利契机，广泛传承孙中山先生爱国革命不断进步的精神。继续关爱抗战老兵及烈属，弘扬抗战精神，为促进祖国和平统一作出更大贡献。</w:t>
      </w:r>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（三）</w:t>
      </w:r>
      <w:r>
        <w:rPr>
          <w:rFonts w:ascii="黑体" w:hAnsi="黑体" w:eastAsia="黑体" w:cs="宋体"/>
          <w:b/>
          <w:color w:val="000000" w:themeColor="text1"/>
          <w:sz w:val="32"/>
          <w:szCs w:val="32"/>
          <w:lang w:bidi="ar"/>
          <w14:textFill>
            <w14:solidFill>
              <w14:schemeClr w14:val="tx1"/>
            </w14:solidFill>
          </w14:textFill>
        </w:rPr>
        <w:t>部门单位整体预算规模及安排情况：</w:t>
      </w:r>
    </w:p>
    <w:p>
      <w:pPr>
        <w:spacing w:line="600" w:lineRule="exact"/>
        <w:ind w:firstLine="960" w:firstLineChars="300"/>
        <w:jc w:val="left"/>
        <w:rPr>
          <w:rFonts w:hint="eastAsia" w:ascii="仿宋_GB2312" w:hAnsi="宋体" w:eastAsia="仿宋_GB2312"/>
          <w:bCs/>
          <w:sz w:val="32"/>
          <w:szCs w:val="32"/>
        </w:rPr>
      </w:pPr>
      <w:r>
        <w:rPr>
          <w:rFonts w:hint="eastAsia" w:ascii="仿宋_GB2312" w:hAnsi="宋体" w:eastAsia="仿宋_GB2312"/>
          <w:bCs/>
          <w:sz w:val="32"/>
          <w:szCs w:val="32"/>
        </w:rPr>
        <w:t>2024年中国民党革命委员会库尔勒市委员会年初预算安排62.19万元，其中财政拨款62.19万元，其他资金0万元，主要用于基本工资、津贴补贴、奖金、机关事业部门基本养老保险缴费、职业年金缴费、职工基本医疗保险缴费、办公费、差旅费、维修（护）费、福利费、退休费，抚恤金，生活补助，其他个人补助支出等。年中调减7.03万元，调整后全年预算55.16万元，预算调整率11.3%，调整预算的主要原因为厉行节约理念，严控一般性支出。</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部门单位整体支出管理及使用情况：</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（一）部门单位整体支出管理情况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1.预算编制</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2024年市民革坚持围绕中心工作，科学谋划预算资金安排，依据规定程序和要求，及时完成部门预算编制申报，同时合理设定入库项目绩效指标、年度目标值，科学构建部门整体支出核心绩效指标体系和编报部门整体预算申请绩效报告，推动提高财政资金配置效益。</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2.预算执行</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库尔勒市财政批复预算后，市民革按要求及时制定并报批部门预算支出计划，严格落实预算执行定期分析机制，靠前抓好支出执行，坚持严肃财经纪律，硬化预算约束，持续树牢厉行节约理念，严控一般性支出，努力降低行政运行成本。</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3.绩效管理</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2024年，市民革严格按照财政要求，落实预算绩效管理全过程，包括①注重绩效目标编制，预算编制环节注重编细编实预算需求，科学选择绩效指标，合理设置绩效目标值，并严格按照财政统一要求，规范编制事前绩效报告，为财政资金发挥效益夯实基础。②落实绩效“双监控”，预算执行过程中，以年度支出计划为基础，定期分析预算执行和绩效目标落实情况，并依托财政预算绩效管理平台分5月、8月对预算执行动态进行实时监控，发现问题及时纠偏，确保绩效目标落地落实。③扎实开展自评工作，年度终了，扎实开展预算绩效目标完成情况部门审核和自评工作。</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4.信息公开</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市民革已按要求在库尔勒市人民政府门户网站公开部门预算信息，同步公开绩效目标表；在库尔勒市人民政府门户网站公开部门决算信息，同步公开自评表及自评报告。</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（二）部门单位整体支出使用情况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1.基本支出情况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2024年基本支出55.16万元，包括工资福利支出48.36万元，商品和服务支出4.05万元，对个人和家庭的补助2.75万元，资本性支出0万元。其中：“三公”经费支出0.27万元，比上年增加0万元，主要原因是厉行节约理念，严控支出，与上年经费持平；会议费支出0万元，比上年增加0万元，主要原因是未安排会议费用支出，与上年经费持平；培训费支出0.1万元，比上年增加0.04万元，主要原因是根据民革工作要求，精准聚集核心培训需求，培训活动有所增加。</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2.专项资金支出情况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2024年专项项目支出0万元，占总支出的0％，本部门未安排项目支出。</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3.部门单位专项组织实施情况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年初库尔勒市民革下发的2024年工作计划，对项目的工作分工、任务分配、资金落实、完成时限等提出了明确、具体的要求，以确保项目保质、保量、按时完成。无项目支出。</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为规范专项资金使用，提高专项资金使用效益，库尔勒市民革主要采取四项措施。一是完善制度建设；二是加强预算管理；三是强化监督检查；四是注重绩效评估。切实保证专项资金都做到了专款专用。</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（1）为加强对市民革专项资金使用的管理，制定了《民革专项资金管理办法》，严格规定了专项资金的预算编制、审批流程、使用范围和监督检查等内容，提高资金使用的规范性、安全性和有效性。　　　　　　　　　　　　　　　　　　　　</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在预算编制过程中，充分结合库尔勒市民革年度工作计划和重点任务，进行科学合理的资金安排。对各项收支进行细致预测，提高预算的准确性和前瞻性。同时，加强预算执行监控，定期对预算执行情况进行分析，及时发现并解决预算执行情况中的偏差问题，通过严格控制预算支出，确保库尔勒市民革有限的资金能够集中用于关键业务，提高了资金使用效率。</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3）成立了内部监督小组，定期对专项工作的开展情况进行检查。监督小组依据各项工作制度和流程，对工作程序的合规性、工作质量的达标情况以及资金使用的合理性等进行全面审查。提升了部门专项工作的执行率和质量，保障了各项工作任务的顺利完成。</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4）在绩效评估指标设定上，紧密围绕市民革的职能和专项工作目标，从工作完成情况、工作质量、社会效益等多个维度构建了一套全面、客观、可量化的主体指标体系。在绩效评估实施过程中，定期收集相关数据和信息，运用科学的评估方法和工具，对专项工作进行综合评价。有力促进了工作质量和效益的提升，更好地服务侨胞和经济社会发展大局。</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部门单位整体支出绩效分析：</w:t>
      </w:r>
    </w:p>
    <w:p>
      <w:pPr>
        <w:spacing w:line="600" w:lineRule="exact"/>
        <w:ind w:firstLine="800" w:firstLineChars="250"/>
        <w:jc w:val="left"/>
        <w:rPr>
          <w:rFonts w:ascii="仿宋_GB2312" w:hAnsi="宋体" w:eastAsia="仿宋_GB2312"/>
          <w:b/>
          <w:sz w:val="32"/>
          <w:szCs w:val="32"/>
        </w:rPr>
      </w:pPr>
      <w:r>
        <w:rPr>
          <w:rFonts w:hint="eastAsia" w:ascii="黑体" w:hAnsi="黑体" w:eastAsia="黑体" w:cs="宋体"/>
          <w:bCs/>
          <w:color w:val="333333"/>
          <w:sz w:val="32"/>
          <w:szCs w:val="32"/>
          <w:lang w:bidi="ar"/>
        </w:rPr>
        <w:t xml:space="preserve"> </w:t>
      </w:r>
      <w:r>
        <w:rPr>
          <w:rFonts w:hint="eastAsia" w:ascii="仿宋_GB2312" w:hAnsi="宋体" w:eastAsia="仿宋_GB2312"/>
          <w:bCs/>
          <w:sz w:val="32"/>
          <w:szCs w:val="32"/>
        </w:rPr>
        <w:t>（一）预算执行情况分析</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2024年中国民党革命委员会库尔勒市委员会总支出55.16万元，预算执行率100%，其中一般公共服务支出40.02万元，教育支出0.1万元，社会保障和就业支出7.73万元，卫生健康支出3.20万元，住房保障支出4.11万元。</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1.基本支出使用情况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2024年，中国民党革命委员会库尔勒市委员会基本支出55.16万元，占总支出的100％，其中：一般公共服务支出40.02万元，教育支出0.1万元，社会保障和就业支出7.73万元，卫生健康支出3.20万元，住房保障支出4.11万元。</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2.项目支出使用情况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2024年，中国民党革命委员会库尔勒市委员会项目支出0万元。</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（二）部门单位整体支出绩效指标完成情况分析</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年初我部门设置部门整体绩效目标中包括一级指标1个，二级指标1个，三级指标4个，指标完成情况分析如下：</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1.运行成本</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无此项指标。</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2.管理效率</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无此项指标。</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3.履职效能</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（1）数量指标</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指标1：开展各类活动次数，指标值：&gt;=6次 ，年中监控完成值：3次，自评完成值：6次，指标完成率100%，偏差0%，无偏差。指标成效分析：通过组织民革党员开展形式多样的活动，调动民革党员参与组织活动的积极性，从而提高民革组织的凝聚力和向心力。</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指标2：走访慰问民革党员人数，指标值：&gt;=30人，年中监控完成值：22人，自评完成值：30人 ，指标完成率100 %偏差0%，无偏差。指标成效分析：通过走访慰问民革党员，使得他们能够感受到组织的关心和温暖，从而增强党员对组织的信任和归属感。</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指标3：开展调研活动次数，指标值：=3次，年中监控完成值：2次，自评完成值：3次 ，指标完成率100%，无偏差。指标成效分析：通过开展调研活动，探索建立“上下联动，区域协作”的重点课题调研机制，从而增加调研深度和成果质量，有利于提升履职能力，聚焦高质量发展建言献策。</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指标4：提交社情民意及议案提案数量，指标值：&gt;=15件，年中监控完成值：15件，自评完成值：30件，指标完成率200%，偏差率100%，偏差原因：绩效目标制定不够精确。改进措施:认真学习分析近年数据，科学合理设定绩效目标。指标成效分析：通过提交社情民意和议案提案，民革组织更好的履行职能，做好中国共产党的参谋和助手，从而促进政府决策的科学化和民主化。</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4.社会效益</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无此项指标。</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5.可持续发展能力</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无此项指标。</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6.服务对象满意度</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无此项指标。</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评价结论：</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2024年度部门整体支出绩效评价综合得分100分，评价结果为“优”。</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存在的主要问题及原因分析：</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（一）预算绩效专业知识不足</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对预算绩效的认识还不够深入，相关知识了解还不够、掌握还不够多，把绩效管理简单等同于工作目标、工作考核和业务管理。</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（二）固定资产账务管理不够细致、严谨</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本部门固定资产账务管理存在入账不及时、漏入、入账信息、金额不准确或资产台账未登记到具体使用人等问题。</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（三）工作创新能力不足</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本部门在工作方式方法创新方面还存在欠缺，部分工作习惯于按传统模式推进，缺乏对新情况、新问题的研究和探索，导致工作效果不够理想。</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改进措施和建议：</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（一）强化专业知识学习</w:t>
      </w:r>
      <w:r>
        <w:rPr>
          <w:rFonts w:hint="eastAsia" w:ascii="仿宋_GB2312" w:hAnsi="宋体" w:eastAsia="仿宋_GB2312"/>
          <w:bCs/>
          <w:sz w:val="32"/>
          <w:szCs w:val="32"/>
        </w:rPr>
        <w:br w:type="textWrapping"/>
      </w:r>
      <w:r>
        <w:rPr>
          <w:rFonts w:hint="eastAsia" w:ascii="仿宋_GB2312" w:hAnsi="宋体" w:eastAsia="仿宋_GB2312"/>
          <w:bCs/>
          <w:sz w:val="32"/>
          <w:szCs w:val="32"/>
        </w:rPr>
        <w:t>一在加强自身绩效理念，科学合理编制绩效目标，需要进一步加强对资金绩效管理的重视程度。二是加强学习，借鉴同行绩效管理工作中好的经验，边工作、边学习、边积累，增加专业性强的技能储备，努力做到程序规范，以满足当前绩效管理要求。</w:t>
      </w:r>
      <w:r>
        <w:rPr>
          <w:rFonts w:hint="eastAsia" w:ascii="仿宋_GB2312" w:hAnsi="宋体" w:eastAsia="仿宋_GB2312"/>
          <w:bCs/>
          <w:sz w:val="32"/>
          <w:szCs w:val="32"/>
        </w:rPr>
        <w:br w:type="textWrapping"/>
      </w:r>
      <w:r>
        <w:rPr>
          <w:rFonts w:hint="eastAsia" w:ascii="仿宋_GB2312" w:hAnsi="宋体" w:eastAsia="仿宋_GB2312"/>
          <w:bCs/>
          <w:sz w:val="32"/>
          <w:szCs w:val="32"/>
        </w:rPr>
        <w:t>（二）加强固定资产账务管理，确保账实相符</w:t>
      </w:r>
      <w:r>
        <w:rPr>
          <w:rFonts w:hint="eastAsia" w:ascii="仿宋_GB2312" w:hAnsi="宋体" w:eastAsia="仿宋_GB2312"/>
          <w:bCs/>
          <w:sz w:val="32"/>
          <w:szCs w:val="32"/>
        </w:rPr>
        <w:br w:type="textWrapping"/>
      </w:r>
      <w:r>
        <w:rPr>
          <w:rFonts w:hint="eastAsia" w:ascii="仿宋_GB2312" w:hAnsi="宋体" w:eastAsia="仿宋_GB2312"/>
          <w:bCs/>
          <w:sz w:val="32"/>
          <w:szCs w:val="32"/>
        </w:rPr>
        <w:t>一是加强年度政府采购台账和固定资产台账信息的比对，避免资产漏入、少入或录入不及时，二是资产领用应尽可能明确到具体使用人。三是资产入账时相关人员应再次确认发票、合同信息，避免基础信息录入错误。</w:t>
      </w:r>
      <w:r>
        <w:rPr>
          <w:rFonts w:hint="eastAsia" w:ascii="仿宋_GB2312" w:hAnsi="宋体" w:eastAsia="仿宋_GB2312"/>
          <w:bCs/>
          <w:sz w:val="32"/>
          <w:szCs w:val="32"/>
        </w:rPr>
        <w:br w:type="textWrapping"/>
      </w:r>
      <w:r>
        <w:rPr>
          <w:rFonts w:hint="eastAsia" w:ascii="仿宋_GB2312" w:hAnsi="宋体" w:eastAsia="仿宋_GB2312"/>
          <w:bCs/>
          <w:sz w:val="32"/>
          <w:szCs w:val="32"/>
        </w:rPr>
        <w:t>（三）勇于创新，营造良好的氛围</w:t>
      </w:r>
      <w:r>
        <w:rPr>
          <w:rFonts w:hint="eastAsia" w:ascii="仿宋_GB2312" w:hAnsi="宋体" w:eastAsia="仿宋_GB2312"/>
          <w:bCs/>
          <w:sz w:val="32"/>
          <w:szCs w:val="32"/>
        </w:rPr>
        <w:br w:type="textWrapping"/>
      </w:r>
      <w:r>
        <w:rPr>
          <w:rFonts w:hint="eastAsia" w:ascii="仿宋_GB2312" w:hAnsi="宋体" w:eastAsia="仿宋_GB2312"/>
          <w:bCs/>
          <w:sz w:val="32"/>
          <w:szCs w:val="32"/>
        </w:rPr>
        <w:t>鼓励干部职工解放思想，勇于创新，积极探索工作的新思路、新方法、新举措。加强对工作的研究和分析，不断创新工作载体和活动形式，提高工作的吸引力和影响力。建立激励机制，对在工作创新方面取得突出成绩的个人给予表彰和奖励，营造良好的创新氛围。</w:t>
      </w:r>
    </w:p>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AwZmYzMDUwNzhmYmVmMzNlY2I1MjAwNzI2NzY5MDUifQ=="/>
  </w:docVars>
  <w:rsids>
    <w:rsidRoot w:val="00EB3604"/>
    <w:rsid w:val="00021B05"/>
    <w:rsid w:val="000B791B"/>
    <w:rsid w:val="001C7F2C"/>
    <w:rsid w:val="00340E58"/>
    <w:rsid w:val="003E45AA"/>
    <w:rsid w:val="00486CD9"/>
    <w:rsid w:val="00584481"/>
    <w:rsid w:val="00653C1A"/>
    <w:rsid w:val="0072543F"/>
    <w:rsid w:val="007A5D83"/>
    <w:rsid w:val="007A798C"/>
    <w:rsid w:val="007B51CE"/>
    <w:rsid w:val="007D7702"/>
    <w:rsid w:val="007E47F4"/>
    <w:rsid w:val="007F0F7C"/>
    <w:rsid w:val="00892E0B"/>
    <w:rsid w:val="008F0DCE"/>
    <w:rsid w:val="00916058"/>
    <w:rsid w:val="00AB72C1"/>
    <w:rsid w:val="00C10BB4"/>
    <w:rsid w:val="00CE0C6C"/>
    <w:rsid w:val="00DB647F"/>
    <w:rsid w:val="00DC7E33"/>
    <w:rsid w:val="00E40ABD"/>
    <w:rsid w:val="00E8616A"/>
    <w:rsid w:val="00EB3604"/>
    <w:rsid w:val="020B07BA"/>
    <w:rsid w:val="02656D15"/>
    <w:rsid w:val="06696209"/>
    <w:rsid w:val="0D1922F1"/>
    <w:rsid w:val="10DF6E84"/>
    <w:rsid w:val="1438599A"/>
    <w:rsid w:val="200F4073"/>
    <w:rsid w:val="24B86128"/>
    <w:rsid w:val="28C47C91"/>
    <w:rsid w:val="433C3082"/>
    <w:rsid w:val="51C70EA9"/>
    <w:rsid w:val="54F842B6"/>
    <w:rsid w:val="64F5745B"/>
    <w:rsid w:val="656071F2"/>
    <w:rsid w:val="6BF1756B"/>
    <w:rsid w:val="6F5E1AA3"/>
    <w:rsid w:val="7F200B83"/>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unhideWhenUsed/>
    <w:uiPriority w:val="1"/>
  </w:style>
  <w:style w:type="table" w:default="1" w:styleId="4">
    <w:name w:val="Normal Table"/>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57</Words>
  <Characters>328</Characters>
  <Lines>2</Lines>
  <Paragraphs>1</Paragraphs>
  <TotalTime>0</TotalTime>
  <ScaleCrop>false</ScaleCrop>
  <LinksUpToDate>false</LinksUpToDate>
  <CharactersWithSpaces>384</CharactersWithSpaces>
  <Application>WPS Office_11.8.2.10972_F1E327BC-269C-435d-A152-05C5408002CA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2020-06-04T05:22:00Z</dcterms:created>
  <dc:creator>hongbing liu</dc:creator>
  <cp:lastModifiedBy>lenovo</cp:lastModifiedBy>
  <dcterms:modified xsi:type="dcterms:W3CDTF">2025-09-02T03:09:14Z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4E2A216151A24EE5A190066F518526B7</vt:lpwstr>
  </property>
</Properties>
</file>