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hint="default" w:ascii="Times New Roman" w:hAnsi="Times New Roman" w:eastAsia="宋体" w:cs="Times New Roman"/>
          <w:sz w:val="32"/>
          <w:szCs w:val="32"/>
        </w:rPr>
      </w:pPr>
    </w:p>
    <w:p>
      <w:pPr>
        <w:widowControl/>
        <w:spacing w:before="0" w:beforeLines="0" w:beforeAutospacing="0" w:after="0" w:afterLines="0" w:afterAutospacing="0" w:line="240" w:lineRule="auto"/>
        <w:jc w:val="left"/>
        <w:rPr>
          <w:rFonts w:hint="default" w:ascii="Times New Roman" w:hAnsi="Times New Roman" w:eastAsia="宋体" w:cs="Times New Roman"/>
          <w:sz w:val="44"/>
          <w:szCs w:val="44"/>
        </w:rPr>
      </w:pPr>
    </w:p>
    <w:p>
      <w:pPr>
        <w:widowControl/>
        <w:spacing w:before="0" w:beforeLines="0" w:beforeAutospacing="0" w:after="0" w:afterLines="0" w:afterAutospacing="0" w:line="240" w:lineRule="auto"/>
        <w:jc w:val="left"/>
        <w:rPr>
          <w:rFonts w:hint="default" w:ascii="Times New Roman" w:hAnsi="Times New Roman" w:eastAsia="宋体" w:cs="Times New Roman"/>
          <w:sz w:val="44"/>
          <w:szCs w:val="44"/>
        </w:rPr>
      </w:pPr>
    </w:p>
    <w:p>
      <w:pPr>
        <w:widowControl/>
        <w:spacing w:before="0" w:beforeLines="0" w:beforeAutospacing="0" w:after="0" w:afterLines="0" w:afterAutospacing="0" w:line="240" w:lineRule="auto"/>
        <w:jc w:val="left"/>
        <w:rPr>
          <w:rFonts w:hint="default" w:ascii="Times New Roman" w:hAnsi="Times New Roman" w:eastAsia="宋体" w:cs="Times New Roman"/>
          <w:sz w:val="44"/>
          <w:szCs w:val="44"/>
        </w:rPr>
      </w:pPr>
    </w:p>
    <w:p>
      <w:pPr>
        <w:widowControl/>
        <w:spacing w:before="0" w:beforeLines="0" w:beforeAutospacing="0" w:after="0" w:afterLines="0" w:afterAutospacing="0" w:line="240" w:lineRule="auto"/>
        <w:jc w:val="center"/>
        <w:outlineLvl w:val="0"/>
        <w:rPr>
          <w:rFonts w:hint="default" w:ascii="Times New Roman" w:hAnsi="Times New Roman" w:eastAsia="黑体" w:cs="Times New Roman"/>
          <w:sz w:val="44"/>
          <w:szCs w:val="44"/>
        </w:rPr>
      </w:pPr>
      <w:r>
        <w:rPr>
          <w:rFonts w:hint="default" w:ascii="Times New Roman" w:hAnsi="Times New Roman" w:eastAsia="黑体" w:cs="Times New Roman"/>
          <w:b w:val="0"/>
          <w:sz w:val="44"/>
          <w:szCs w:val="44"/>
        </w:rPr>
        <w:t>中国国民党革命委员会库尔勒市委员会</w:t>
      </w:r>
    </w:p>
    <w:p>
      <w:pPr>
        <w:widowControl/>
        <w:spacing w:before="0" w:beforeLines="0" w:beforeAutospacing="0" w:after="0" w:afterLines="0" w:afterAutospacing="0" w:line="240" w:lineRule="auto"/>
        <w:jc w:val="center"/>
        <w:outlineLvl w:val="0"/>
        <w:rPr>
          <w:rFonts w:hint="default" w:ascii="Times New Roman" w:hAnsi="Times New Roman" w:eastAsia="黑体" w:cs="Times New Roman"/>
          <w:sz w:val="44"/>
          <w:szCs w:val="44"/>
        </w:rPr>
      </w:pPr>
      <w:r>
        <w:rPr>
          <w:rFonts w:hint="default" w:ascii="Times New Roman" w:hAnsi="Times New Roman" w:eastAsia="黑体" w:cs="Times New Roman"/>
          <w:b w:val="0"/>
          <w:sz w:val="44"/>
          <w:szCs w:val="44"/>
        </w:rPr>
        <w:t>2024年度部门决算公开说明</w:t>
      </w:r>
    </w:p>
    <w:p>
      <w:pPr>
        <w:widowControl/>
        <w:rPr>
          <w:rFonts w:hint="default" w:ascii="Times New Roman" w:hAnsi="Times New Roman" w:cs="Times New Roman"/>
        </w:rPr>
      </w:pPr>
      <w:r>
        <w:rPr>
          <w:rFonts w:hint="default" w:ascii="Times New Roman" w:hAnsi="Times New Roman" w:cs="Times New Roman"/>
          <w:b w:val="0"/>
          <w:sz w:val="0"/>
          <w:szCs w:val="0"/>
        </w:rPr>
        <w:br w:type="page"/>
      </w:r>
    </w:p>
    <w:p>
      <w:pPr>
        <w:widowControl/>
        <w:spacing w:before="0" w:beforeLines="0" w:beforeAutospacing="0" w:after="0" w:afterLines="0" w:afterAutospacing="0" w:line="240" w:lineRule="auto"/>
        <w:jc w:val="center"/>
        <w:rPr>
          <w:rFonts w:hint="default" w:ascii="Times New Roman" w:hAnsi="Times New Roman" w:eastAsia="黑体" w:cs="Times New Roman"/>
          <w:sz w:val="32"/>
          <w:szCs w:val="32"/>
        </w:rPr>
      </w:pPr>
      <w:r>
        <w:rPr>
          <w:rFonts w:hint="default" w:ascii="Times New Roman" w:hAnsi="Times New Roman" w:eastAsia="黑体" w:cs="Times New Roman"/>
          <w:b/>
          <w:sz w:val="32"/>
          <w:szCs w:val="32"/>
        </w:rPr>
        <w:t>目录</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第一部分部门概况</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一、主要职能</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二、机构设置及人员情况</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第二部分部门决算情况说明</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一、收入支出决算总体情况说明</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二、收入决算情况说明</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三、支出决算情况说明</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四、财政拨款收入支出决算总体情况说明</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五、一般公共预算财政拨款支出决算情况说明</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（一）一般公共预算财政拨款支出决算总体情况</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（二）一般公共预算财政拨款支出决算结构情况</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（三）一般公共预算财政拨款支出决算具体情况</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六、一般公共预算财政拨款基本支出决算情况说明</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九、财政拨款“三公”经费支出决算情况说明</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十、其他重要事项的情况说明</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（一）机关运行经费及公用经费支出情况</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（二）政府采购情况</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（三）国有资产占用情况说明</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十一、预算绩效的情况说明</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十二、其他需说明的事项</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第三部分专业名词解释</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第四部分部门决算报表（见附表）</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一、《收入支出决算总表》</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二、《收入决算表》</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三、《支出决算表》</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四、《财政拨款收入支出决算总表》</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五、《一般公共预算财政拨款支出决算表》</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六、《一般公共预算财政拨款基本支出决算表》</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七、《政府性基金预算财政拨款收入支出决算表》</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八、《国有资本经营预算财政拨款收入支出决算表》</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九、《财政拨款“三公”经费支出决算表》</w:t>
      </w:r>
    </w:p>
    <w:p>
      <w:pPr>
        <w:widowControl/>
        <w:rPr>
          <w:rFonts w:hint="default" w:ascii="Times New Roman" w:hAnsi="Times New Roman" w:cs="Times New Roman"/>
        </w:rPr>
      </w:pPr>
      <w:r>
        <w:rPr>
          <w:rFonts w:hint="default" w:ascii="Times New Roman" w:hAnsi="Times New Roman" w:cs="Times New Roman"/>
          <w:b w:val="0"/>
          <w:sz w:val="0"/>
          <w:szCs w:val="0"/>
        </w:rPr>
        <w:br w:type="page"/>
      </w:r>
    </w:p>
    <w:p>
      <w:pPr>
        <w:widowControl/>
        <w:spacing w:before="0" w:beforeLines="0" w:beforeAutospacing="0" w:after="0" w:afterLines="0" w:afterAutospacing="0" w:line="240" w:lineRule="auto"/>
        <w:jc w:val="center"/>
        <w:outlineLvl w:val="0"/>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第一部分部门概况</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一、主要职能</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围绕巴州党委、库尔勒市委、市人民政府的中心工作开展参政议政、民主监督工作；开展形式多样的社会服务工作；发挥民革特色，促进祖国统一；加强组织建设工作；以《中华人民共和国宪法》为根本活动准则，根据《中国国民党革命委员会章程》，团结全市民革党员，履行服务经济发展、参政议政、民主监督职能，开展社会服务，参与社会建设等。</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中国国民党革命委员会库尔勒市委员会2024年度，实有人数7人，其中：在职人员3人，较上年无变化；离休人员0人，较上年无变化；退休人员4人，较上年无变化；</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从部门决算单位构成看，中国国民党革命委员会库尔勒市委员会部门决算包括：中国国民党革命委员会库尔勒市委员会本级决算及所属单位决算。</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中国国民党革命委员会库尔勒市委员会本级下设</w:t>
      </w:r>
      <w:r>
        <w:rPr>
          <w:rFonts w:hint="default" w:ascii="Times New Roman" w:hAnsi="Times New Roman" w:eastAsia="仿宋_GB2312" w:cs="Times New Roman"/>
          <w:b w:val="0"/>
          <w:sz w:val="32"/>
          <w:szCs w:val="32"/>
          <w:lang w:val="en-US" w:eastAsia="zh-CN"/>
        </w:rPr>
        <w:t>0</w:t>
      </w:r>
      <w:r>
        <w:rPr>
          <w:rFonts w:hint="default" w:ascii="Times New Roman" w:hAnsi="Times New Roman" w:eastAsia="仿宋_GB2312" w:cs="Times New Roman"/>
          <w:b w:val="0"/>
          <w:sz w:val="32"/>
          <w:szCs w:val="32"/>
        </w:rPr>
        <w:t>个</w:t>
      </w:r>
      <w:r>
        <w:rPr>
          <w:rFonts w:hint="default" w:ascii="Times New Roman" w:hAnsi="Times New Roman" w:eastAsia="仿宋_GB2312" w:cs="Times New Roman"/>
          <w:b w:val="0"/>
          <w:sz w:val="32"/>
          <w:szCs w:val="32"/>
          <w:lang w:val="en-US" w:eastAsia="zh-CN"/>
        </w:rPr>
        <w:t>预算单位，机关内设1个科室（办公室）。</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纳入中国国民党革命委员会库尔勒市委员会2024年度部门决算编制范围的下属预算单位包括：中国国民党革命委员会库尔勒市委员会</w:t>
      </w:r>
      <w:r>
        <w:rPr>
          <w:rFonts w:hint="default" w:ascii="Times New Roman" w:hAnsi="Times New Roman" w:eastAsia="仿宋_GB2312" w:cs="Times New Roman"/>
          <w:b w:val="0"/>
          <w:sz w:val="32"/>
          <w:szCs w:val="32"/>
          <w:lang w:eastAsia="zh-CN"/>
        </w:rPr>
        <w:t>。</w:t>
      </w:r>
    </w:p>
    <w:p>
      <w:pPr>
        <w:widowControl/>
        <w:rPr>
          <w:rFonts w:hint="default" w:ascii="Times New Roman" w:hAnsi="Times New Roman" w:cs="Times New Roman"/>
        </w:rPr>
      </w:pPr>
      <w:r>
        <w:rPr>
          <w:rFonts w:hint="default" w:ascii="Times New Roman" w:hAnsi="Times New Roman" w:cs="Times New Roman"/>
          <w:b w:val="0"/>
          <w:sz w:val="0"/>
          <w:szCs w:val="0"/>
        </w:rPr>
        <w:br w:type="page"/>
      </w:r>
    </w:p>
    <w:p>
      <w:pPr>
        <w:widowControl/>
        <w:spacing w:before="0" w:beforeLines="0" w:beforeAutospacing="0" w:after="0" w:afterLines="0" w:afterAutospacing="0" w:line="240" w:lineRule="auto"/>
        <w:jc w:val="center"/>
        <w:outlineLvl w:val="0"/>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2024年度收入总计55.16万元，其中：本年收入合计55.16万元，使用非财政拨款结余（含专用结余）0.00万元，年初结转和结余0.00万元。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2024年度支出总计55.16万元，其中：本年支出合计55.16万元，结余分配0.00万元，年末结转和结余0.00万元。</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收入支出总体与上年相比，增加0.56万元，增长1.03%，主要原因是：人员工资增长，社保、公积金基数调增，人员经费增加。</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二、收入决算情况说明</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本年收入55.16万元，其中：财政拨款收入55.16万元,占100.00%；上级补助收入0.00万元,占0.00%；事业收入0.00万元，占0.00%；经营收入0.00万元,占0.00%；附属单位上缴收入0.00万元，占0.00%；其他收入0.00万元，占0.00%。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三、支出决算情况说明</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本年支出55.16万元，其中：基本支出55.16万元，占100.00%；项目支出0.00万元，占0.00%；上缴上级支出0.00万元，占0.00%；经营支出0.00万元，占0.00%；对附属单位补助支出0.00万元，占0.00%。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2024年度财政拨款收入总计55.16万元，其中：年初财政拨款结转和结余0.00万元，本年财政拨款收入55.16万元。财政拨款支出总计55.16万元，其中：年末财政拨款结转和结余0.00万元，本年财政拨款支出55.16万元。</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财政拨款收入支出总体与上年相比，增加0.56万元，增长1.03%，主要原因是：人员工资增长，社保、公积金基数调增，人员经费增加。与年初预算相比，年初预算数62.19万元，决算数55.16万元，预决算差异率-11.30%，主要原因是：厉行节约理念，严控一般性支出。</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2024年度一般公共预算财政拨款支出55.16万元，占本年支出合计的100.00%。与上年相比，增加0.56万元，增长1.03%，主要原因是：人员工资增长，社保、公积金基数调增，人员经费增加。与年初预算相比，年初预算数62.19万元，决算数55.16万元，预决算差异率-11.30%，主要原因是：厉行节约理念，严控一般性支出。</w:t>
      </w:r>
    </w:p>
    <w:p>
      <w:pPr>
        <w:widowControl/>
        <w:spacing w:before="0" w:beforeLines="0" w:beforeAutospacing="0" w:after="0" w:afterLines="0" w:afterAutospacing="0" w:line="240" w:lineRule="auto"/>
        <w:ind w:firstLine="643" w:firstLineChars="200"/>
        <w:jc w:val="left"/>
        <w:outlineLvl w:val="2"/>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一般公共服务支出（类）40.02万元，占72.55%。</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教育支出（类）0.10万元，占0.18%。</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社会保障和就业支出（类）7.73万元，占14.01%。</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卫生健康支出（类）3.20万元，占5.80%。</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住房保障支出（类）4.11万元，占7.45%。</w:t>
      </w:r>
    </w:p>
    <w:p>
      <w:pPr>
        <w:widowControl/>
        <w:spacing w:before="0" w:beforeLines="0" w:beforeAutospacing="0" w:after="0" w:afterLines="0" w:afterAutospacing="0" w:line="240" w:lineRule="auto"/>
        <w:ind w:firstLine="643" w:firstLineChars="200"/>
        <w:jc w:val="left"/>
        <w:outlineLvl w:val="2"/>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一般公共服务支出（类）民主党派及工商联事务（款）行政运行（项）：支出决算数为39.36万元，比上年决算减少0.59万元，下降1.48%，主要原因是：</w:t>
      </w:r>
      <w:r>
        <w:rPr>
          <w:rFonts w:hint="eastAsia" w:ascii="Times New Roman" w:hAnsi="Times New Roman" w:eastAsia="仿宋_GB2312" w:cs="Times New Roman"/>
          <w:b w:val="0"/>
          <w:sz w:val="32"/>
          <w:szCs w:val="32"/>
          <w:lang w:val="en-US" w:eastAsia="zh-CN"/>
        </w:rPr>
        <w:t>厉行节约，公用经费较上年减少。</w:t>
      </w:r>
    </w:p>
    <w:p>
      <w:pPr>
        <w:widowControl/>
        <w:numPr>
          <w:ilvl w:val="0"/>
          <w:numId w:val="0"/>
        </w:numPr>
        <w:spacing w:before="0" w:beforeLines="0" w:beforeAutospacing="0" w:after="0" w:afterLines="0" w:afterAutospacing="0" w:line="24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一般公共服务支出（类）民主党派及工商联事务（款）其他民主党派及工商联事务支出（项）：支出决算数为0.67万元，比上年决算减少0.33万元，下降33.00%，主要原因是：</w:t>
      </w:r>
      <w:r>
        <w:rPr>
          <w:rFonts w:hint="eastAsia" w:ascii="Times New Roman" w:hAnsi="Times New Roman" w:eastAsia="仿宋_GB2312" w:cs="Times New Roman"/>
          <w:b w:val="0"/>
          <w:sz w:val="32"/>
          <w:szCs w:val="32"/>
          <w:lang w:val="en-US" w:eastAsia="zh-CN"/>
        </w:rPr>
        <w:t>厉行节约，日常办公经费减少。</w:t>
      </w:r>
    </w:p>
    <w:p>
      <w:pPr>
        <w:widowControl/>
        <w:numPr>
          <w:ilvl w:val="0"/>
          <w:numId w:val="0"/>
        </w:numPr>
        <w:spacing w:before="0" w:beforeLines="0" w:beforeAutospacing="0" w:after="0" w:afterLines="0" w:afterAutospacing="0" w:line="24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教育支出（类）进修及培训（款）培训支出（项）：支出决算数为0.10万元，比上年决算增加0.04万元，增长66.67%，主要原因是：根据民革工作要求，精准聚焦核心培训需求，培训活动有所增加。</w:t>
      </w:r>
    </w:p>
    <w:p>
      <w:pPr>
        <w:widowControl/>
        <w:numPr>
          <w:ilvl w:val="0"/>
          <w:numId w:val="0"/>
        </w:numPr>
        <w:spacing w:before="0" w:beforeLines="0" w:beforeAutospacing="0" w:after="0" w:afterLines="0" w:afterAutospacing="0" w:line="24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社会保障和就业支出（类）行政事业单位养老支出（款）行政单位离退休（项）：支出决算数为2.75万元，比上年决算增加0.89万元，增长47.85%，主要原因是：</w:t>
      </w:r>
      <w:r>
        <w:rPr>
          <w:rFonts w:hint="eastAsia" w:ascii="Times New Roman" w:hAnsi="Times New Roman" w:eastAsia="仿宋_GB2312" w:cs="Times New Roman"/>
          <w:b w:val="0"/>
          <w:sz w:val="32"/>
          <w:szCs w:val="32"/>
          <w:lang w:val="en-US" w:eastAsia="zh-CN"/>
        </w:rPr>
        <w:t>人员工资调整，导致该项支出增加。</w:t>
      </w:r>
    </w:p>
    <w:p>
      <w:pPr>
        <w:widowControl/>
        <w:numPr>
          <w:ilvl w:val="0"/>
          <w:numId w:val="0"/>
        </w:numPr>
        <w:spacing w:before="0" w:beforeLines="0" w:beforeAutospacing="0" w:after="0" w:afterLines="0" w:afterAutospacing="0" w:line="24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社会保障和就业支出（类）行政事业单位养老支出（款）机关事业单位基本养老保险缴费支出（项）：支出决算数为4.98万元，比上年决算增加0.31万元，增长6.64%，主要原因是：</w:t>
      </w:r>
      <w:r>
        <w:rPr>
          <w:rFonts w:hint="eastAsia" w:ascii="Times New Roman" w:hAnsi="Times New Roman" w:eastAsia="仿宋_GB2312" w:cs="Times New Roman"/>
          <w:b w:val="0"/>
          <w:sz w:val="32"/>
          <w:szCs w:val="32"/>
          <w:lang w:val="en-US" w:eastAsia="zh-CN"/>
        </w:rPr>
        <w:t>人员工资调整，导致该项支出增加。</w:t>
      </w:r>
    </w:p>
    <w:p>
      <w:pPr>
        <w:widowControl/>
        <w:numPr>
          <w:ilvl w:val="0"/>
          <w:numId w:val="0"/>
        </w:numPr>
        <w:spacing w:before="0" w:beforeLines="0" w:beforeAutospacing="0" w:after="0" w:afterLines="0" w:afterAutospacing="0" w:line="24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卫生健康支出（类）行政事业单位医疗（款）行政单位医疗（项）：支出决算数为2.26万元，比上年决算减少0.18万元，下降7.38%，主要原因是</w:t>
      </w:r>
      <w:r>
        <w:rPr>
          <w:rFonts w:hint="eastAsia" w:ascii="Times New Roman" w:hAnsi="Times New Roman" w:eastAsia="仿宋_GB2312" w:cs="Times New Roman"/>
          <w:b w:val="0"/>
          <w:sz w:val="32"/>
          <w:szCs w:val="32"/>
          <w:lang w:val="en-US" w:eastAsia="zh-CN"/>
        </w:rPr>
        <w:t>:单位医疗保险部分较上年减少。</w:t>
      </w:r>
    </w:p>
    <w:p>
      <w:pPr>
        <w:widowControl/>
        <w:numPr>
          <w:ilvl w:val="0"/>
          <w:numId w:val="0"/>
        </w:numPr>
        <w:spacing w:before="0" w:beforeLines="0" w:beforeAutospacing="0" w:after="0" w:afterLines="0" w:afterAutospacing="0" w:line="24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卫生健康支出（类）行政事业单位医疗（款）公务员医疗补助（项）：支出决算数为0.93万元，比上年决算增加0.05万元，增长5.68%，主要原因是：</w:t>
      </w:r>
      <w:r>
        <w:rPr>
          <w:rFonts w:hint="eastAsia" w:ascii="Times New Roman" w:hAnsi="Times New Roman" w:eastAsia="仿宋_GB2312" w:cs="Times New Roman"/>
          <w:b w:val="0"/>
          <w:sz w:val="32"/>
          <w:szCs w:val="32"/>
          <w:lang w:val="en-US" w:eastAsia="zh-CN"/>
        </w:rPr>
        <w:t>人员工资调整，公务员医疗补助缴费增加。</w:t>
      </w:r>
    </w:p>
    <w:p>
      <w:pPr>
        <w:widowControl/>
        <w:numPr>
          <w:ilvl w:val="0"/>
          <w:numId w:val="0"/>
        </w:numPr>
        <w:spacing w:before="0" w:beforeLines="0" w:beforeAutospacing="0" w:after="0" w:afterLines="0" w:afterAutospacing="0" w:line="24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住房保障支出（类）住房改革支出（款）住房公积金（项）：支出决算数为4.11万元，比上年决算增加0.36万元，增长9.60%，主要原因是：</w:t>
      </w:r>
      <w:r>
        <w:rPr>
          <w:rFonts w:hint="eastAsia" w:ascii="Times New Roman" w:hAnsi="Times New Roman" w:eastAsia="仿宋_GB2312" w:cs="Times New Roman"/>
          <w:b w:val="0"/>
          <w:sz w:val="32"/>
          <w:szCs w:val="32"/>
          <w:lang w:val="en-US" w:eastAsia="zh-CN"/>
        </w:rPr>
        <w:t>人员工资调整，公积金缴费基数提高。</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2024年度一般公共预算财政拨款基本支出55.16万元，其中：人员经费51.11万元，包括：基本工资、津贴补贴、奖金、机关事业单位基本养老保险缴费、职工基本医疗保险缴费、公务员医疗补助缴费、其他社会保障缴费、住房公积金和退休费。</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公用经费4.06万元，包括：办公费、邮电费、差旅费、培训费、委托业务费、工会经费、福利费、公务用车运行维护费和其他交通费用。</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本部门本年度无政府性基金预算财政拨款收入支出及结转和结余政府性基金预算财政拨款收入支出决算表为空表。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本部门本年度无国有资本经营预算财政拨款收入、支出及结转和结余，国有资本经营预算财政拨款收入支出决算表为空表。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2024年度财政拨款“三公”经费支出0.27万元，与上年相比无变化，主要原因是：</w:t>
      </w:r>
      <w:r>
        <w:rPr>
          <w:rFonts w:hint="default" w:ascii="Times New Roman" w:hAnsi="Times New Roman" w:eastAsia="仿宋_GB2312" w:cs="Times New Roman"/>
          <w:b w:val="0"/>
          <w:sz w:val="32"/>
          <w:szCs w:val="32"/>
          <w:lang w:val="en-US" w:eastAsia="zh-CN"/>
        </w:rPr>
        <w:t>严格按照预算内控制支出，无差异</w:t>
      </w:r>
      <w:r>
        <w:rPr>
          <w:rFonts w:hint="default" w:ascii="Times New Roman" w:hAnsi="Times New Roman" w:eastAsia="仿宋_GB2312" w:cs="Times New Roman"/>
          <w:b w:val="0"/>
          <w:sz w:val="32"/>
          <w:szCs w:val="32"/>
        </w:rPr>
        <w:t>。其中：因公出国（境）费支出0.00万元,占0.00%，与上年相比无变化，主要原因是：</w:t>
      </w:r>
      <w:r>
        <w:rPr>
          <w:rFonts w:hint="default" w:ascii="Times New Roman" w:hAnsi="Times New Roman" w:eastAsia="仿宋_GB2312" w:cs="Times New Roman"/>
          <w:b w:val="0"/>
          <w:sz w:val="32"/>
          <w:szCs w:val="32"/>
          <w:lang w:val="en-US" w:eastAsia="zh-CN"/>
        </w:rPr>
        <w:t>本单位2024年没有因公出差（境）费用支出</w:t>
      </w:r>
      <w:r>
        <w:rPr>
          <w:rFonts w:hint="default" w:ascii="Times New Roman" w:hAnsi="Times New Roman" w:eastAsia="仿宋_GB2312" w:cs="Times New Roman"/>
          <w:b w:val="0"/>
          <w:sz w:val="32"/>
          <w:szCs w:val="32"/>
        </w:rPr>
        <w:t>；公务用车购置及运行维护费支出0.27万元，占100.00%，与上年相比无变化，主要原因是：</w:t>
      </w:r>
      <w:r>
        <w:rPr>
          <w:rFonts w:hint="default" w:ascii="Times New Roman" w:hAnsi="Times New Roman" w:eastAsia="仿宋_GB2312" w:cs="Times New Roman"/>
          <w:b w:val="0"/>
          <w:sz w:val="32"/>
          <w:szCs w:val="32"/>
          <w:lang w:val="en-US" w:eastAsia="zh-CN"/>
        </w:rPr>
        <w:t>严格按照预算内控制支出，无差异</w:t>
      </w:r>
      <w:r>
        <w:rPr>
          <w:rFonts w:hint="default" w:ascii="Times New Roman" w:hAnsi="Times New Roman" w:eastAsia="仿宋_GB2312" w:cs="Times New Roman"/>
          <w:b w:val="0"/>
          <w:sz w:val="32"/>
          <w:szCs w:val="32"/>
        </w:rPr>
        <w:t>；公务接待费支出0.00万元，占0.00%，与上年相比无变化，主要原因是：</w:t>
      </w:r>
      <w:r>
        <w:rPr>
          <w:rFonts w:hint="default" w:ascii="Times New Roman" w:hAnsi="Times New Roman" w:eastAsia="仿宋_GB2312" w:cs="Times New Roman"/>
          <w:b w:val="0"/>
          <w:sz w:val="32"/>
          <w:szCs w:val="32"/>
          <w:lang w:val="en-US" w:eastAsia="zh-CN"/>
        </w:rPr>
        <w:t>本单位2024年没有公务接待费用支出</w:t>
      </w:r>
      <w:r>
        <w:rPr>
          <w:rFonts w:hint="default" w:ascii="Times New Roman" w:hAnsi="Times New Roman" w:eastAsia="仿宋_GB2312" w:cs="Times New Roman"/>
          <w:b w:val="0"/>
          <w:sz w:val="32"/>
          <w:szCs w:val="32"/>
        </w:rPr>
        <w:t>。</w:t>
      </w:r>
    </w:p>
    <w:p>
      <w:pPr>
        <w:widowControl/>
        <w:spacing w:before="0" w:beforeLines="0" w:beforeAutospacing="0" w:after="0" w:afterLines="0" w:afterAutospacing="0" w:line="240" w:lineRule="auto"/>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具体情况如下：</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因公出国（境）费支出0.00万元，开支内容包括。单位全年安排的因公出国（境）团组0个，因公出国（境）0人次。</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公务用车购置及运行维护费0.27万元，其中：公务用车购置费0.00万元，公务用车运行维护费0.27万元。公务用车运行维护费开支内容包括</w:t>
      </w:r>
      <w:r>
        <w:rPr>
          <w:rFonts w:hint="default" w:ascii="Times New Roman" w:hAnsi="Times New Roman" w:eastAsia="仿宋_GB2312" w:cs="Times New Roman"/>
          <w:b w:val="0"/>
          <w:sz w:val="32"/>
          <w:szCs w:val="32"/>
          <w:lang w:eastAsia="zh-CN"/>
        </w:rPr>
        <w:t>：</w:t>
      </w:r>
      <w:r>
        <w:rPr>
          <w:rFonts w:hint="default" w:ascii="Times New Roman" w:hAnsi="Times New Roman" w:eastAsia="仿宋_GB2312" w:cs="Times New Roman"/>
          <w:b w:val="0"/>
          <w:sz w:val="32"/>
          <w:szCs w:val="32"/>
          <w:lang w:val="en-US" w:eastAsia="zh-CN"/>
        </w:rPr>
        <w:t>保险费、</w:t>
      </w:r>
      <w:r>
        <w:rPr>
          <w:rFonts w:hint="eastAsia" w:ascii="Times New Roman" w:hAnsi="Times New Roman" w:eastAsia="仿宋_GB2312" w:cs="Times New Roman"/>
          <w:b w:val="0"/>
          <w:sz w:val="32"/>
          <w:szCs w:val="32"/>
          <w:lang w:val="en-US" w:eastAsia="zh-CN"/>
        </w:rPr>
        <w:t>车辆维修维护费</w:t>
      </w:r>
      <w:r>
        <w:rPr>
          <w:rFonts w:hint="default" w:ascii="Times New Roman" w:hAnsi="Times New Roman" w:eastAsia="仿宋_GB2312" w:cs="Times New Roman"/>
          <w:b w:val="0"/>
          <w:sz w:val="32"/>
          <w:szCs w:val="32"/>
        </w:rPr>
        <w:t>。公务用车购置数0辆，公务用车保有量1辆。国有资产占用情况中固定资产车辆0辆，与公务用车保有量差异原因是：</w:t>
      </w:r>
      <w:r>
        <w:rPr>
          <w:rFonts w:hint="eastAsia" w:ascii="Times New Roman" w:hAnsi="Times New Roman" w:eastAsia="仿宋_GB2312" w:cs="Times New Roman"/>
          <w:b w:val="0"/>
          <w:sz w:val="32"/>
          <w:szCs w:val="32"/>
          <w:lang w:val="en-US" w:eastAsia="zh-CN"/>
        </w:rPr>
        <w:t>2023年年度公务用车已累计计提折旧完毕，残值为0</w:t>
      </w:r>
      <w:r>
        <w:rPr>
          <w:rFonts w:hint="default" w:ascii="Times New Roman" w:hAnsi="Times New Roman" w:eastAsia="仿宋_GB2312" w:cs="Times New Roman"/>
          <w:b w:val="0"/>
          <w:sz w:val="32"/>
          <w:szCs w:val="32"/>
        </w:rPr>
        <w:t>。</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公务接待费0.00万元，开支内容包括。单位全年安排的国内公务接待0批次，0人次。</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与全年预算相比，财政拨款“三公”经费支出全年预算数0.27万元，决算数0.27万元，预决算差异率0.00%，主要原因是：</w:t>
      </w:r>
      <w:r>
        <w:rPr>
          <w:rFonts w:hint="default" w:ascii="Times New Roman" w:hAnsi="Times New Roman" w:eastAsia="仿宋_GB2312" w:cs="Times New Roman"/>
          <w:b w:val="0"/>
          <w:sz w:val="32"/>
          <w:szCs w:val="32"/>
          <w:lang w:val="en-US" w:eastAsia="zh-CN"/>
        </w:rPr>
        <w:t>严格按照预算内控制支出，无差异</w:t>
      </w:r>
      <w:r>
        <w:rPr>
          <w:rFonts w:hint="default" w:ascii="Times New Roman" w:hAnsi="Times New Roman" w:eastAsia="仿宋_GB2312" w:cs="Times New Roman"/>
          <w:b w:val="0"/>
          <w:sz w:val="32"/>
          <w:szCs w:val="32"/>
        </w:rPr>
        <w:t>。其中：因公出国（境）费全年预算数0.00万元，决算数0.00万元，预决算差异率0.00%，主要原因是：</w:t>
      </w:r>
      <w:r>
        <w:rPr>
          <w:rFonts w:hint="default" w:ascii="Times New Roman" w:hAnsi="Times New Roman" w:eastAsia="仿宋_GB2312" w:cs="Times New Roman"/>
          <w:b w:val="0"/>
          <w:sz w:val="32"/>
          <w:szCs w:val="32"/>
          <w:lang w:val="en-US" w:eastAsia="zh-CN"/>
        </w:rPr>
        <w:t>本单位2024年没有因公出差（境）费用支出</w:t>
      </w:r>
      <w:r>
        <w:rPr>
          <w:rFonts w:hint="default" w:ascii="Times New Roman" w:hAnsi="Times New Roman" w:eastAsia="仿宋_GB2312" w:cs="Times New Roman"/>
          <w:b w:val="0"/>
          <w:sz w:val="32"/>
          <w:szCs w:val="32"/>
        </w:rPr>
        <w:t>。公务用车购置费全年预算数0.00万元，决算数0.00万元，预决算差异率0.00%，主要原因是：</w:t>
      </w:r>
      <w:r>
        <w:rPr>
          <w:rFonts w:hint="eastAsia" w:ascii="Times New Roman" w:hAnsi="Times New Roman" w:eastAsia="仿宋_GB2312" w:cs="Times New Roman"/>
          <w:b w:val="0"/>
          <w:sz w:val="32"/>
          <w:szCs w:val="32"/>
          <w:lang w:val="en-US" w:eastAsia="zh-CN"/>
        </w:rPr>
        <w:t>本单位2024年无</w:t>
      </w:r>
      <w:r>
        <w:rPr>
          <w:rFonts w:hint="default" w:ascii="Times New Roman" w:hAnsi="Times New Roman" w:eastAsia="仿宋_GB2312" w:cs="Times New Roman"/>
          <w:b w:val="0"/>
          <w:sz w:val="32"/>
          <w:szCs w:val="32"/>
        </w:rPr>
        <w:t>公务用车购置费</w:t>
      </w:r>
      <w:r>
        <w:rPr>
          <w:rFonts w:hint="eastAsia" w:ascii="Times New Roman" w:hAnsi="Times New Roman" w:eastAsia="仿宋_GB2312" w:cs="Times New Roman"/>
          <w:b w:val="0"/>
          <w:sz w:val="32"/>
          <w:szCs w:val="32"/>
          <w:lang w:val="en-US" w:eastAsia="zh-CN"/>
        </w:rPr>
        <w:t>支出</w:t>
      </w:r>
      <w:r>
        <w:rPr>
          <w:rFonts w:hint="default" w:ascii="Times New Roman" w:hAnsi="Times New Roman" w:eastAsia="仿宋_GB2312" w:cs="Times New Roman"/>
          <w:b w:val="0"/>
          <w:sz w:val="32"/>
          <w:szCs w:val="32"/>
        </w:rPr>
        <w:t>。公务用车运行维护费全年预算数0.27万元，决算数0.27万元，预决算差异率0.00%，主要原因是：</w:t>
      </w:r>
      <w:r>
        <w:rPr>
          <w:rFonts w:hint="default" w:ascii="Times New Roman" w:hAnsi="Times New Roman" w:eastAsia="仿宋_GB2312" w:cs="Times New Roman"/>
          <w:b w:val="0"/>
          <w:sz w:val="32"/>
          <w:szCs w:val="32"/>
          <w:lang w:val="en-US" w:eastAsia="zh-CN"/>
        </w:rPr>
        <w:t>严格按照预算内控制支出，无差异</w:t>
      </w:r>
      <w:r>
        <w:rPr>
          <w:rFonts w:hint="default" w:ascii="Times New Roman" w:hAnsi="Times New Roman" w:eastAsia="仿宋_GB2312" w:cs="Times New Roman"/>
          <w:b w:val="0"/>
          <w:sz w:val="32"/>
          <w:szCs w:val="32"/>
        </w:rPr>
        <w:t>。公务接待费全年预算数0.00万元，决算数0.00万元，预决算差异率0.00%，主要原因是：</w:t>
      </w:r>
      <w:r>
        <w:rPr>
          <w:rFonts w:hint="default" w:ascii="Times New Roman" w:hAnsi="Times New Roman" w:eastAsia="仿宋_GB2312" w:cs="Times New Roman"/>
          <w:b w:val="0"/>
          <w:sz w:val="32"/>
          <w:szCs w:val="32"/>
          <w:lang w:val="en-US" w:eastAsia="zh-CN"/>
        </w:rPr>
        <w:t>本单位2024年没有公务接待费用支出</w:t>
      </w:r>
      <w:r>
        <w:rPr>
          <w:rFonts w:hint="default" w:ascii="Times New Roman" w:hAnsi="Times New Roman" w:eastAsia="仿宋_GB2312" w:cs="Times New Roman"/>
          <w:b w:val="0"/>
          <w:sz w:val="32"/>
          <w:szCs w:val="32"/>
        </w:rPr>
        <w:t>。</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2024年度中国国民党革命委员会库尔勒市委员会部门机关运行经费支出4.06万元，比上年增加1.22万元，增长42.96%，主要原因是：</w:t>
      </w:r>
      <w:r>
        <w:rPr>
          <w:rFonts w:hint="eastAsia" w:ascii="Times New Roman" w:hAnsi="Times New Roman" w:eastAsia="仿宋_GB2312" w:cs="Times New Roman"/>
          <w:b w:val="0"/>
          <w:sz w:val="32"/>
          <w:szCs w:val="32"/>
          <w:lang w:val="en-US" w:eastAsia="zh-CN"/>
        </w:rPr>
        <w:t>加大业务工作力度，财政按需增加经费。</w:t>
      </w:r>
    </w:p>
    <w:p>
      <w:pPr>
        <w:widowControl/>
        <w:spacing w:before="0" w:beforeLines="0" w:beforeAutospacing="0" w:after="0" w:afterLines="0" w:afterAutospacing="0" w:line="240" w:lineRule="auto"/>
        <w:ind w:firstLine="643" w:firstLineChars="200"/>
        <w:jc w:val="left"/>
        <w:outlineLvl w:val="2"/>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（二）政府采购情况</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2024年度政府采购支出总额0.22万元，其中：政府采购货物支出0.22万元、政府采购工程支出0.00万元、政府采购服务支出0.00万元。</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授予中小企业合同金额0.22万元，占政府采购支出总额的100.00%，其中：授予小微企业合同金额0.22万元，占政府采购支出总额的100.00%。</w:t>
      </w:r>
    </w:p>
    <w:p>
      <w:pPr>
        <w:widowControl/>
        <w:spacing w:before="0" w:beforeLines="0" w:beforeAutospacing="0" w:after="0" w:afterLines="0" w:afterAutospacing="0" w:line="240" w:lineRule="auto"/>
        <w:ind w:firstLine="643" w:firstLineChars="200"/>
        <w:jc w:val="left"/>
        <w:outlineLvl w:val="2"/>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（三）国有资产占用情况说明</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单价100万元（含）以上设备（不含车辆）0台（套）。</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十一、预算绩效的情况说明</w:t>
      </w:r>
    </w:p>
    <w:p>
      <w:pPr>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根据预算绩效管理要求，本部门2024年度预算绩效管理形成整体支出绩效自评表1个，全年预算总额</w:t>
      </w:r>
      <w:r>
        <w:rPr>
          <w:rFonts w:hint="eastAsia" w:ascii="Times New Roman" w:hAnsi="Times New Roman" w:eastAsia="仿宋_GB2312" w:cs="Times New Roman"/>
          <w:b w:val="0"/>
          <w:sz w:val="32"/>
          <w:szCs w:val="32"/>
          <w:lang w:val="en-US" w:eastAsia="zh-CN"/>
        </w:rPr>
        <w:t>55.16</w:t>
      </w:r>
      <w:r>
        <w:rPr>
          <w:rFonts w:hint="default" w:ascii="Times New Roman" w:hAnsi="Times New Roman" w:eastAsia="仿宋_GB2312" w:cs="Times New Roman"/>
          <w:b w:val="0"/>
          <w:sz w:val="32"/>
          <w:szCs w:val="32"/>
        </w:rPr>
        <w:t>万元，实际执行总额</w:t>
      </w:r>
      <w:r>
        <w:rPr>
          <w:rFonts w:hint="eastAsia" w:ascii="Times New Roman" w:hAnsi="Times New Roman" w:eastAsia="仿宋_GB2312" w:cs="Times New Roman"/>
          <w:b w:val="0"/>
          <w:sz w:val="32"/>
          <w:szCs w:val="32"/>
          <w:lang w:val="en-US" w:eastAsia="zh-CN"/>
        </w:rPr>
        <w:t>55.16</w:t>
      </w:r>
      <w:r>
        <w:rPr>
          <w:rFonts w:hint="default" w:ascii="Times New Roman" w:hAnsi="Times New Roman" w:eastAsia="仿宋_GB2312" w:cs="Times New Roman"/>
          <w:b w:val="0"/>
          <w:sz w:val="32"/>
          <w:szCs w:val="32"/>
        </w:rPr>
        <w:t>万元；预算绩效评价项目</w:t>
      </w:r>
      <w:r>
        <w:rPr>
          <w:rFonts w:hint="eastAsia" w:ascii="Times New Roman" w:hAnsi="Times New Roman" w:eastAsia="仿宋_GB2312" w:cs="Times New Roman"/>
          <w:b w:val="0"/>
          <w:sz w:val="32"/>
          <w:szCs w:val="32"/>
          <w:lang w:val="en-US" w:eastAsia="zh-CN"/>
        </w:rPr>
        <w:t>1</w:t>
      </w:r>
      <w:r>
        <w:rPr>
          <w:rFonts w:hint="default" w:ascii="Times New Roman" w:hAnsi="Times New Roman" w:eastAsia="仿宋_GB2312" w:cs="Times New Roman"/>
          <w:b w:val="0"/>
          <w:sz w:val="32"/>
          <w:szCs w:val="32"/>
        </w:rPr>
        <w:t>个，全年预算数</w:t>
      </w:r>
      <w:r>
        <w:rPr>
          <w:rFonts w:hint="eastAsia" w:ascii="Times New Roman" w:hAnsi="Times New Roman" w:eastAsia="仿宋_GB2312" w:cs="Times New Roman"/>
          <w:b w:val="0"/>
          <w:sz w:val="32"/>
          <w:szCs w:val="32"/>
          <w:lang w:val="en-US" w:eastAsia="zh-CN"/>
        </w:rPr>
        <w:t>1</w:t>
      </w:r>
      <w:r>
        <w:rPr>
          <w:rFonts w:hint="default" w:ascii="Times New Roman" w:hAnsi="Times New Roman" w:eastAsia="仿宋_GB2312" w:cs="Times New Roman"/>
          <w:b w:val="0"/>
          <w:sz w:val="32"/>
          <w:szCs w:val="32"/>
        </w:rPr>
        <w:t>万元，全年执行数</w:t>
      </w:r>
      <w:r>
        <w:rPr>
          <w:rFonts w:hint="eastAsia" w:ascii="Times New Roman" w:hAnsi="Times New Roman" w:eastAsia="仿宋_GB2312" w:cs="Times New Roman"/>
          <w:b w:val="0"/>
          <w:sz w:val="32"/>
          <w:szCs w:val="32"/>
          <w:lang w:val="en-US" w:eastAsia="zh-CN"/>
        </w:rPr>
        <w:t>0.67</w:t>
      </w:r>
      <w:r>
        <w:rPr>
          <w:rFonts w:hint="default" w:ascii="Times New Roman" w:hAnsi="Times New Roman" w:eastAsia="仿宋_GB2312" w:cs="Times New Roman"/>
          <w:b w:val="0"/>
          <w:sz w:val="32"/>
          <w:szCs w:val="32"/>
        </w:rPr>
        <w:t>万元。预算绩效管理取得的成效：</w:t>
      </w:r>
      <w:r>
        <w:rPr>
          <w:rFonts w:hint="eastAsia" w:ascii="Times New Roman" w:hAnsi="Times New Roman" w:eastAsia="仿宋_GB2312" w:cs="Times New Roman"/>
          <w:b w:val="0"/>
          <w:sz w:val="32"/>
          <w:szCs w:val="32"/>
          <w:lang w:val="en-US" w:eastAsia="zh-CN"/>
        </w:rPr>
        <w:t>通过绩效管理，确保了财政资金合理高效使用，提升了民革党员凝聚力和向心力，民革党员满意度达到了99%</w:t>
      </w:r>
      <w:r>
        <w:rPr>
          <w:rFonts w:hint="default" w:ascii="Times New Roman" w:hAnsi="Times New Roman" w:eastAsia="仿宋_GB2312" w:cs="Times New Roman"/>
          <w:b w:val="0"/>
          <w:sz w:val="32"/>
          <w:szCs w:val="32"/>
        </w:rPr>
        <w:t>。发现的问题及原因：</w:t>
      </w:r>
      <w:r>
        <w:rPr>
          <w:rFonts w:hint="eastAsia" w:ascii="仿宋_GB2312" w:hAnsi="宋体" w:eastAsia="仿宋_GB2312"/>
          <w:bCs/>
          <w:sz w:val="32"/>
          <w:szCs w:val="32"/>
        </w:rPr>
        <w:t>对预算绩效的认识还不够深入，相关知识了解还不够、掌握还不够多，把绩效管理简单等同于工作目标、工作考核和业务管理。本部门在工作方式方法创新方面还存在欠缺，部分工作习惯于按传统模式推进，缺乏对新情况、新问题的研究和探索，导致工作效果不够理想</w:t>
      </w:r>
      <w:r>
        <w:rPr>
          <w:rFonts w:hint="default" w:ascii="Times New Roman" w:hAnsi="Times New Roman" w:eastAsia="仿宋_GB2312" w:cs="Times New Roman"/>
          <w:b w:val="0"/>
          <w:sz w:val="32"/>
          <w:szCs w:val="32"/>
        </w:rPr>
        <w:t>。下一步改进措施：</w:t>
      </w:r>
      <w:r>
        <w:rPr>
          <w:rFonts w:hint="eastAsia" w:ascii="仿宋_GB2312" w:hAnsi="宋体" w:eastAsia="仿宋_GB2312"/>
          <w:bCs/>
          <w:sz w:val="32"/>
          <w:szCs w:val="32"/>
        </w:rPr>
        <w:t>在加强自身绩效理念，科学合理编制绩效目标，需要进一步加强对资金绩效管理的重视程度。二是加强学习，借鉴同行绩效管理工作中好的经验，边工作、边学习、边积累，增加专业性强的技能储备，努力做到程序规范，以满足当前绩效管理要求。鼓励干部职工解放思想，勇于创新，积极探索工作的新思路、新方法、新举措。加强对工作的研究和分析，不断创新工作载体和活动形式，提高工作的吸引力和影响力。建立激励机制，对在工作创新方面取得突出成绩的个人给予表彰和奖励，营造良好的创新氛围</w:t>
      </w:r>
      <w:r>
        <w:rPr>
          <w:rFonts w:hint="default" w:ascii="Times New Roman" w:hAnsi="Times New Roman" w:eastAsia="仿宋_GB2312" w:cs="Times New Roman"/>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本部门无其他需说明事项。</w:t>
      </w:r>
    </w:p>
    <w:p>
      <w:pPr>
        <w:widowControl/>
        <w:spacing w:before="0" w:beforeLines="0" w:beforeAutospacing="0" w:after="0" w:afterLines="0" w:afterAutospacing="0" w:line="240" w:lineRule="auto"/>
        <w:ind w:firstLine="640" w:firstLineChars="200"/>
        <w:jc w:val="left"/>
        <w:rPr>
          <w:rFonts w:hint="default" w:ascii="Times New Roman" w:hAnsi="Times New Roman" w:eastAsia="仿宋_GB2312" w:cs="Times New Roman"/>
          <w:sz w:val="32"/>
          <w:szCs w:val="32"/>
        </w:rPr>
      </w:pPr>
    </w:p>
    <w:p>
      <w:pPr>
        <w:widowControl/>
        <w:rPr>
          <w:rFonts w:hint="default" w:ascii="Times New Roman" w:hAnsi="Times New Roman" w:cs="Times New Roman"/>
        </w:rPr>
      </w:pPr>
      <w:r>
        <w:rPr>
          <w:rFonts w:hint="default" w:ascii="Times New Roman" w:hAnsi="Times New Roman" w:cs="Times New Roman"/>
          <w:b w:val="0"/>
          <w:sz w:val="0"/>
          <w:szCs w:val="0"/>
        </w:rPr>
        <w:br w:type="page"/>
      </w:r>
    </w:p>
    <w:p>
      <w:pPr>
        <w:widowControl/>
        <w:spacing w:before="0" w:beforeLines="0" w:beforeAutospacing="0" w:after="0" w:afterLines="0" w:afterAutospacing="0" w:line="240" w:lineRule="auto"/>
        <w:jc w:val="center"/>
        <w:outlineLvl w:val="0"/>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一、财政拨款收入：</w:t>
      </w:r>
      <w:r>
        <w:rPr>
          <w:rFonts w:hint="default" w:ascii="Times New Roman" w:hAnsi="Times New Roman" w:eastAsia="仿宋_GB2312" w:cs="Times New Roman"/>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二、上级补助收入：</w:t>
      </w:r>
      <w:r>
        <w:rPr>
          <w:rFonts w:hint="default" w:ascii="Times New Roman" w:hAnsi="Times New Roman" w:eastAsia="仿宋_GB2312" w:cs="Times New Roman"/>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三、事业收入：</w:t>
      </w:r>
      <w:r>
        <w:rPr>
          <w:rFonts w:hint="default" w:ascii="Times New Roman" w:hAnsi="Times New Roman" w:eastAsia="仿宋_GB2312" w:cs="Times New Roman"/>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四、经营收入：</w:t>
      </w:r>
      <w:r>
        <w:rPr>
          <w:rFonts w:hint="default" w:ascii="Times New Roman" w:hAnsi="Times New Roman" w:eastAsia="仿宋_GB2312" w:cs="Times New Roman"/>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五、附属单位上缴收入：</w:t>
      </w:r>
      <w:r>
        <w:rPr>
          <w:rFonts w:hint="default" w:ascii="Times New Roman" w:hAnsi="Times New Roman" w:eastAsia="仿宋_GB2312" w:cs="Times New Roman"/>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六、其他收入：</w:t>
      </w:r>
      <w:r>
        <w:rPr>
          <w:rFonts w:hint="default" w:ascii="Times New Roman" w:hAnsi="Times New Roman" w:eastAsia="仿宋_GB2312" w:cs="Times New Roman"/>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七、年初结转和结余：</w:t>
      </w:r>
      <w:r>
        <w:rPr>
          <w:rFonts w:hint="default" w:ascii="Times New Roman" w:hAnsi="Times New Roman" w:eastAsia="仿宋_GB2312" w:cs="Times New Roman"/>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八、年末结转和结余：</w:t>
      </w:r>
      <w:r>
        <w:rPr>
          <w:rFonts w:hint="default" w:ascii="Times New Roman" w:hAnsi="Times New Roman" w:eastAsia="仿宋_GB2312" w:cs="Times New Roman"/>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九、基本支出：</w:t>
      </w:r>
      <w:r>
        <w:rPr>
          <w:rFonts w:hint="default" w:ascii="Times New Roman" w:hAnsi="Times New Roman" w:eastAsia="仿宋_GB2312" w:cs="Times New Roman"/>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十、项目支出：</w:t>
      </w:r>
      <w:r>
        <w:rPr>
          <w:rFonts w:hint="default" w:ascii="Times New Roman" w:hAnsi="Times New Roman" w:eastAsia="仿宋_GB2312" w:cs="Times New Roman"/>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十一、经营支出：</w:t>
      </w:r>
      <w:r>
        <w:rPr>
          <w:rFonts w:hint="default" w:ascii="Times New Roman" w:hAnsi="Times New Roman" w:eastAsia="仿宋_GB2312" w:cs="Times New Roman"/>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十二、对附属单位补助支出：</w:t>
      </w:r>
      <w:r>
        <w:rPr>
          <w:rFonts w:hint="default" w:ascii="Times New Roman" w:hAnsi="Times New Roman" w:eastAsia="仿宋_GB2312" w:cs="Times New Roman"/>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十三、“三公”经费：</w:t>
      </w:r>
      <w:r>
        <w:rPr>
          <w:rFonts w:hint="default" w:ascii="Times New Roman" w:hAnsi="Times New Roman" w:eastAsia="仿宋_GB2312" w:cs="Times New Roman"/>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十四、机关运行经费：</w:t>
      </w:r>
      <w:r>
        <w:rPr>
          <w:rFonts w:hint="default" w:ascii="Times New Roman" w:hAnsi="Times New Roman" w:eastAsia="仿宋_GB2312" w:cs="Times New Roman"/>
          <w:b w:val="0"/>
          <w:sz w:val="32"/>
          <w:szCs w:val="32"/>
        </w:rPr>
        <w:t>行政单位和参照公务员法管理的事业单位财政拨款基本支出中的公用经费支出。</w:t>
      </w:r>
    </w:p>
    <w:p>
      <w:pPr>
        <w:widowControl/>
        <w:rPr>
          <w:rFonts w:hint="default" w:ascii="Times New Roman" w:hAnsi="Times New Roman" w:cs="Times New Roman"/>
        </w:rPr>
      </w:pPr>
      <w:r>
        <w:rPr>
          <w:rFonts w:hint="default" w:ascii="Times New Roman" w:hAnsi="Times New Roman" w:cs="Times New Roman"/>
          <w:b w:val="0"/>
          <w:sz w:val="0"/>
          <w:szCs w:val="0"/>
        </w:rPr>
        <w:br w:type="page"/>
      </w:r>
    </w:p>
    <w:p>
      <w:pPr>
        <w:widowControl/>
        <w:spacing w:before="0" w:beforeLines="0" w:beforeAutospacing="0" w:after="0" w:afterLines="0" w:afterAutospacing="0" w:line="240" w:lineRule="auto"/>
        <w:jc w:val="center"/>
        <w:outlineLvl w:val="0"/>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r>
        <w:rPr>
          <w:rFonts w:hint="default" w:ascii="Times New Roman" w:hAnsi="Times New Roman" w:eastAsia="仿宋_GB2312" w:cs="Times New Roman"/>
          <w:b w:val="0"/>
          <w:sz w:val="32"/>
          <w:szCs w:val="32"/>
        </w:rPr>
        <w:t>九、《财政拨款“三公”经费支出决算表》</w:t>
      </w: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ind w:firstLine="640" w:firstLineChars="200"/>
        <w:jc w:val="left"/>
        <w:outlineLvl w:val="1"/>
        <w:rPr>
          <w:rFonts w:hint="default" w:ascii="Times New Roman" w:hAnsi="Times New Roman" w:eastAsia="仿宋_GB2312" w:cs="Times New Roman"/>
          <w:b w:val="0"/>
          <w:sz w:val="32"/>
          <w:szCs w:val="32"/>
        </w:rPr>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rPr>
          <w:rFonts w:hint="default"/>
        </w:rPr>
      </w:pPr>
    </w:p>
    <w:p>
      <w:pPr>
        <w:widowControl/>
        <w:spacing w:before="0" w:beforeLines="0" w:beforeAutospacing="0" w:after="0" w:afterLines="0" w:afterAutospacing="0" w:line="240" w:lineRule="auto"/>
        <w:jc w:val="left"/>
        <w:outlineLvl w:val="1"/>
        <w:rPr>
          <w:rFonts w:hint="default"/>
        </w:rPr>
      </w:pPr>
      <w:r>
        <w:drawing>
          <wp:anchor distT="0" distB="0" distL="114300" distR="114300" simplePos="0" relativeHeight="251659264" behindDoc="0" locked="0" layoutInCell="1" allowOverlap="1">
            <wp:simplePos x="0" y="0"/>
            <wp:positionH relativeFrom="column">
              <wp:posOffset>-295275</wp:posOffset>
            </wp:positionH>
            <wp:positionV relativeFrom="paragraph">
              <wp:posOffset>12065</wp:posOffset>
            </wp:positionV>
            <wp:extent cx="6348095" cy="7005955"/>
            <wp:effectExtent l="0" t="0" r="14605" b="444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6348095" cy="7005955"/>
                    </a:xfrm>
                    <a:prstGeom prst="rect">
                      <a:avLst/>
                    </a:prstGeom>
                    <a:noFill/>
                    <a:ln w="9525">
                      <a:noFill/>
                    </a:ln>
                  </pic:spPr>
                </pic:pic>
              </a:graphicData>
            </a:graphic>
          </wp:anchor>
        </w:drawing>
      </w:r>
    </w:p>
    <w:p>
      <w:pPr>
        <w:widowControl/>
        <w:spacing w:before="0" w:beforeLines="0" w:beforeAutospacing="0" w:after="0" w:afterLines="0" w:afterAutospacing="0" w:line="240" w:lineRule="auto"/>
        <w:jc w:val="left"/>
        <w:outlineLvl w:val="1"/>
        <w:rPr>
          <w:rFonts w:hint="default"/>
        </w:rPr>
        <w:sectPr>
          <w:pgSz w:w="12240" w:h="15840"/>
          <w:pgMar w:top="1440" w:right="1800" w:bottom="1440" w:left="1800" w:header="720" w:footer="720" w:gutter="0"/>
          <w:cols w:space="720" w:num="1"/>
        </w:sectPr>
      </w:pPr>
    </w:p>
    <w:p>
      <w:pPr>
        <w:widowControl/>
        <w:spacing w:before="0" w:beforeLines="0" w:beforeAutospacing="0" w:after="0" w:afterLines="0" w:afterAutospacing="0" w:line="240" w:lineRule="auto"/>
        <w:jc w:val="left"/>
        <w:outlineLvl w:val="1"/>
        <w:rPr>
          <w:rFonts w:hint="default"/>
        </w:rPr>
        <w:sectPr>
          <w:pgSz w:w="12240" w:h="15840"/>
          <w:pgMar w:top="1440" w:right="1800" w:bottom="1440" w:left="1800" w:header="720" w:footer="720" w:gutter="0"/>
          <w:cols w:space="720" w:num="1"/>
        </w:sectPr>
      </w:pPr>
      <w:r>
        <w:drawing>
          <wp:anchor distT="0" distB="0" distL="114300" distR="114300" simplePos="0" relativeHeight="251660288" behindDoc="0" locked="0" layoutInCell="1" allowOverlap="1">
            <wp:simplePos x="0" y="0"/>
            <wp:positionH relativeFrom="column">
              <wp:posOffset>0</wp:posOffset>
            </wp:positionH>
            <wp:positionV relativeFrom="paragraph">
              <wp:posOffset>6985</wp:posOffset>
            </wp:positionV>
            <wp:extent cx="5476875" cy="6981825"/>
            <wp:effectExtent l="0" t="0" r="9525" b="9525"/>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
                      <a:grayscl/>
                    </a:blip>
                    <a:stretch>
                      <a:fillRect/>
                    </a:stretch>
                  </pic:blipFill>
                  <pic:spPr>
                    <a:xfrm>
                      <a:off x="0" y="0"/>
                      <a:ext cx="5476875" cy="6981825"/>
                    </a:xfrm>
                    <a:prstGeom prst="rect">
                      <a:avLst/>
                    </a:prstGeom>
                    <a:noFill/>
                    <a:ln w="9525">
                      <a:noFill/>
                    </a:ln>
                  </pic:spPr>
                </pic:pic>
              </a:graphicData>
            </a:graphic>
          </wp:anchor>
        </w:drawing>
      </w:r>
    </w:p>
    <w:p>
      <w:pPr>
        <w:widowControl/>
        <w:spacing w:before="0" w:beforeLines="0" w:beforeAutospacing="0" w:after="0" w:afterLines="0" w:afterAutospacing="0" w:line="240" w:lineRule="auto"/>
        <w:jc w:val="left"/>
        <w:outlineLvl w:val="1"/>
        <w:rPr>
          <w:rFonts w:hint="default"/>
        </w:rPr>
        <w:sectPr>
          <w:pgSz w:w="12240" w:h="15840"/>
          <w:pgMar w:top="1440" w:right="1800" w:bottom="1440" w:left="1800" w:header="720" w:footer="720" w:gutter="0"/>
          <w:cols w:space="720" w:num="1"/>
        </w:sectPr>
      </w:pPr>
      <w:r>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5481955" cy="6014720"/>
            <wp:effectExtent l="0" t="0" r="4445" b="508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grayscl/>
                    </a:blip>
                    <a:stretch>
                      <a:fillRect/>
                    </a:stretch>
                  </pic:blipFill>
                  <pic:spPr>
                    <a:xfrm>
                      <a:off x="0" y="0"/>
                      <a:ext cx="5481955" cy="6014720"/>
                    </a:xfrm>
                    <a:prstGeom prst="rect">
                      <a:avLst/>
                    </a:prstGeom>
                    <a:noFill/>
                    <a:ln w="9525">
                      <a:noFill/>
                    </a:ln>
                  </pic:spPr>
                </pic:pic>
              </a:graphicData>
            </a:graphic>
          </wp:anchor>
        </w:drawing>
      </w:r>
    </w:p>
    <w:p>
      <w:pPr>
        <w:widowControl/>
        <w:spacing w:before="0" w:beforeLines="0" w:beforeAutospacing="0" w:after="0" w:afterLines="0" w:afterAutospacing="0" w:line="240" w:lineRule="auto"/>
        <w:jc w:val="left"/>
        <w:outlineLvl w:val="1"/>
        <w:rPr>
          <w:rFonts w:hint="default"/>
        </w:rPr>
        <w:sectPr>
          <w:pgSz w:w="12240" w:h="15840"/>
          <w:pgMar w:top="1440" w:right="1800" w:bottom="1440" w:left="1800" w:header="720" w:footer="720" w:gutter="0"/>
          <w:cols w:space="720" w:num="1"/>
        </w:sectPr>
      </w:pPr>
      <w:r>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5725160" cy="7841615"/>
            <wp:effectExtent l="0" t="0" r="8890" b="6985"/>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stretch>
                      <a:fillRect/>
                    </a:stretch>
                  </pic:blipFill>
                  <pic:spPr>
                    <a:xfrm>
                      <a:off x="0" y="0"/>
                      <a:ext cx="5725160" cy="7841615"/>
                    </a:xfrm>
                    <a:prstGeom prst="rect">
                      <a:avLst/>
                    </a:prstGeom>
                    <a:noFill/>
                    <a:ln w="9525">
                      <a:noFill/>
                    </a:ln>
                  </pic:spPr>
                </pic:pic>
              </a:graphicData>
            </a:graphic>
          </wp:anchor>
        </w:drawing>
      </w:r>
    </w:p>
    <w:p>
      <w:pPr>
        <w:widowControl/>
        <w:spacing w:before="0" w:beforeLines="0" w:beforeAutospacing="0" w:after="0" w:afterLines="0" w:afterAutospacing="0" w:line="240" w:lineRule="auto"/>
        <w:jc w:val="left"/>
        <w:outlineLvl w:val="1"/>
        <w:rPr>
          <w:rFonts w:hint="default"/>
        </w:rPr>
        <w:sectPr>
          <w:pgSz w:w="12240" w:h="15840"/>
          <w:pgMar w:top="1440" w:right="1800" w:bottom="1440" w:left="1800" w:header="720" w:footer="720" w:gutter="0"/>
          <w:cols w:space="720" w:num="1"/>
        </w:sectPr>
      </w:pPr>
      <w:r>
        <w:drawing>
          <wp:inline distT="0" distB="0" distL="114300" distR="114300">
            <wp:extent cx="5480050" cy="7385685"/>
            <wp:effectExtent l="0" t="0" r="635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a:grayscl/>
                    </a:blip>
                    <a:stretch>
                      <a:fillRect/>
                    </a:stretch>
                  </pic:blipFill>
                  <pic:spPr>
                    <a:xfrm>
                      <a:off x="0" y="0"/>
                      <a:ext cx="5480050" cy="7385685"/>
                    </a:xfrm>
                    <a:prstGeom prst="rect">
                      <a:avLst/>
                    </a:prstGeom>
                    <a:noFill/>
                    <a:ln w="9525">
                      <a:noFill/>
                    </a:ln>
                  </pic:spPr>
                </pic:pic>
              </a:graphicData>
            </a:graphic>
          </wp:inline>
        </w:drawing>
      </w:r>
    </w:p>
    <w:p>
      <w:pPr>
        <w:widowControl/>
        <w:spacing w:before="0" w:beforeLines="0" w:beforeAutospacing="0" w:after="0" w:afterLines="0" w:afterAutospacing="0" w:line="240" w:lineRule="auto"/>
        <w:jc w:val="left"/>
        <w:outlineLvl w:val="1"/>
        <w:rPr>
          <w:rFonts w:hint="default"/>
        </w:rPr>
        <w:sectPr>
          <w:pgSz w:w="12240" w:h="15840"/>
          <w:pgMar w:top="1440" w:right="1800" w:bottom="1440" w:left="1800" w:header="720" w:footer="720" w:gutter="0"/>
          <w:cols w:space="720" w:num="1"/>
        </w:sectPr>
      </w:pPr>
      <w:r>
        <w:drawing>
          <wp:inline distT="0" distB="0" distL="114300" distR="114300">
            <wp:extent cx="5476875" cy="7668895"/>
            <wp:effectExtent l="0" t="0" r="9525"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
                    <a:stretch>
                      <a:fillRect/>
                    </a:stretch>
                  </pic:blipFill>
                  <pic:spPr>
                    <a:xfrm>
                      <a:off x="0" y="0"/>
                      <a:ext cx="5476875" cy="7668895"/>
                    </a:xfrm>
                    <a:prstGeom prst="rect">
                      <a:avLst/>
                    </a:prstGeom>
                    <a:noFill/>
                    <a:ln w="9525">
                      <a:noFill/>
                    </a:ln>
                  </pic:spPr>
                </pic:pic>
              </a:graphicData>
            </a:graphic>
          </wp:inline>
        </w:drawing>
      </w:r>
    </w:p>
    <w:p>
      <w:pPr>
        <w:widowControl/>
        <w:spacing w:before="0" w:beforeLines="0" w:beforeAutospacing="0" w:after="0" w:afterLines="0" w:afterAutospacing="0" w:line="240" w:lineRule="auto"/>
        <w:jc w:val="left"/>
        <w:outlineLvl w:val="1"/>
      </w:pPr>
      <w:r>
        <w:drawing>
          <wp:inline distT="0" distB="0" distL="114300" distR="114300">
            <wp:extent cx="5485130" cy="1546225"/>
            <wp:effectExtent l="0" t="0" r="127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5485130" cy="154622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rPr>
          <w:rFonts w:hint="eastAsia" w:ascii="宋体" w:hAnsi="宋体" w:eastAsia="宋体" w:cs="宋体"/>
          <w:b w:val="0"/>
          <w:sz w:val="20"/>
          <w:szCs w:val="20"/>
        </w:rPr>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76875" cy="1564005"/>
            <wp:effectExtent l="0" t="0" r="9525" b="571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1"/>
                    <a:stretch>
                      <a:fillRect/>
                    </a:stretch>
                  </pic:blipFill>
                  <pic:spPr>
                    <a:xfrm>
                      <a:off x="0" y="0"/>
                      <a:ext cx="5476875" cy="156400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bookmarkStart w:id="0" w:name="_GoBack"/>
      <w:bookmarkEnd w:id="0"/>
    </w:p>
    <w:p>
      <w:pPr>
        <w:widowControl/>
        <w:spacing w:before="0" w:beforeLines="0" w:beforeAutospacing="0" w:after="0" w:afterLines="0" w:afterAutospacing="0" w:line="240" w:lineRule="auto"/>
        <w:jc w:val="left"/>
        <w:outlineLvl w:val="1"/>
        <w:rPr>
          <w:rFonts w:hint="default"/>
        </w:rPr>
      </w:pPr>
      <w:r>
        <w:drawing>
          <wp:inline distT="0" distB="0" distL="114300" distR="114300">
            <wp:extent cx="5482590" cy="2117725"/>
            <wp:effectExtent l="0" t="0" r="3810" b="158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2"/>
                    <a:stretch>
                      <a:fillRect/>
                    </a:stretch>
                  </pic:blipFill>
                  <pic:spPr>
                    <a:xfrm>
                      <a:off x="0" y="0"/>
                      <a:ext cx="5482590" cy="2117725"/>
                    </a:xfrm>
                    <a:prstGeom prst="rect">
                      <a:avLst/>
                    </a:prstGeom>
                    <a:noFill/>
                    <a:ln w="9525">
                      <a:noFill/>
                    </a:ln>
                  </pic:spPr>
                </pic:pic>
              </a:graphicData>
            </a:graphic>
          </wp:inline>
        </w:drawing>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C75EBC"/>
    <w:rsid w:val="18607B41"/>
    <w:rsid w:val="321329BF"/>
    <w:rsid w:val="4A0A5677"/>
    <w:rsid w:val="4F742309"/>
    <w:rsid w:val="55EC2B21"/>
    <w:rsid w:val="571B049C"/>
    <w:rsid w:val="6DBD493E"/>
    <w:rsid w:val="70603019"/>
    <w:rsid w:val="751F2D6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12</Pages>
  <Words>4530</Words>
  <Characters>5047</Characters>
  <TotalTime>2</TotalTime>
  <ScaleCrop>false</ScaleCrop>
  <LinksUpToDate>false</LinksUpToDate>
  <CharactersWithSpaces>5047</CharactersWithSpaces>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2025-08-14T09:32:00Z</dcterms:created>
  <dc:creator>Administrator</dc:creator>
  <cp:lastModifiedBy>lenovo</cp:lastModifiedBy>
  <dcterms:modified xsi:type="dcterms:W3CDTF">2025-08-19T11:16:03Z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KSOTemplateDocerSaveRecord">
    <vt:lpwstr>eyJoZGlkIjoiYTE0NWVhZWZhNTQwNjc1YWIxMGEzMWQ5MDQ1NTZlN2QiLCJ1c2VySWQiOiIxNzI2ODAzODExIn0=</vt:lpwstr>
  </property>
  <property fmtid="{D5CDD505-2E9C-101B-9397-08002B2CF9AE}" pid="4" name="ICV">
    <vt:lpwstr>BE0C2C7B33744AAEBE734E93E1B21A6C_12</vt:lpwstr>
  </property>
</Properties>
</file>