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中国共产主义青年团库尔勒市委员会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中国共产主义青年团是中国共产党领导的先进青年的群团组织，是广大青年在实践中学习中国特色社会主义和共产主义的学校，是党的助手和后备军。共青团库尔勒市委员会是全市共青团组织的领导机关，负责制定全市共青团组织的工作发展规划，指导、检查、督促基层团组织的工作及团干部队伍、团员队伍建设。团市委的主要职责是：</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1）组织青年学习马克思列宁主义、毛泽东思想、邓小平理论、“三个代表”重要思想、科学发展观、习近平新时代中国特色社会主义思想，广泛开展党的基本路线教育，爱国主义、集体主义和社会主义思想教育，社会主义核心价值观教育，中华优秀传统文化、革命文化、社会主义先进文化教育，近代史、现代史教育和国情教育，民主和法治教育，努力帮助青年学习现代科学文化知识，不断提高青年的思想道德素质和科学文化素质。</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（2）发挥生力军和突击队作用，组织青年参加改革开放和社会主义现代化建设的实践，掌握和运用先进的科学技术，学习和适应现代管理方式，诚实劳动，勇于创新。</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3）贯彻党管青年原则，充分发挥党联系青年的桥梁和纽带作用，为党做好青年群众工作。协助党和政府管理青年事务，协调督促青年发展规划落实，承担适合承担的公共职能，服务国家治理体系和治理能力现代化。承担维护国家和人民利益的责任；负责代表和维护青年的具体利益。</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4）调查研究本市青少年生存发展和青少年工作状况；参与制定实施本市青少年工作和青少年事业发展规划；参与制定并实施本市有关青年和青年工作的政策；配合政府有关部门处理、协调和督办与本市青少年权益相关的事务；积极发挥共青团在政府和社会事务管理中的民主参与、民主监督作用。</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5）开展青年统战工作，建立广泛的青年爱国统一战线，做好青年统战对象的团结、教育工作，维护、促进祖国统和民族团结；会同本市有关部门做好青少年外事工作，建立、发展同世界各国青少年的联系，促进国际交流与合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（6）承办市委交办的其他事项。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中国共产主义青年团库尔勒市委员会2024年度，实有人数9人，其中：在职人员9人，较上年无变化；离休人员0人，较上年无变化；退休人员0人，较上年无变化；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中国共产主义青年团库尔勒市委员会无下属预算单位，</w:t>
      </w:r>
      <w:r>
        <w:rPr>
          <w:rFonts w:hint="eastAsia" w:ascii="仿宋_GB2312" w:eastAsia="仿宋_GB2312"/>
          <w:b w:val="0"/>
          <w:sz w:val="32"/>
          <w:szCs w:val="32"/>
        </w:rPr>
        <w:t>下设3个处室</w:t>
      </w:r>
      <w:r>
        <w:rPr>
          <w:rFonts w:ascii="仿宋_GB2312" w:eastAsia="仿宋_GB2312"/>
          <w:b w:val="0"/>
          <w:sz w:val="32"/>
          <w:szCs w:val="32"/>
        </w:rPr>
        <w:t>，分别是：</w:t>
      </w:r>
      <w:r>
        <w:rPr>
          <w:rFonts w:hint="eastAsia" w:ascii="仿宋_GB2312" w:eastAsia="仿宋_GB2312"/>
          <w:b w:val="0"/>
          <w:sz w:val="32"/>
          <w:szCs w:val="32"/>
        </w:rPr>
        <w:t>少先队库尔勒市工作委员会，青少年营地筹建办公室，团校</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2024年度收入总计1,125.20万元，其中：本年收入合计1,125.20万元，使用非财政拨款结余（含专用结余）0.00万元，年初结转和结余0.00万元。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2024年度支出总计1,125.20万元，其中：本年支出合计1,125.20万元，结余分配0.00万元，年末结转和结余0.00万元。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收入支出总体与上年相比，增加182.10万元，增长19.31%，主要原因是：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本年收入1,125.20万元，其中：财政拨款收入1,045.80万元,占92.94%；上级补助收入0.00万元,占0.00%；事业收入0.00万元，占0.00%；经营收入0.00万元,占0.00%；附属单位上缴收入0.00万元，占0.00%；其他收入79.39万元，占7.06%。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本年支出1,125.20万元，其中：基本支出673.44万元，占59.85%；项目支出451.75万元，占40.15%；上缴上级支出0.00万元，占0.00%；经营支出0.00万元，占0.00%；对附属单位补助支出0.00万元，占0.00%。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1,045.80万元，其中：年初财政拨款结转和结余0.00万元，本年财政拨款收入1,045.80万元。财政拨款支出总计1,045.80万元，其中：年末财政拨款结转和结余0.00万元，本年财政拨款支出1,045.80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财政拨款收入支出总体与上年相比，增加128.25万元，增长13.98%，主要原因是：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。与年初预算相比，年初预算数849.38万元，决算数1,045.80万元，预决算差异率23.13%，主要原因是：</w:t>
      </w:r>
      <w:r>
        <w:rPr>
          <w:rFonts w:hint="eastAsia" w:ascii="仿宋_GB2312" w:eastAsia="仿宋_GB2312"/>
          <w:b w:val="0"/>
          <w:sz w:val="32"/>
          <w:szCs w:val="32"/>
          <w:lang w:val="en-US" w:eastAsia="zh-CN"/>
        </w:rPr>
        <w:t>西部计划志愿者补助项目增加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2024年度一般公共预算财政拨款支出1,045.80万元，占本年支出合计的92.94%。与上年相比，增加128.25万元，增长13.98%，主要原因是：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。与年初预算相比，年初预算数849.38万元，决算数1,045.80万元，预决算差异率23.13%，主要原因是：</w:t>
      </w:r>
      <w:r>
        <w:rPr>
          <w:rFonts w:hint="eastAsia" w:ascii="仿宋_GB2312" w:eastAsia="仿宋_GB2312"/>
          <w:b w:val="0"/>
          <w:sz w:val="32"/>
          <w:szCs w:val="32"/>
          <w:lang w:val="en-US" w:eastAsia="zh-CN"/>
        </w:rPr>
        <w:t>西部计划志愿者补助项目增加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一般公共服务支出（类）1,015.19万元，占97.07%。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教育支出（类）0.58万元，占0.06%。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社会保障和就业支出（类）12.80万元，占1.22%。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卫生健康支出（类）7.36万元，占0.70%。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住房保障支出（类）9.89万元，占0.95%。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一般公共服务支出（类）群众团体事务（款）行政运行（项）：支出决算数为94.39万元，比上年决算增加3.79万元，增长4.18%，主要原因是：</w:t>
      </w:r>
      <w:r>
        <w:rPr>
          <w:rFonts w:hint="eastAsia" w:ascii="仿宋_GB2312" w:eastAsia="仿宋_GB2312"/>
          <w:b w:val="0"/>
          <w:sz w:val="32"/>
          <w:szCs w:val="32"/>
        </w:rPr>
        <w:t>人员工资增长，社保、公积金基数调增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一般公共服务支出（类）群众团体事务（款）一般行政管理事务（项）：支出决算数为372.36万元，比上年决算增加372.36万元，增长100.00%，主要原因是：</w:t>
      </w:r>
      <w:r>
        <w:rPr>
          <w:rFonts w:hint="eastAsia" w:ascii="仿宋_GB2312" w:eastAsia="仿宋_GB2312"/>
          <w:b w:val="0"/>
          <w:sz w:val="32"/>
          <w:szCs w:val="32"/>
          <w:lang w:val="en-US" w:eastAsia="zh-CN"/>
        </w:rPr>
        <w:t>今年部分西部计划志愿者经费列入此科目。</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一般公共服务支出（类）群众团体事务（款）其他群众团体事务支出（项）：支出决算数为548.44万元，比上年决算减少252.19万元，下降31.50%，主要原因是：</w:t>
      </w:r>
      <w:r>
        <w:rPr>
          <w:rFonts w:hint="eastAsia" w:ascii="仿宋_GB2312" w:eastAsia="仿宋_GB2312"/>
          <w:b w:val="0"/>
          <w:sz w:val="32"/>
          <w:szCs w:val="32"/>
          <w:lang w:val="en-US" w:eastAsia="zh-CN"/>
        </w:rPr>
        <w:t>本年大学生西部计划志愿者补助减少。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教育支出（类）进修及培训（款）培训支出（项）：支出决算数为0.58万元，比上年决算增加0.22万元，增长61.11%，主要原因是：</w:t>
      </w:r>
      <w:r>
        <w:rPr>
          <w:rFonts w:hint="eastAsia" w:ascii="仿宋_GB2312" w:eastAsia="仿宋_GB2312"/>
          <w:b w:val="0"/>
          <w:sz w:val="32"/>
          <w:szCs w:val="32"/>
          <w:lang w:val="en-US" w:eastAsia="zh-CN"/>
        </w:rPr>
        <w:t>本年单位职工外出培训次数增加。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社会保障和就业支出（类）行政事业单位养老支出（款）机关事业单位基本养老保险缴费支出（项）：支出决算数为12.80万元，比上年决算增加2.25万元，增长21.33%，主要原因是：</w:t>
      </w:r>
      <w:r>
        <w:rPr>
          <w:rFonts w:hint="eastAsia" w:ascii="仿宋_GB2312" w:eastAsia="仿宋_GB2312"/>
          <w:b w:val="0"/>
          <w:sz w:val="32"/>
          <w:szCs w:val="32"/>
        </w:rPr>
        <w:t>人员工资增长</w:t>
      </w:r>
      <w:r>
        <w:rPr>
          <w:rFonts w:hint="eastAsia" w:ascii="仿宋_GB2312" w:eastAsia="仿宋_GB2312"/>
          <w:b w:val="0"/>
          <w:sz w:val="32"/>
          <w:szCs w:val="32"/>
          <w:lang w:eastAsia="zh-CN"/>
        </w:rPr>
        <w:t>、</w:t>
      </w:r>
      <w:r>
        <w:rPr>
          <w:rFonts w:hint="eastAsia" w:ascii="仿宋_GB2312" w:eastAsia="仿宋_GB2312"/>
          <w:b w:val="0"/>
          <w:sz w:val="32"/>
          <w:szCs w:val="32"/>
        </w:rPr>
        <w:t>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卫生健康支出（类）行政事业单位医疗（款）行政单位医疗（项）：支出决算数为5.80万元，比上年决算增加0.58万元，增长11.11%，主要原因是：</w:t>
      </w:r>
      <w:r>
        <w:rPr>
          <w:rFonts w:hint="eastAsia" w:ascii="仿宋_GB2312" w:eastAsia="仿宋_GB2312"/>
          <w:b w:val="0"/>
          <w:sz w:val="32"/>
          <w:szCs w:val="32"/>
        </w:rPr>
        <w:t>人员工资增长</w:t>
      </w:r>
      <w:r>
        <w:rPr>
          <w:rFonts w:hint="eastAsia" w:ascii="仿宋_GB2312" w:eastAsia="仿宋_GB2312"/>
          <w:b w:val="0"/>
          <w:sz w:val="32"/>
          <w:szCs w:val="32"/>
          <w:lang w:eastAsia="zh-CN"/>
        </w:rPr>
        <w:t>、</w:t>
      </w:r>
      <w:r>
        <w:rPr>
          <w:rFonts w:hint="eastAsia" w:ascii="仿宋_GB2312" w:eastAsia="仿宋_GB2312"/>
          <w:b w:val="0"/>
          <w:sz w:val="32"/>
          <w:szCs w:val="32"/>
        </w:rPr>
        <w:t>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卫生健康支出（类）行政事业单位医疗（款）公务员医疗补助（项）：支出决算数为1.55万元，比上年决算增加0.09万元，增长6.16%，主要原因是：</w:t>
      </w:r>
      <w:r>
        <w:rPr>
          <w:rFonts w:hint="eastAsia" w:ascii="仿宋_GB2312" w:eastAsia="仿宋_GB2312"/>
          <w:b w:val="0"/>
          <w:sz w:val="32"/>
          <w:szCs w:val="32"/>
        </w:rPr>
        <w:t>人员工资增长</w:t>
      </w:r>
      <w:r>
        <w:rPr>
          <w:rFonts w:hint="eastAsia" w:ascii="仿宋_GB2312" w:eastAsia="仿宋_GB2312"/>
          <w:b w:val="0"/>
          <w:sz w:val="32"/>
          <w:szCs w:val="32"/>
          <w:lang w:eastAsia="zh-CN"/>
        </w:rPr>
        <w:t>、</w:t>
      </w:r>
      <w:r>
        <w:rPr>
          <w:rFonts w:hint="eastAsia" w:ascii="仿宋_GB2312" w:eastAsia="仿宋_GB2312"/>
          <w:b w:val="0"/>
          <w:sz w:val="32"/>
          <w:szCs w:val="32"/>
        </w:rPr>
        <w:t>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住房保障支出（类）住房改革支出（款）住房公积金（项）：支出决算数为9.89万元，比上年决算增加1.15万元，增长13.16%，主要原因是：</w:t>
      </w:r>
      <w:r>
        <w:rPr>
          <w:rFonts w:hint="eastAsia" w:ascii="仿宋_GB2312" w:eastAsia="仿宋_GB2312"/>
          <w:b w:val="0"/>
          <w:sz w:val="32"/>
          <w:szCs w:val="32"/>
        </w:rPr>
        <w:t>人员工资增长，公积金基数调增</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673.44万元，其中：人员经费669.32万元，包括：基本工资、津贴补贴、奖金、机关事业单位基本养老保险缴费、职工基本医疗保险缴费、公务员医疗补助缴费、其他社会保障缴费、住房公积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公用经费4.12万元，包括：办公费、邮电费、差旅费、培训费、委托业务费、工会经费、福利费和公务用车运行维护费。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2024年度财政拨款“三公”经费支出0.43万元，比上年减少0.92万元，下降68.15%，主要原因是：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我单位无因公出国（境）费；</w:t>
      </w:r>
      <w:r>
        <w:rPr>
          <w:rFonts w:ascii="仿宋_GB2312" w:eastAsia="仿宋_GB2312"/>
          <w:b w:val="0"/>
          <w:sz w:val="32"/>
          <w:szCs w:val="32"/>
        </w:rPr>
        <w:t>公务用车购置及运行维护费支出0.43万元，占100.00%，比上年减少0.92万元，下降68.15%，主要原因是：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hint="eastAsia" w:ascii="仿宋_GB2312" w:eastAsia="仿宋_GB2312"/>
          <w:b w:val="0"/>
          <w:sz w:val="32"/>
          <w:szCs w:val="32"/>
          <w:lang w:eastAsia="zh-CN"/>
        </w:rPr>
        <w:t>；</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val="en-US" w:eastAsia="zh-CN"/>
        </w:rPr>
        <w:t>我</w:t>
      </w:r>
      <w:r>
        <w:rPr>
          <w:rFonts w:hint="eastAsia" w:ascii="仿宋_GB2312" w:eastAsia="仿宋_GB2312"/>
          <w:color w:val="auto"/>
          <w:sz w:val="32"/>
          <w:szCs w:val="32"/>
          <w:highlight w:val="none"/>
          <w:lang w:val="zh-CN" w:eastAsia="zh-CN"/>
        </w:rPr>
        <w:t>单位无因公出国（境）费</w:t>
      </w:r>
      <w:r>
        <w:rPr>
          <w:rFonts w:hint="eastAsia" w:ascii="仿宋_GB2312" w:eastAsia="仿宋_GB2312"/>
          <w:color w:val="auto"/>
          <w:sz w:val="32"/>
          <w:szCs w:val="32"/>
          <w:highlight w:val="none"/>
          <w:lang w:val="en-US" w:eastAsia="zh-CN"/>
        </w:rPr>
        <w:t>支出</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公务用车购置及运行维护费0.43万元，其中：公务用车购置费0.00万元，公务用车运行维护费0.43万元。公务用车运行维护费</w:t>
      </w:r>
      <w:r>
        <w:rPr>
          <w:rFonts w:hint="eastAsia" w:ascii="仿宋_GB2312" w:eastAsia="仿宋_GB2312"/>
          <w:color w:val="auto"/>
          <w:sz w:val="32"/>
          <w:szCs w:val="32"/>
          <w:highlight w:val="none"/>
          <w:lang w:val="zh-CN" w:eastAsia="zh-CN"/>
        </w:rPr>
        <w:t>开支内容包括车辆保险、燃油费、维修费等</w:t>
      </w:r>
      <w:r>
        <w:rPr>
          <w:rFonts w:ascii="仿宋_GB2312" w:eastAsia="仿宋_GB2312"/>
          <w:b w:val="0"/>
          <w:sz w:val="32"/>
          <w:szCs w:val="32"/>
        </w:rPr>
        <w:t>。公务用车购置数0辆，公务用车保有量1辆。国有资产占用情况中固定资产车辆1辆，与公务用车保有量差异原因是：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color w:val="auto"/>
          <w:sz w:val="32"/>
          <w:szCs w:val="32"/>
          <w:highlight w:val="none"/>
          <w:lang w:val="en-US" w:eastAsia="zh-CN"/>
        </w:rPr>
        <w:t>本年度</w:t>
      </w:r>
      <w:r>
        <w:rPr>
          <w:rFonts w:hint="eastAsia" w:ascii="仿宋_GB2312" w:eastAsia="仿宋_GB2312"/>
          <w:color w:val="auto"/>
          <w:sz w:val="32"/>
          <w:szCs w:val="32"/>
          <w:highlight w:val="none"/>
          <w:lang w:val="zh-CN" w:eastAsia="zh-CN"/>
        </w:rPr>
        <w:t>无公务接待费支出</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与全年预算相比，财政拨款“三公”经费支出全年预算数0.43万元，决算数0.43万元，预决算差异率0.00%，主要原因是：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hint="eastAsia" w:ascii="仿宋_GB2312" w:eastAsia="仿宋_GB2312"/>
          <w:b w:val="0"/>
          <w:sz w:val="32"/>
          <w:szCs w:val="32"/>
          <w:lang w:val="en-US" w:eastAsia="zh-CN"/>
        </w:rPr>
        <w:t>,预决算无差异</w:t>
      </w:r>
      <w:r>
        <w:rPr>
          <w:rFonts w:hint="eastAsia" w:ascii="仿宋_GB2312" w:eastAsia="仿宋_GB2312"/>
          <w:b w:val="0"/>
          <w:sz w:val="32"/>
          <w:szCs w:val="32"/>
          <w:lang w:eastAsia="zh-CN"/>
        </w:rPr>
        <w:t>；</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我单位无</w:t>
      </w:r>
      <w:r>
        <w:rPr>
          <w:rFonts w:hint="eastAsia" w:ascii="仿宋_GB2312" w:eastAsia="仿宋_GB2312"/>
          <w:b w:val="0"/>
          <w:sz w:val="32"/>
          <w:szCs w:val="32"/>
          <w:lang w:val="en-US" w:eastAsia="zh-CN"/>
        </w:rPr>
        <w:t>公务用车购置</w:t>
      </w:r>
      <w:r>
        <w:rPr>
          <w:rFonts w:hint="eastAsia" w:ascii="仿宋_GB2312" w:eastAsia="仿宋_GB2312"/>
          <w:b w:val="0"/>
          <w:sz w:val="32"/>
          <w:szCs w:val="32"/>
        </w:rPr>
        <w:t>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预决算无差异</w:t>
      </w:r>
      <w:r>
        <w:rPr>
          <w:rFonts w:ascii="仿宋_GB2312" w:eastAsia="仿宋_GB2312"/>
          <w:b w:val="0"/>
          <w:sz w:val="32"/>
          <w:szCs w:val="32"/>
        </w:rPr>
        <w:t>。公务用车运行维护费全年预算数0.43万元，决算数0.43万元，预决算差异率0.00%，主要原因是：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预决算无差异</w:t>
      </w:r>
      <w:r>
        <w:rPr>
          <w:rFonts w:ascii="仿宋_GB2312" w:eastAsia="仿宋_GB2312"/>
          <w:b w:val="0"/>
          <w:sz w:val="32"/>
          <w:szCs w:val="32"/>
        </w:rPr>
        <w:t>。公务接待费全年预算</w:t>
      </w:r>
      <w:bookmarkStart w:id="0" w:name="_GoBack"/>
      <w:bookmarkEnd w:id="0"/>
      <w:r>
        <w:rPr>
          <w:rFonts w:ascii="仿宋_GB2312" w:eastAsia="仿宋_GB2312"/>
          <w:b w:val="0"/>
          <w:sz w:val="32"/>
          <w:szCs w:val="32"/>
        </w:rPr>
        <w:t>数0.00万元，决算数0.00万元，预决算差异率0.00%，主要原因是：</w:t>
      </w:r>
      <w:r>
        <w:rPr>
          <w:rFonts w:hint="eastAsia" w:ascii="仿宋_GB2312" w:eastAsia="仿宋_GB2312"/>
          <w:b w:val="0"/>
          <w:sz w:val="32"/>
          <w:szCs w:val="32"/>
        </w:rPr>
        <w:t>我单位无公务接待费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预决算无差异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2024年度中国共产主义青年团库尔勒市委员会单位机关运行经费支出4.12万元，比上年增加0.20万元，增长5.10%，主要原因是：</w:t>
      </w:r>
      <w:r>
        <w:rPr>
          <w:rFonts w:hint="eastAsia" w:ascii="仿宋_GB2312" w:eastAsia="仿宋_GB2312"/>
          <w:b w:val="0"/>
          <w:sz w:val="32"/>
          <w:szCs w:val="32"/>
          <w:lang w:val="en-US" w:eastAsia="zh-CN"/>
        </w:rPr>
        <w:t>今年本机财政承担了部分西部计划志愿者活动经费</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2024年度政府采购支出总额9.41万元，其中：政府采购货物支出7.76万元、政府采购工程支出0.00万元、政府采购服务支出1.65万元。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授予中小企业合同金额9.41万元，占政府采购支出总额的100.00%，其中：授予小微企业合同金额2.82万元，占政府采购支出总额的29.97%。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600.00平方米，价值55.00万元。车辆1辆，价值11.16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rPr>
        <w:t>办公室及单位其他外出办事用车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1125.2</w:t>
      </w:r>
      <w:r>
        <w:rPr>
          <w:rFonts w:ascii="仿宋_GB2312" w:eastAsia="仿宋_GB2312"/>
          <w:b w:val="0"/>
          <w:sz w:val="32"/>
          <w:szCs w:val="32"/>
        </w:rPr>
        <w:t>万元，实际执行总额</w:t>
      </w:r>
      <w:r>
        <w:rPr>
          <w:rFonts w:hint="eastAsia" w:ascii="仿宋_GB2312" w:eastAsia="仿宋_GB2312"/>
          <w:b w:val="0"/>
          <w:sz w:val="32"/>
          <w:szCs w:val="32"/>
          <w:lang w:val="en-US" w:eastAsia="zh-CN"/>
        </w:rPr>
        <w:t>1125.2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w:t>
      </w:r>
      <w:r>
        <w:rPr>
          <w:rFonts w:ascii="仿宋_GB2312" w:eastAsia="仿宋_GB2312"/>
          <w:b w:val="0"/>
          <w:sz w:val="32"/>
          <w:szCs w:val="32"/>
        </w:rPr>
        <w:t>个，全年预算数</w:t>
      </w:r>
      <w:r>
        <w:rPr>
          <w:rFonts w:hint="eastAsia" w:ascii="仿宋_GB2312" w:eastAsia="仿宋_GB2312"/>
          <w:b w:val="0"/>
          <w:sz w:val="32"/>
          <w:szCs w:val="32"/>
          <w:lang w:val="en-US" w:eastAsia="zh-CN"/>
        </w:rPr>
        <w:t>189.86</w:t>
      </w:r>
      <w:r>
        <w:rPr>
          <w:rFonts w:ascii="仿宋_GB2312" w:eastAsia="仿宋_GB2312"/>
          <w:b w:val="0"/>
          <w:sz w:val="32"/>
          <w:szCs w:val="32"/>
        </w:rPr>
        <w:t>万元，全年执行数</w:t>
      </w:r>
      <w:r>
        <w:rPr>
          <w:rFonts w:hint="eastAsia" w:ascii="仿宋_GB2312" w:eastAsia="仿宋_GB2312"/>
          <w:b w:val="0"/>
          <w:sz w:val="32"/>
          <w:szCs w:val="32"/>
          <w:lang w:val="en-US" w:eastAsia="zh-CN"/>
        </w:rPr>
        <w:t>189.86</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59264" behindDoc="0" locked="0" layoutInCell="1" allowOverlap="1">
            <wp:simplePos x="0" y="0"/>
            <wp:positionH relativeFrom="column">
              <wp:posOffset>-504825</wp:posOffset>
            </wp:positionH>
            <wp:positionV relativeFrom="paragraph">
              <wp:posOffset>635</wp:posOffset>
            </wp:positionV>
            <wp:extent cx="6635750" cy="8045450"/>
            <wp:effectExtent l="0" t="0" r="12700" b="1270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635750" cy="8045450"/>
                    </a:xfrm>
                    <a:prstGeom prst="rect">
                      <a:avLst/>
                    </a:prstGeom>
                    <a:noFill/>
                    <a:ln>
                      <a:noFill/>
                    </a:ln>
                  </pic:spPr>
                </pic:pic>
              </a:graphicData>
            </a:graphic>
          </wp:anchor>
        </w:drawing>
      </w:r>
    </w:p>
    <w:p>
      <w:pPr>
        <w:bidi w:val="0"/>
        <w:jc w:val="left"/>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0288" behindDoc="0" locked="0" layoutInCell="1" allowOverlap="1">
            <wp:simplePos x="0" y="0"/>
            <wp:positionH relativeFrom="column">
              <wp:posOffset>-628650</wp:posOffset>
            </wp:positionH>
            <wp:positionV relativeFrom="paragraph">
              <wp:posOffset>10160</wp:posOffset>
            </wp:positionV>
            <wp:extent cx="6931025" cy="7741920"/>
            <wp:effectExtent l="0" t="0" r="3175" b="1143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stretch>
                      <a:fillRect/>
                    </a:stretch>
                  </pic:blipFill>
                  <pic:spPr>
                    <a:xfrm>
                      <a:off x="0" y="0"/>
                      <a:ext cx="6931025" cy="7741920"/>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1312" behindDoc="0" locked="0" layoutInCell="1" allowOverlap="1">
            <wp:simplePos x="0" y="0"/>
            <wp:positionH relativeFrom="column">
              <wp:posOffset>-371475</wp:posOffset>
            </wp:positionH>
            <wp:positionV relativeFrom="paragraph">
              <wp:posOffset>0</wp:posOffset>
            </wp:positionV>
            <wp:extent cx="6536055" cy="6975475"/>
            <wp:effectExtent l="0" t="0" r="17145" b="15875"/>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6"/>
                    <a:stretch>
                      <a:fillRect/>
                    </a:stretch>
                  </pic:blipFill>
                  <pic:spPr>
                    <a:xfrm>
                      <a:off x="0" y="0"/>
                      <a:ext cx="6536055" cy="697547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2336" behindDoc="0" locked="0" layoutInCell="1" allowOverlap="1">
            <wp:simplePos x="0" y="0"/>
            <wp:positionH relativeFrom="column">
              <wp:posOffset>-438150</wp:posOffset>
            </wp:positionH>
            <wp:positionV relativeFrom="paragraph">
              <wp:posOffset>9525</wp:posOffset>
            </wp:positionV>
            <wp:extent cx="6671945" cy="8148320"/>
            <wp:effectExtent l="0" t="0" r="14605" b="508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7"/>
                    <a:stretch>
                      <a:fillRect/>
                    </a:stretch>
                  </pic:blipFill>
                  <pic:spPr>
                    <a:xfrm>
                      <a:off x="0" y="0"/>
                      <a:ext cx="6671945" cy="8148320"/>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3360" behindDoc="0" locked="0" layoutInCell="1" allowOverlap="1">
            <wp:simplePos x="0" y="0"/>
            <wp:positionH relativeFrom="column">
              <wp:posOffset>-419100</wp:posOffset>
            </wp:positionH>
            <wp:positionV relativeFrom="paragraph">
              <wp:posOffset>85725</wp:posOffset>
            </wp:positionV>
            <wp:extent cx="6661785" cy="8152765"/>
            <wp:effectExtent l="0" t="0" r="5715" b="635"/>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8"/>
                    <a:stretch>
                      <a:fillRect/>
                    </a:stretch>
                  </pic:blipFill>
                  <pic:spPr>
                    <a:xfrm>
                      <a:off x="0" y="0"/>
                      <a:ext cx="6661785" cy="815276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4384" behindDoc="0" locked="0" layoutInCell="1" allowOverlap="1">
            <wp:simplePos x="0" y="0"/>
            <wp:positionH relativeFrom="column">
              <wp:posOffset>-466725</wp:posOffset>
            </wp:positionH>
            <wp:positionV relativeFrom="paragraph">
              <wp:posOffset>-28575</wp:posOffset>
            </wp:positionV>
            <wp:extent cx="6722110" cy="7831455"/>
            <wp:effectExtent l="0" t="0" r="2540" b="17145"/>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9"/>
                    <a:stretch>
                      <a:fillRect/>
                    </a:stretch>
                  </pic:blipFill>
                  <pic:spPr>
                    <a:xfrm>
                      <a:off x="0" y="0"/>
                      <a:ext cx="6722110" cy="783145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5408" behindDoc="0" locked="0" layoutInCell="1" allowOverlap="1">
            <wp:simplePos x="0" y="0"/>
            <wp:positionH relativeFrom="column">
              <wp:posOffset>-514350</wp:posOffset>
            </wp:positionH>
            <wp:positionV relativeFrom="paragraph">
              <wp:posOffset>-19050</wp:posOffset>
            </wp:positionV>
            <wp:extent cx="6785610" cy="4172585"/>
            <wp:effectExtent l="0" t="0" r="15240" b="18415"/>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0"/>
                    <a:stretch>
                      <a:fillRect/>
                    </a:stretch>
                  </pic:blipFill>
                  <pic:spPr>
                    <a:xfrm>
                      <a:off x="0" y="0"/>
                      <a:ext cx="6785610" cy="417258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6432" behindDoc="0" locked="0" layoutInCell="1" allowOverlap="1">
            <wp:simplePos x="0" y="0"/>
            <wp:positionH relativeFrom="column">
              <wp:posOffset>-457200</wp:posOffset>
            </wp:positionH>
            <wp:positionV relativeFrom="paragraph">
              <wp:posOffset>635</wp:posOffset>
            </wp:positionV>
            <wp:extent cx="6677660" cy="3763645"/>
            <wp:effectExtent l="0" t="0" r="8890" b="8255"/>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1"/>
                    <a:stretch>
                      <a:fillRect/>
                    </a:stretch>
                  </pic:blipFill>
                  <pic:spPr>
                    <a:xfrm>
                      <a:off x="0" y="0"/>
                      <a:ext cx="6677660" cy="376364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7456" behindDoc="0" locked="0" layoutInCell="1" allowOverlap="1">
            <wp:simplePos x="0" y="0"/>
            <wp:positionH relativeFrom="column">
              <wp:posOffset>-333375</wp:posOffset>
            </wp:positionH>
            <wp:positionV relativeFrom="paragraph">
              <wp:posOffset>-38100</wp:posOffset>
            </wp:positionV>
            <wp:extent cx="6254750" cy="3514090"/>
            <wp:effectExtent l="0" t="0" r="12700" b="10160"/>
            <wp:wrapNone/>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12"/>
                    <a:stretch>
                      <a:fillRect/>
                    </a:stretch>
                  </pic:blipFill>
                  <pic:spPr>
                    <a:xfrm>
                      <a:off x="0" y="0"/>
                      <a:ext cx="6254750" cy="3514090"/>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0B196F7D"/>
    <w:rsid w:val="0CC65B98"/>
    <w:rsid w:val="0FC35A25"/>
    <w:rsid w:val="13886091"/>
    <w:rsid w:val="38B92707"/>
    <w:rsid w:val="419C60FC"/>
    <w:rsid w:val="4D9D161A"/>
    <w:rsid w:val="4E7A4424"/>
    <w:rsid w:val="51970C8C"/>
    <w:rsid w:val="64FC3DA7"/>
    <w:rsid w:val="65C07345"/>
    <w:rsid w:val="694B24C6"/>
    <w:rsid w:val="6FA305DD"/>
    <w:rsid w:val="72563D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2025-08-14T08:08:00Z</dcterms:created>
  <dc:creator>Administrator</dc:creator>
  <cp:lastModifiedBy>Administrator</cp:lastModifiedBy>
  <dcterms:modified xsi:type="dcterms:W3CDTF">2025-10-29T12:13:30Z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