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ascii="宋体" w:eastAsia="宋体"/>
          <w:color w:val="auto"/>
          <w:sz w:val="32"/>
          <w:szCs w:val="32"/>
        </w:rPr>
      </w:pPr>
    </w:p>
    <w:p>
      <w:pPr>
        <w:spacing w:line="240" w:lineRule="auto"/>
        <w:rPr>
          <w:rFonts w:ascii="宋体" w:eastAsia="宋体"/>
          <w:color w:val="auto"/>
          <w:sz w:val="44"/>
          <w:szCs w:val="44"/>
        </w:rPr>
      </w:pPr>
    </w:p>
    <w:p>
      <w:pPr>
        <w:spacing w:line="240" w:lineRule="auto"/>
        <w:rPr>
          <w:rFonts w:ascii="宋体" w:eastAsia="宋体"/>
          <w:color w:val="auto"/>
          <w:sz w:val="44"/>
          <w:szCs w:val="44"/>
        </w:rPr>
      </w:pPr>
    </w:p>
    <w:p>
      <w:pPr>
        <w:spacing w:line="240" w:lineRule="auto"/>
        <w:rPr>
          <w:rFonts w:ascii="宋体" w:eastAsia="宋体"/>
          <w:color w:val="auto"/>
          <w:sz w:val="44"/>
          <w:szCs w:val="44"/>
        </w:rPr>
      </w:pPr>
    </w:p>
    <w:p>
      <w:pPr>
        <w:spacing w:line="240" w:lineRule="auto"/>
        <w:jc w:val="center"/>
        <w:outlineLvl w:val="0"/>
        <w:rPr>
          <w:rFonts w:ascii="宋体" w:eastAsia="黑体"/>
          <w:color w:val="auto"/>
          <w:sz w:val="44"/>
          <w:szCs w:val="44"/>
          <w:lang w:eastAsia="zh-CN"/>
        </w:rPr>
      </w:pPr>
      <w:r>
        <w:rPr>
          <w:rFonts w:ascii="宋体" w:eastAsia="黑体"/>
          <w:color w:val="auto"/>
          <w:sz w:val="44"/>
          <w:szCs w:val="44"/>
          <w:lang w:eastAsia="zh-CN"/>
        </w:rPr>
        <w:t>中共库尔勒市纪律检查委员会</w:t>
      </w:r>
    </w:p>
    <w:p>
      <w:pPr>
        <w:spacing w:line="240" w:lineRule="auto"/>
        <w:jc w:val="center"/>
        <w:outlineLvl w:val="0"/>
        <w:rPr>
          <w:rFonts w:ascii="黑体" w:eastAsia="黑体"/>
          <w:color w:val="auto"/>
          <w:sz w:val="44"/>
          <w:szCs w:val="44"/>
          <w:lang w:eastAsia="zh-CN"/>
        </w:rPr>
      </w:pPr>
      <w:r>
        <w:rPr>
          <w:rFonts w:ascii="黑体" w:eastAsia="黑体"/>
          <w:color w:val="auto"/>
          <w:sz w:val="44"/>
          <w:szCs w:val="44"/>
          <w:lang w:eastAsia="zh-CN"/>
        </w:rPr>
        <w:t>2024年度部门决算公开说明</w:t>
      </w:r>
    </w:p>
    <w:p>
      <w:pPr>
        <w:rPr>
          <w:color w:val="auto"/>
          <w:lang w:eastAsia="zh-CN"/>
        </w:rPr>
      </w:pPr>
      <w:r>
        <w:rPr>
          <w:color w:val="auto"/>
          <w:sz w:val="0"/>
          <w:szCs w:val="0"/>
          <w:lang w:eastAsia="zh-CN"/>
        </w:rPr>
        <w:br w:type="page"/>
      </w:r>
    </w:p>
    <w:p>
      <w:pPr>
        <w:spacing w:line="240" w:lineRule="auto"/>
        <w:jc w:val="center"/>
        <w:rPr>
          <w:rFonts w:ascii="黑体" w:eastAsia="黑体"/>
          <w:color w:val="auto"/>
          <w:sz w:val="32"/>
          <w:szCs w:val="32"/>
          <w:lang w:eastAsia="zh-CN"/>
        </w:rPr>
      </w:pPr>
      <w:r>
        <w:rPr>
          <w:rFonts w:ascii="黑体" w:eastAsia="黑体"/>
          <w:b/>
          <w:color w:val="auto"/>
          <w:sz w:val="32"/>
          <w:szCs w:val="32"/>
          <w:lang w:eastAsia="zh-CN"/>
        </w:rPr>
        <w:t>目录</w:t>
      </w:r>
    </w:p>
    <w:p>
      <w:pPr>
        <w:spacing w:line="240" w:lineRule="auto"/>
        <w:rPr>
          <w:rFonts w:ascii="仿宋_GB2312" w:eastAsia="仿宋_GB2312"/>
          <w:color w:val="auto"/>
          <w:sz w:val="32"/>
          <w:szCs w:val="32"/>
          <w:lang w:eastAsia="zh-CN"/>
        </w:rPr>
      </w:pPr>
      <w:r>
        <w:rPr>
          <w:rFonts w:ascii="仿宋_GB2312" w:eastAsia="仿宋_GB2312"/>
          <w:b/>
          <w:color w:val="auto"/>
          <w:sz w:val="32"/>
          <w:szCs w:val="32"/>
          <w:lang w:eastAsia="zh-CN"/>
        </w:rPr>
        <w:t>第一部分单位概况</w:t>
      </w:r>
    </w:p>
    <w:p>
      <w:pPr>
        <w:spacing w:line="240" w:lineRule="auto"/>
        <w:rPr>
          <w:rFonts w:ascii="仿宋_GB2312" w:eastAsia="仿宋_GB2312"/>
          <w:color w:val="auto"/>
          <w:sz w:val="32"/>
          <w:szCs w:val="32"/>
          <w:lang w:eastAsia="zh-CN"/>
        </w:rPr>
      </w:pPr>
      <w:r>
        <w:rPr>
          <w:rFonts w:ascii="仿宋_GB2312" w:eastAsia="仿宋_GB2312"/>
          <w:color w:val="auto"/>
          <w:sz w:val="32"/>
          <w:szCs w:val="32"/>
          <w:lang w:eastAsia="zh-CN"/>
        </w:rPr>
        <w:t>一、主要职能</w:t>
      </w:r>
    </w:p>
    <w:p>
      <w:pPr>
        <w:spacing w:line="240" w:lineRule="auto"/>
        <w:rPr>
          <w:rFonts w:ascii="仿宋_GB2312" w:eastAsia="仿宋_GB2312"/>
          <w:color w:val="auto"/>
          <w:sz w:val="32"/>
          <w:szCs w:val="32"/>
          <w:lang w:eastAsia="zh-CN"/>
        </w:rPr>
      </w:pPr>
      <w:r>
        <w:rPr>
          <w:rFonts w:ascii="仿宋_GB2312" w:eastAsia="仿宋_GB2312"/>
          <w:color w:val="auto"/>
          <w:sz w:val="32"/>
          <w:szCs w:val="32"/>
          <w:lang w:eastAsia="zh-CN"/>
        </w:rPr>
        <w:t>二、机构设置及人员情况</w:t>
      </w:r>
    </w:p>
    <w:p>
      <w:pPr>
        <w:spacing w:line="240" w:lineRule="auto"/>
        <w:rPr>
          <w:rFonts w:ascii="仿宋_GB2312" w:eastAsia="仿宋_GB2312"/>
          <w:color w:val="auto"/>
          <w:sz w:val="32"/>
          <w:szCs w:val="32"/>
          <w:lang w:eastAsia="zh-CN"/>
        </w:rPr>
      </w:pPr>
      <w:r>
        <w:rPr>
          <w:rFonts w:ascii="仿宋_GB2312" w:eastAsia="仿宋_GB2312"/>
          <w:b/>
          <w:color w:val="auto"/>
          <w:sz w:val="32"/>
          <w:szCs w:val="32"/>
          <w:lang w:eastAsia="zh-CN"/>
        </w:rPr>
        <w:t>第二部分部门决算情况说明</w:t>
      </w:r>
    </w:p>
    <w:p>
      <w:pPr>
        <w:spacing w:line="240" w:lineRule="auto"/>
        <w:rPr>
          <w:rFonts w:ascii="仿宋_GB2312" w:eastAsia="仿宋_GB2312"/>
          <w:color w:val="auto"/>
          <w:sz w:val="32"/>
          <w:szCs w:val="32"/>
          <w:lang w:eastAsia="zh-CN"/>
        </w:rPr>
      </w:pPr>
      <w:r>
        <w:rPr>
          <w:rFonts w:ascii="仿宋_GB2312" w:eastAsia="仿宋_GB2312"/>
          <w:color w:val="auto"/>
          <w:sz w:val="32"/>
          <w:szCs w:val="32"/>
          <w:lang w:eastAsia="zh-CN"/>
        </w:rPr>
        <w:t>一、收入支出决算总体情况说明</w:t>
      </w:r>
    </w:p>
    <w:p>
      <w:pPr>
        <w:spacing w:line="240" w:lineRule="auto"/>
        <w:rPr>
          <w:rFonts w:ascii="仿宋_GB2312" w:eastAsia="仿宋_GB2312"/>
          <w:color w:val="auto"/>
          <w:sz w:val="32"/>
          <w:szCs w:val="32"/>
          <w:lang w:eastAsia="zh-CN"/>
        </w:rPr>
      </w:pPr>
      <w:r>
        <w:rPr>
          <w:rFonts w:ascii="仿宋_GB2312" w:eastAsia="仿宋_GB2312"/>
          <w:color w:val="auto"/>
          <w:sz w:val="32"/>
          <w:szCs w:val="32"/>
          <w:lang w:eastAsia="zh-CN"/>
        </w:rPr>
        <w:t>二、收入决算情况说明</w:t>
      </w:r>
    </w:p>
    <w:p>
      <w:pPr>
        <w:spacing w:line="240" w:lineRule="auto"/>
        <w:rPr>
          <w:rFonts w:ascii="仿宋_GB2312" w:eastAsia="仿宋_GB2312"/>
          <w:color w:val="auto"/>
          <w:sz w:val="32"/>
          <w:szCs w:val="32"/>
          <w:lang w:eastAsia="zh-CN"/>
        </w:rPr>
      </w:pPr>
      <w:r>
        <w:rPr>
          <w:rFonts w:ascii="仿宋_GB2312" w:eastAsia="仿宋_GB2312"/>
          <w:color w:val="auto"/>
          <w:sz w:val="32"/>
          <w:szCs w:val="32"/>
          <w:lang w:eastAsia="zh-CN"/>
        </w:rPr>
        <w:t>三、支出决算情况说明</w:t>
      </w:r>
    </w:p>
    <w:p>
      <w:pPr>
        <w:spacing w:line="240" w:lineRule="auto"/>
        <w:rPr>
          <w:rFonts w:ascii="仿宋_GB2312" w:eastAsia="仿宋_GB2312"/>
          <w:color w:val="auto"/>
          <w:sz w:val="32"/>
          <w:szCs w:val="32"/>
          <w:lang w:eastAsia="zh-CN"/>
        </w:rPr>
      </w:pPr>
      <w:r>
        <w:rPr>
          <w:rFonts w:ascii="仿宋_GB2312" w:eastAsia="仿宋_GB2312"/>
          <w:color w:val="auto"/>
          <w:sz w:val="32"/>
          <w:szCs w:val="32"/>
          <w:lang w:eastAsia="zh-CN"/>
        </w:rPr>
        <w:t>四、财政拨款收入支出决算总体情况说明</w:t>
      </w:r>
    </w:p>
    <w:p>
      <w:pPr>
        <w:spacing w:line="240" w:lineRule="auto"/>
        <w:rPr>
          <w:rFonts w:ascii="仿宋_GB2312" w:eastAsia="仿宋_GB2312"/>
          <w:color w:val="auto"/>
          <w:sz w:val="32"/>
          <w:szCs w:val="32"/>
          <w:lang w:eastAsia="zh-CN"/>
        </w:rPr>
      </w:pPr>
      <w:r>
        <w:rPr>
          <w:rFonts w:ascii="仿宋_GB2312" w:eastAsia="仿宋_GB2312"/>
          <w:color w:val="auto"/>
          <w:sz w:val="32"/>
          <w:szCs w:val="32"/>
          <w:lang w:eastAsia="zh-CN"/>
        </w:rPr>
        <w:t>五、一般公共预算财政拨款支出决算情况说明</w:t>
      </w:r>
    </w:p>
    <w:p>
      <w:pPr>
        <w:spacing w:line="240" w:lineRule="auto"/>
        <w:rPr>
          <w:rFonts w:ascii="仿宋_GB2312" w:eastAsia="仿宋_GB2312"/>
          <w:color w:val="auto"/>
          <w:sz w:val="32"/>
          <w:szCs w:val="32"/>
          <w:lang w:eastAsia="zh-CN"/>
        </w:rPr>
      </w:pPr>
      <w:r>
        <w:rPr>
          <w:rFonts w:ascii="仿宋_GB2312" w:eastAsia="仿宋_GB2312"/>
          <w:color w:val="auto"/>
          <w:sz w:val="32"/>
          <w:szCs w:val="32"/>
          <w:lang w:eastAsia="zh-CN"/>
        </w:rPr>
        <w:t>（一）一般公共预算财政拨款支出决算总体情况</w:t>
      </w:r>
    </w:p>
    <w:p>
      <w:pPr>
        <w:spacing w:line="240" w:lineRule="auto"/>
        <w:rPr>
          <w:rFonts w:ascii="仿宋_GB2312" w:eastAsia="仿宋_GB2312"/>
          <w:color w:val="auto"/>
          <w:sz w:val="32"/>
          <w:szCs w:val="32"/>
          <w:lang w:eastAsia="zh-CN"/>
        </w:rPr>
      </w:pPr>
      <w:r>
        <w:rPr>
          <w:rFonts w:ascii="仿宋_GB2312" w:eastAsia="仿宋_GB2312"/>
          <w:color w:val="auto"/>
          <w:sz w:val="32"/>
          <w:szCs w:val="32"/>
          <w:lang w:eastAsia="zh-CN"/>
        </w:rPr>
        <w:t>（二）一般公共预算财政拨款支出决算结构情况</w:t>
      </w:r>
    </w:p>
    <w:p>
      <w:pPr>
        <w:spacing w:line="240" w:lineRule="auto"/>
        <w:rPr>
          <w:rFonts w:ascii="仿宋_GB2312" w:eastAsia="仿宋_GB2312"/>
          <w:color w:val="auto"/>
          <w:sz w:val="32"/>
          <w:szCs w:val="32"/>
          <w:lang w:eastAsia="zh-CN"/>
        </w:rPr>
      </w:pPr>
      <w:r>
        <w:rPr>
          <w:rFonts w:ascii="仿宋_GB2312" w:eastAsia="仿宋_GB2312"/>
          <w:color w:val="auto"/>
          <w:sz w:val="32"/>
          <w:szCs w:val="32"/>
          <w:lang w:eastAsia="zh-CN"/>
        </w:rPr>
        <w:t>（三）一般公共预算财政拨款支出决算具体情况</w:t>
      </w:r>
    </w:p>
    <w:p>
      <w:pPr>
        <w:spacing w:line="240" w:lineRule="auto"/>
        <w:rPr>
          <w:rFonts w:ascii="仿宋_GB2312" w:eastAsia="仿宋_GB2312"/>
          <w:color w:val="auto"/>
          <w:sz w:val="32"/>
          <w:szCs w:val="32"/>
          <w:lang w:eastAsia="zh-CN"/>
        </w:rPr>
      </w:pPr>
      <w:r>
        <w:rPr>
          <w:rFonts w:ascii="仿宋_GB2312" w:eastAsia="仿宋_GB2312"/>
          <w:color w:val="auto"/>
          <w:sz w:val="32"/>
          <w:szCs w:val="32"/>
          <w:lang w:eastAsia="zh-CN"/>
        </w:rPr>
        <w:t>六、一般公共预算财政拨款基本支出决算情况说明</w:t>
      </w:r>
    </w:p>
    <w:p>
      <w:pPr>
        <w:spacing w:line="240" w:lineRule="auto"/>
        <w:rPr>
          <w:rFonts w:ascii="仿宋_GB2312" w:eastAsia="仿宋_GB2312"/>
          <w:color w:val="auto"/>
          <w:sz w:val="32"/>
          <w:szCs w:val="32"/>
          <w:lang w:eastAsia="zh-CN"/>
        </w:rPr>
      </w:pPr>
      <w:r>
        <w:rPr>
          <w:rFonts w:ascii="仿宋_GB2312" w:eastAsia="仿宋_GB2312"/>
          <w:color w:val="auto"/>
          <w:sz w:val="32"/>
          <w:szCs w:val="32"/>
          <w:lang w:eastAsia="zh-CN"/>
        </w:rPr>
        <w:t>七、政府性基金预算财政拨款收入支出决算情况说明</w:t>
      </w:r>
    </w:p>
    <w:p>
      <w:pPr>
        <w:spacing w:line="240" w:lineRule="auto"/>
        <w:rPr>
          <w:rFonts w:ascii="仿宋_GB2312" w:eastAsia="仿宋_GB2312"/>
          <w:color w:val="auto"/>
          <w:sz w:val="32"/>
          <w:szCs w:val="32"/>
          <w:lang w:eastAsia="zh-CN"/>
        </w:rPr>
      </w:pPr>
      <w:r>
        <w:rPr>
          <w:rFonts w:ascii="仿宋_GB2312" w:eastAsia="仿宋_GB2312"/>
          <w:color w:val="auto"/>
          <w:sz w:val="32"/>
          <w:szCs w:val="32"/>
          <w:lang w:eastAsia="zh-CN"/>
        </w:rPr>
        <w:t>八、国有资本经营预算财政拨款收入支出决算情况说明</w:t>
      </w:r>
    </w:p>
    <w:p>
      <w:pPr>
        <w:spacing w:line="240" w:lineRule="auto"/>
        <w:rPr>
          <w:rFonts w:ascii="仿宋_GB2312" w:eastAsia="仿宋_GB2312"/>
          <w:color w:val="auto"/>
          <w:sz w:val="32"/>
          <w:szCs w:val="32"/>
          <w:lang w:eastAsia="zh-CN"/>
        </w:rPr>
      </w:pPr>
      <w:r>
        <w:rPr>
          <w:rFonts w:ascii="仿宋_GB2312" w:eastAsia="仿宋_GB2312"/>
          <w:color w:val="auto"/>
          <w:sz w:val="32"/>
          <w:szCs w:val="32"/>
          <w:lang w:eastAsia="zh-CN"/>
        </w:rPr>
        <w:t>九、财政拨款“三公”经费支出决算情况说明</w:t>
      </w:r>
    </w:p>
    <w:p>
      <w:pPr>
        <w:spacing w:line="240" w:lineRule="auto"/>
        <w:rPr>
          <w:rFonts w:ascii="仿宋_GB2312" w:eastAsia="仿宋_GB2312"/>
          <w:color w:val="auto"/>
          <w:sz w:val="32"/>
          <w:szCs w:val="32"/>
          <w:lang w:eastAsia="zh-CN"/>
        </w:rPr>
      </w:pPr>
      <w:r>
        <w:rPr>
          <w:rFonts w:ascii="仿宋_GB2312" w:eastAsia="仿宋_GB2312"/>
          <w:color w:val="auto"/>
          <w:sz w:val="32"/>
          <w:szCs w:val="32"/>
          <w:lang w:eastAsia="zh-CN"/>
        </w:rPr>
        <w:t>十、其他重要事项的情况说明</w:t>
      </w:r>
    </w:p>
    <w:p>
      <w:pPr>
        <w:spacing w:line="240" w:lineRule="auto"/>
        <w:rPr>
          <w:rFonts w:ascii="仿宋_GB2312" w:eastAsia="仿宋_GB2312"/>
          <w:color w:val="auto"/>
          <w:sz w:val="32"/>
          <w:szCs w:val="32"/>
          <w:lang w:eastAsia="zh-CN"/>
        </w:rPr>
      </w:pPr>
      <w:r>
        <w:rPr>
          <w:rFonts w:ascii="仿宋_GB2312" w:eastAsia="仿宋_GB2312"/>
          <w:color w:val="auto"/>
          <w:sz w:val="32"/>
          <w:szCs w:val="32"/>
          <w:lang w:eastAsia="zh-CN"/>
        </w:rPr>
        <w:t>（一）机关运行经费及公用经费支出情况</w:t>
      </w:r>
    </w:p>
    <w:p>
      <w:pPr>
        <w:spacing w:line="240" w:lineRule="auto"/>
        <w:rPr>
          <w:rFonts w:ascii="仿宋_GB2312" w:eastAsia="仿宋_GB2312"/>
          <w:color w:val="auto"/>
          <w:sz w:val="32"/>
          <w:szCs w:val="32"/>
          <w:lang w:eastAsia="zh-CN"/>
        </w:rPr>
      </w:pPr>
      <w:r>
        <w:rPr>
          <w:rFonts w:ascii="仿宋_GB2312" w:eastAsia="仿宋_GB2312"/>
          <w:color w:val="auto"/>
          <w:sz w:val="32"/>
          <w:szCs w:val="32"/>
          <w:lang w:eastAsia="zh-CN"/>
        </w:rPr>
        <w:t>（二）政府采购情况</w:t>
      </w:r>
    </w:p>
    <w:p>
      <w:pPr>
        <w:spacing w:line="240" w:lineRule="auto"/>
        <w:rPr>
          <w:rFonts w:ascii="仿宋_GB2312" w:eastAsia="仿宋_GB2312"/>
          <w:color w:val="auto"/>
          <w:sz w:val="32"/>
          <w:szCs w:val="32"/>
          <w:lang w:eastAsia="zh-CN"/>
        </w:rPr>
      </w:pPr>
      <w:r>
        <w:rPr>
          <w:rFonts w:ascii="仿宋_GB2312" w:eastAsia="仿宋_GB2312"/>
          <w:color w:val="auto"/>
          <w:sz w:val="32"/>
          <w:szCs w:val="32"/>
          <w:lang w:eastAsia="zh-CN"/>
        </w:rPr>
        <w:t>（三）国有资产占用情况说明</w:t>
      </w:r>
    </w:p>
    <w:p>
      <w:pPr>
        <w:spacing w:line="240" w:lineRule="auto"/>
        <w:rPr>
          <w:rFonts w:ascii="仿宋_GB2312" w:eastAsia="仿宋_GB2312"/>
          <w:color w:val="auto"/>
          <w:sz w:val="32"/>
          <w:szCs w:val="32"/>
          <w:lang w:eastAsia="zh-CN"/>
        </w:rPr>
      </w:pPr>
      <w:r>
        <w:rPr>
          <w:rFonts w:ascii="仿宋_GB2312" w:eastAsia="仿宋_GB2312"/>
          <w:color w:val="auto"/>
          <w:sz w:val="32"/>
          <w:szCs w:val="32"/>
          <w:lang w:eastAsia="zh-CN"/>
        </w:rPr>
        <w:t>十一、预算绩效的情况说明</w:t>
      </w:r>
    </w:p>
    <w:p>
      <w:pPr>
        <w:spacing w:line="240" w:lineRule="auto"/>
        <w:rPr>
          <w:rFonts w:ascii="仿宋_GB2312" w:eastAsia="仿宋_GB2312"/>
          <w:color w:val="auto"/>
          <w:sz w:val="32"/>
          <w:szCs w:val="32"/>
          <w:lang w:eastAsia="zh-CN"/>
        </w:rPr>
      </w:pPr>
      <w:r>
        <w:rPr>
          <w:rFonts w:ascii="仿宋_GB2312" w:eastAsia="仿宋_GB2312"/>
          <w:color w:val="auto"/>
          <w:sz w:val="32"/>
          <w:szCs w:val="32"/>
          <w:lang w:eastAsia="zh-CN"/>
        </w:rPr>
        <w:t>十二、其他需说明的事项</w:t>
      </w:r>
    </w:p>
    <w:p>
      <w:pPr>
        <w:spacing w:line="240" w:lineRule="auto"/>
        <w:rPr>
          <w:rFonts w:ascii="仿宋_GB2312" w:eastAsia="仿宋_GB2312"/>
          <w:color w:val="auto"/>
          <w:sz w:val="32"/>
          <w:szCs w:val="32"/>
          <w:lang w:eastAsia="zh-CN"/>
        </w:rPr>
      </w:pPr>
      <w:r>
        <w:rPr>
          <w:rFonts w:ascii="仿宋_GB2312" w:eastAsia="仿宋_GB2312"/>
          <w:b/>
          <w:color w:val="auto"/>
          <w:sz w:val="32"/>
          <w:szCs w:val="32"/>
          <w:lang w:eastAsia="zh-CN"/>
        </w:rPr>
        <w:t>第三部分专业名词解释</w:t>
      </w:r>
    </w:p>
    <w:p>
      <w:pPr>
        <w:spacing w:line="240" w:lineRule="auto"/>
        <w:rPr>
          <w:rFonts w:ascii="仿宋_GB2312" w:eastAsia="仿宋_GB2312"/>
          <w:color w:val="auto"/>
          <w:sz w:val="32"/>
          <w:szCs w:val="32"/>
          <w:lang w:eastAsia="zh-CN"/>
        </w:rPr>
      </w:pPr>
      <w:r>
        <w:rPr>
          <w:rFonts w:ascii="仿宋_GB2312" w:eastAsia="仿宋_GB2312"/>
          <w:b/>
          <w:color w:val="auto"/>
          <w:sz w:val="32"/>
          <w:szCs w:val="32"/>
          <w:lang w:eastAsia="zh-CN"/>
        </w:rPr>
        <w:t>第四部分部门决算报表（见附表）</w:t>
      </w:r>
    </w:p>
    <w:p>
      <w:pPr>
        <w:spacing w:line="240" w:lineRule="auto"/>
        <w:rPr>
          <w:rFonts w:ascii="仿宋_GB2312" w:eastAsia="仿宋_GB2312"/>
          <w:color w:val="auto"/>
          <w:sz w:val="32"/>
          <w:szCs w:val="32"/>
          <w:lang w:eastAsia="zh-CN"/>
        </w:rPr>
      </w:pPr>
      <w:r>
        <w:rPr>
          <w:rFonts w:ascii="仿宋_GB2312" w:eastAsia="仿宋_GB2312"/>
          <w:color w:val="auto"/>
          <w:sz w:val="32"/>
          <w:szCs w:val="32"/>
          <w:lang w:eastAsia="zh-CN"/>
        </w:rPr>
        <w:t>一、《收入支出决算总表》</w:t>
      </w:r>
    </w:p>
    <w:p>
      <w:pPr>
        <w:spacing w:line="240" w:lineRule="auto"/>
        <w:rPr>
          <w:rFonts w:ascii="仿宋_GB2312" w:eastAsia="仿宋_GB2312"/>
          <w:color w:val="auto"/>
          <w:sz w:val="32"/>
          <w:szCs w:val="32"/>
          <w:lang w:eastAsia="zh-CN"/>
        </w:rPr>
      </w:pPr>
      <w:r>
        <w:rPr>
          <w:rFonts w:ascii="仿宋_GB2312" w:eastAsia="仿宋_GB2312"/>
          <w:color w:val="auto"/>
          <w:sz w:val="32"/>
          <w:szCs w:val="32"/>
          <w:lang w:eastAsia="zh-CN"/>
        </w:rPr>
        <w:t>二、《收入决算表》</w:t>
      </w:r>
    </w:p>
    <w:p>
      <w:pPr>
        <w:spacing w:line="240" w:lineRule="auto"/>
        <w:rPr>
          <w:rFonts w:ascii="仿宋_GB2312" w:eastAsia="仿宋_GB2312"/>
          <w:color w:val="auto"/>
          <w:sz w:val="32"/>
          <w:szCs w:val="32"/>
          <w:lang w:eastAsia="zh-CN"/>
        </w:rPr>
      </w:pPr>
      <w:r>
        <w:rPr>
          <w:rFonts w:ascii="仿宋_GB2312" w:eastAsia="仿宋_GB2312"/>
          <w:color w:val="auto"/>
          <w:sz w:val="32"/>
          <w:szCs w:val="32"/>
          <w:lang w:eastAsia="zh-CN"/>
        </w:rPr>
        <w:t>三、《支出决算表》</w:t>
      </w:r>
    </w:p>
    <w:p>
      <w:pPr>
        <w:spacing w:line="240" w:lineRule="auto"/>
        <w:rPr>
          <w:rFonts w:ascii="仿宋_GB2312" w:eastAsia="仿宋_GB2312"/>
          <w:color w:val="auto"/>
          <w:sz w:val="32"/>
          <w:szCs w:val="32"/>
          <w:lang w:eastAsia="zh-CN"/>
        </w:rPr>
      </w:pPr>
      <w:r>
        <w:rPr>
          <w:rFonts w:ascii="仿宋_GB2312" w:eastAsia="仿宋_GB2312"/>
          <w:color w:val="auto"/>
          <w:sz w:val="32"/>
          <w:szCs w:val="32"/>
          <w:lang w:eastAsia="zh-CN"/>
        </w:rPr>
        <w:t>四、《财政拨款收入支出决算总表》</w:t>
      </w:r>
    </w:p>
    <w:p>
      <w:pPr>
        <w:spacing w:line="240" w:lineRule="auto"/>
        <w:rPr>
          <w:rFonts w:ascii="仿宋_GB2312" w:eastAsia="仿宋_GB2312"/>
          <w:color w:val="auto"/>
          <w:sz w:val="32"/>
          <w:szCs w:val="32"/>
          <w:lang w:eastAsia="zh-CN"/>
        </w:rPr>
      </w:pPr>
      <w:r>
        <w:rPr>
          <w:rFonts w:ascii="仿宋_GB2312" w:eastAsia="仿宋_GB2312"/>
          <w:color w:val="auto"/>
          <w:sz w:val="32"/>
          <w:szCs w:val="32"/>
          <w:lang w:eastAsia="zh-CN"/>
        </w:rPr>
        <w:t>五、《一般公共预算财政拨款支出决算表》</w:t>
      </w:r>
    </w:p>
    <w:p>
      <w:pPr>
        <w:spacing w:line="240" w:lineRule="auto"/>
        <w:rPr>
          <w:rFonts w:ascii="仿宋_GB2312" w:eastAsia="仿宋_GB2312"/>
          <w:color w:val="auto"/>
          <w:sz w:val="32"/>
          <w:szCs w:val="32"/>
          <w:lang w:eastAsia="zh-CN"/>
        </w:rPr>
      </w:pPr>
      <w:r>
        <w:rPr>
          <w:rFonts w:ascii="仿宋_GB2312" w:eastAsia="仿宋_GB2312"/>
          <w:color w:val="auto"/>
          <w:sz w:val="32"/>
          <w:szCs w:val="32"/>
          <w:lang w:eastAsia="zh-CN"/>
        </w:rPr>
        <w:t>六、《一般公共预算财政拨款基本支出决算表》</w:t>
      </w:r>
    </w:p>
    <w:p>
      <w:pPr>
        <w:spacing w:line="240" w:lineRule="auto"/>
        <w:rPr>
          <w:rFonts w:ascii="仿宋_GB2312" w:eastAsia="仿宋_GB2312"/>
          <w:color w:val="auto"/>
          <w:sz w:val="32"/>
          <w:szCs w:val="32"/>
          <w:lang w:eastAsia="zh-CN"/>
        </w:rPr>
      </w:pPr>
      <w:r>
        <w:rPr>
          <w:rFonts w:ascii="仿宋_GB2312" w:eastAsia="仿宋_GB2312"/>
          <w:color w:val="auto"/>
          <w:sz w:val="32"/>
          <w:szCs w:val="32"/>
          <w:lang w:eastAsia="zh-CN"/>
        </w:rPr>
        <w:t>七、《政府性基金预算财政拨款收入支出决算表》</w:t>
      </w:r>
    </w:p>
    <w:p>
      <w:pPr>
        <w:spacing w:line="240" w:lineRule="auto"/>
        <w:rPr>
          <w:rFonts w:ascii="仿宋_GB2312" w:eastAsia="仿宋_GB2312"/>
          <w:color w:val="auto"/>
          <w:sz w:val="32"/>
          <w:szCs w:val="32"/>
          <w:lang w:eastAsia="zh-CN"/>
        </w:rPr>
      </w:pPr>
      <w:r>
        <w:rPr>
          <w:rFonts w:ascii="仿宋_GB2312" w:eastAsia="仿宋_GB2312"/>
          <w:color w:val="auto"/>
          <w:sz w:val="32"/>
          <w:szCs w:val="32"/>
          <w:lang w:eastAsia="zh-CN"/>
        </w:rPr>
        <w:t>八、《国有资本经营预算财政拨款收入支出决算表》</w:t>
      </w:r>
    </w:p>
    <w:p>
      <w:pPr>
        <w:spacing w:line="240" w:lineRule="auto"/>
        <w:rPr>
          <w:rFonts w:ascii="仿宋_GB2312" w:eastAsia="仿宋_GB2312"/>
          <w:color w:val="auto"/>
          <w:sz w:val="32"/>
          <w:szCs w:val="32"/>
          <w:lang w:eastAsia="zh-CN"/>
        </w:rPr>
      </w:pPr>
      <w:r>
        <w:rPr>
          <w:rFonts w:ascii="仿宋_GB2312" w:eastAsia="仿宋_GB2312"/>
          <w:color w:val="auto"/>
          <w:sz w:val="32"/>
          <w:szCs w:val="32"/>
          <w:lang w:eastAsia="zh-CN"/>
        </w:rPr>
        <w:t>九、《财政拨款“三公”经费支出决算表》</w:t>
      </w:r>
    </w:p>
    <w:p>
      <w:pPr>
        <w:rPr>
          <w:color w:val="auto"/>
          <w:lang w:eastAsia="zh-CN"/>
        </w:rPr>
      </w:pPr>
      <w:r>
        <w:rPr>
          <w:color w:val="auto"/>
          <w:sz w:val="0"/>
          <w:szCs w:val="0"/>
          <w:lang w:eastAsia="zh-CN"/>
        </w:rPr>
        <w:br w:type="page"/>
      </w:r>
    </w:p>
    <w:p>
      <w:pPr>
        <w:spacing w:line="240" w:lineRule="auto"/>
        <w:jc w:val="center"/>
        <w:outlineLvl w:val="0"/>
        <w:rPr>
          <w:rFonts w:ascii="黑体" w:eastAsia="黑体"/>
          <w:color w:val="auto"/>
          <w:sz w:val="32"/>
          <w:szCs w:val="32"/>
          <w:lang w:eastAsia="zh-CN"/>
        </w:rPr>
      </w:pPr>
      <w:r>
        <w:rPr>
          <w:rFonts w:ascii="黑体" w:eastAsia="黑体"/>
          <w:color w:val="auto"/>
          <w:sz w:val="32"/>
          <w:szCs w:val="32"/>
          <w:lang w:eastAsia="zh-CN"/>
        </w:rPr>
        <w:t>第一部分单位概况</w:t>
      </w:r>
    </w:p>
    <w:p>
      <w:pPr>
        <w:spacing w:line="240" w:lineRule="auto"/>
        <w:ind w:firstLine="640" w:firstLineChars="200"/>
        <w:outlineLvl w:val="1"/>
        <w:rPr>
          <w:rFonts w:ascii="黑体" w:eastAsia="黑体"/>
          <w:color w:val="auto"/>
          <w:sz w:val="32"/>
          <w:szCs w:val="32"/>
          <w:lang w:eastAsia="zh-CN"/>
        </w:rPr>
      </w:pPr>
      <w:r>
        <w:rPr>
          <w:rFonts w:ascii="黑体" w:eastAsia="黑体"/>
          <w:color w:val="auto"/>
          <w:sz w:val="32"/>
          <w:szCs w:val="32"/>
          <w:lang w:eastAsia="zh-CN"/>
        </w:rPr>
        <w:t>一、主要职能</w:t>
      </w:r>
    </w:p>
    <w:p>
      <w:pPr>
        <w:spacing w:line="240" w:lineRule="auto"/>
        <w:ind w:firstLine="640" w:firstLineChars="200"/>
        <w:jc w:val="both"/>
        <w:rPr>
          <w:rFonts w:ascii="仿宋_GB2312" w:eastAsia="仿宋_GB2312"/>
          <w:color w:val="auto"/>
          <w:sz w:val="32"/>
          <w:szCs w:val="32"/>
          <w:lang w:eastAsia="zh-CN"/>
        </w:rPr>
      </w:pPr>
      <w:r>
        <w:rPr>
          <w:rFonts w:ascii="仿宋_GB2312" w:eastAsia="仿宋_GB2312"/>
          <w:color w:val="auto"/>
          <w:sz w:val="32"/>
          <w:szCs w:val="32"/>
          <w:lang w:eastAsia="zh-CN"/>
        </w:rPr>
        <w:t>中共库尔勒市纪律检查委员会，是党的纪律检查机关；库尔勒市监察委员会，是国家监察机关。市纪委与市监委合署办公，实行一套工作机构、两个机关名称，履行纪检、监察两项职责，对自治州纪委监委和党委负责。主要负责党的纪律检查等工作，依照党的章程和其他党内法规履行监督、执纪、问责职责；负责全市监察工作，依照法律规定履行监督、调查、处置职责；负责组织协调库尔勒市全面从严治党、党风廉政建设和反腐败宣传教育等工作。</w:t>
      </w:r>
    </w:p>
    <w:p>
      <w:pPr>
        <w:spacing w:line="240" w:lineRule="auto"/>
        <w:ind w:firstLine="640" w:firstLineChars="200"/>
        <w:outlineLvl w:val="1"/>
        <w:rPr>
          <w:rFonts w:ascii="黑体" w:eastAsia="黑体"/>
          <w:color w:val="auto"/>
          <w:sz w:val="32"/>
          <w:szCs w:val="32"/>
          <w:lang w:eastAsia="zh-CN"/>
        </w:rPr>
      </w:pPr>
      <w:r>
        <w:rPr>
          <w:rFonts w:ascii="黑体" w:eastAsia="黑体"/>
          <w:color w:val="auto"/>
          <w:sz w:val="32"/>
          <w:szCs w:val="32"/>
          <w:lang w:eastAsia="zh-CN"/>
        </w:rPr>
        <w:t>二、机构设置及人员情况</w:t>
      </w:r>
    </w:p>
    <w:p>
      <w:pPr>
        <w:spacing w:line="240" w:lineRule="auto"/>
        <w:ind w:firstLine="640" w:firstLineChars="200"/>
        <w:jc w:val="both"/>
        <w:rPr>
          <w:rFonts w:ascii="仿宋_GB2312" w:eastAsia="仿宋_GB2312"/>
          <w:color w:val="auto"/>
          <w:sz w:val="32"/>
          <w:szCs w:val="32"/>
          <w:lang w:eastAsia="zh-CN"/>
        </w:rPr>
      </w:pPr>
      <w:r>
        <w:rPr>
          <w:rFonts w:ascii="仿宋_GB2312" w:eastAsia="仿宋_GB2312"/>
          <w:color w:val="auto"/>
          <w:sz w:val="32"/>
          <w:szCs w:val="32"/>
          <w:lang w:eastAsia="zh-CN"/>
        </w:rPr>
        <w:t>中共库尔勒市纪律检查委员会2024年度，实有人数157人，其中：在职人员142人，增加9人；离休人员0人，较上年无变化；退休人员15人，增加4人。</w:t>
      </w:r>
    </w:p>
    <w:p>
      <w:pPr>
        <w:spacing w:line="240" w:lineRule="auto"/>
        <w:ind w:firstLine="640" w:firstLineChars="200"/>
        <w:jc w:val="both"/>
        <w:rPr>
          <w:rFonts w:ascii="仿宋_GB2312" w:eastAsia="仿宋_GB2312"/>
          <w:color w:val="auto"/>
          <w:sz w:val="32"/>
          <w:szCs w:val="32"/>
          <w:lang w:eastAsia="zh-CN"/>
        </w:rPr>
      </w:pPr>
      <w:r>
        <w:rPr>
          <w:rFonts w:ascii="仿宋_GB2312" w:eastAsia="仿宋_GB2312"/>
          <w:color w:val="auto"/>
          <w:sz w:val="32"/>
          <w:szCs w:val="32"/>
          <w:lang w:eastAsia="zh-CN"/>
        </w:rPr>
        <w:t>中共库尔勒市纪律检查委员会无下属预算单位，下设</w:t>
      </w:r>
      <w:r>
        <w:rPr>
          <w:rFonts w:hint="eastAsia" w:ascii="仿宋_GB2312" w:eastAsia="仿宋_GB2312"/>
          <w:color w:val="auto"/>
          <w:sz w:val="32"/>
          <w:szCs w:val="32"/>
          <w:lang w:eastAsia="zh-CN"/>
        </w:rPr>
        <w:t>18</w:t>
      </w:r>
      <w:r>
        <w:rPr>
          <w:rFonts w:ascii="仿宋_GB2312" w:eastAsia="仿宋_GB2312"/>
          <w:color w:val="auto"/>
          <w:sz w:val="32"/>
          <w:szCs w:val="32"/>
          <w:lang w:eastAsia="zh-CN"/>
        </w:rPr>
        <w:t>个</w:t>
      </w:r>
      <w:r>
        <w:rPr>
          <w:rFonts w:hint="eastAsia" w:ascii="仿宋_GB2312" w:eastAsia="仿宋_GB2312"/>
          <w:color w:val="auto"/>
          <w:sz w:val="32"/>
          <w:szCs w:val="32"/>
          <w:lang w:eastAsia="zh-CN"/>
        </w:rPr>
        <w:t>处室</w:t>
      </w:r>
      <w:r>
        <w:rPr>
          <w:rFonts w:ascii="仿宋_GB2312" w:eastAsia="仿宋_GB2312"/>
          <w:color w:val="auto"/>
          <w:sz w:val="32"/>
          <w:szCs w:val="32"/>
          <w:lang w:eastAsia="zh-CN"/>
        </w:rPr>
        <w:t>，分别是：办公室、组织宣传部、第一纪检监察室、第二纪检监察室、第三纪检监察室、第四纪检监察室、案件监督管理室、案件审理室、信访室、党风政风监督室、</w:t>
      </w:r>
      <w:r>
        <w:rPr>
          <w:rFonts w:hint="eastAsia" w:ascii="仿宋_GB2312" w:eastAsia="仿宋_GB2312"/>
          <w:color w:val="auto"/>
          <w:sz w:val="32"/>
          <w:szCs w:val="32"/>
          <w:lang w:eastAsia="zh-CN"/>
        </w:rPr>
        <w:t>干部监督室、</w:t>
      </w:r>
      <w:r>
        <w:rPr>
          <w:rFonts w:ascii="仿宋_GB2312" w:eastAsia="仿宋_GB2312"/>
          <w:color w:val="auto"/>
          <w:sz w:val="32"/>
          <w:szCs w:val="32"/>
          <w:lang w:eastAsia="zh-CN"/>
        </w:rPr>
        <w:t>第一纪检监察组、第二纪检监察组、第三纪检监察组、第四纪检监察组、第五纪检监察组、第六纪检监察组、派出市直机关纪检监察工委。</w:t>
      </w:r>
    </w:p>
    <w:p>
      <w:pPr>
        <w:rPr>
          <w:color w:val="auto"/>
          <w:lang w:eastAsia="zh-CN"/>
        </w:rPr>
      </w:pPr>
      <w:r>
        <w:rPr>
          <w:color w:val="auto"/>
          <w:sz w:val="0"/>
          <w:szCs w:val="0"/>
          <w:lang w:eastAsia="zh-CN"/>
        </w:rPr>
        <w:br w:type="page"/>
      </w:r>
    </w:p>
    <w:p>
      <w:pPr>
        <w:spacing w:line="240" w:lineRule="auto"/>
        <w:jc w:val="center"/>
        <w:outlineLvl w:val="0"/>
        <w:rPr>
          <w:rFonts w:ascii="黑体" w:eastAsia="黑体"/>
          <w:color w:val="auto"/>
          <w:sz w:val="32"/>
          <w:szCs w:val="32"/>
          <w:lang w:eastAsia="zh-CN"/>
        </w:rPr>
      </w:pPr>
      <w:r>
        <w:rPr>
          <w:rFonts w:ascii="黑体" w:eastAsia="黑体"/>
          <w:color w:val="auto"/>
          <w:sz w:val="32"/>
          <w:szCs w:val="32"/>
          <w:lang w:eastAsia="zh-CN"/>
        </w:rPr>
        <w:t>第二部分部门决算情况说明</w:t>
      </w:r>
    </w:p>
    <w:p>
      <w:pPr>
        <w:spacing w:line="240" w:lineRule="auto"/>
        <w:ind w:firstLine="640" w:firstLineChars="200"/>
        <w:outlineLvl w:val="1"/>
        <w:rPr>
          <w:rFonts w:ascii="黑体" w:eastAsia="黑体"/>
          <w:color w:val="auto"/>
          <w:sz w:val="32"/>
          <w:szCs w:val="32"/>
          <w:lang w:eastAsia="zh-CN"/>
        </w:rPr>
      </w:pPr>
      <w:r>
        <w:rPr>
          <w:rFonts w:ascii="黑体" w:eastAsia="黑体"/>
          <w:color w:val="auto"/>
          <w:sz w:val="32"/>
          <w:szCs w:val="32"/>
          <w:lang w:eastAsia="zh-CN"/>
        </w:rPr>
        <w:t>一、收入支出决算总体情况说明</w:t>
      </w:r>
    </w:p>
    <w:p>
      <w:pPr>
        <w:spacing w:line="240" w:lineRule="auto"/>
        <w:ind w:firstLine="640" w:firstLineChars="200"/>
        <w:jc w:val="both"/>
        <w:rPr>
          <w:rFonts w:ascii="仿宋_GB2312" w:eastAsia="仿宋_GB2312"/>
          <w:color w:val="auto"/>
          <w:sz w:val="32"/>
          <w:szCs w:val="32"/>
          <w:lang w:eastAsia="zh-CN"/>
        </w:rPr>
      </w:pPr>
      <w:r>
        <w:rPr>
          <w:rFonts w:ascii="仿宋_GB2312" w:eastAsia="仿宋_GB2312"/>
          <w:color w:val="auto"/>
          <w:sz w:val="32"/>
          <w:szCs w:val="32"/>
          <w:lang w:eastAsia="zh-CN"/>
        </w:rPr>
        <w:t>2024年度收入总计2,518.45万元，其中：本年收入合计2,518.45万元，使用非财政拨款结余（含专用结余）0.00万元，年初结转和结余0.00万元。</w:t>
      </w:r>
    </w:p>
    <w:p>
      <w:pPr>
        <w:spacing w:line="240" w:lineRule="auto"/>
        <w:ind w:firstLine="640" w:firstLineChars="200"/>
        <w:jc w:val="both"/>
        <w:rPr>
          <w:rFonts w:ascii="仿宋_GB2312" w:eastAsia="仿宋_GB2312"/>
          <w:color w:val="auto"/>
          <w:sz w:val="32"/>
          <w:szCs w:val="32"/>
          <w:lang w:eastAsia="zh-CN"/>
        </w:rPr>
      </w:pPr>
      <w:r>
        <w:rPr>
          <w:rFonts w:ascii="仿宋_GB2312" w:eastAsia="仿宋_GB2312"/>
          <w:color w:val="auto"/>
          <w:sz w:val="32"/>
          <w:szCs w:val="32"/>
          <w:lang w:eastAsia="zh-CN"/>
        </w:rPr>
        <w:t>2024年度支出总计2,518.45万元，其中：本年支出合计2,518.45万元，结余分配0.00万元，年末结转和结余0.00万元。</w:t>
      </w:r>
    </w:p>
    <w:p>
      <w:pPr>
        <w:spacing w:line="240" w:lineRule="auto"/>
        <w:ind w:firstLine="640" w:firstLineChars="200"/>
        <w:jc w:val="both"/>
        <w:rPr>
          <w:rFonts w:ascii="仿宋_GB2312" w:eastAsia="仿宋_GB2312"/>
          <w:color w:val="auto"/>
          <w:sz w:val="32"/>
          <w:szCs w:val="32"/>
          <w:lang w:eastAsia="zh-CN"/>
        </w:rPr>
      </w:pPr>
      <w:r>
        <w:rPr>
          <w:rFonts w:ascii="仿宋_GB2312" w:eastAsia="仿宋_GB2312"/>
          <w:color w:val="auto"/>
          <w:sz w:val="32"/>
          <w:szCs w:val="32"/>
          <w:lang w:eastAsia="zh-CN"/>
        </w:rPr>
        <w:t>收入支出总体与上年相比，增加258.26万元，增长11.43%，主要原因是：</w:t>
      </w:r>
      <w:r>
        <w:rPr>
          <w:rFonts w:hint="eastAsia" w:ascii="Times New Roman" w:hAnsi="Times New Roman" w:eastAsia="仿宋_GB2312" w:cs="Times New Roman"/>
          <w:color w:val="auto"/>
          <w:sz w:val="32"/>
          <w:szCs w:val="32"/>
          <w:lang w:eastAsia="zh-CN"/>
        </w:rPr>
        <w:t>新招录公务员和人员调动，增加9人，</w:t>
      </w:r>
      <w:r>
        <w:rPr>
          <w:rFonts w:ascii="Times New Roman" w:hAnsi="Times New Roman" w:eastAsia="仿宋_GB2312" w:cs="Times New Roman"/>
          <w:color w:val="auto"/>
          <w:sz w:val="32"/>
          <w:szCs w:val="32"/>
          <w:lang w:eastAsia="zh-CN"/>
        </w:rPr>
        <w:t>工资社保增加</w:t>
      </w:r>
      <w:r>
        <w:rPr>
          <w:rFonts w:hint="eastAsia" w:ascii="Times New Roman" w:hAnsi="Times New Roman" w:eastAsia="仿宋_GB2312" w:cs="Times New Roman"/>
          <w:color w:val="auto"/>
          <w:sz w:val="32"/>
          <w:szCs w:val="32"/>
          <w:lang w:eastAsia="zh-CN"/>
        </w:rPr>
        <w:t>、</w:t>
      </w:r>
      <w:r>
        <w:rPr>
          <w:rFonts w:ascii="Times New Roman" w:hAnsi="Times New Roman" w:eastAsia="仿宋_GB2312" w:cs="Times New Roman"/>
          <w:color w:val="auto"/>
          <w:sz w:val="32"/>
          <w:szCs w:val="32"/>
          <w:lang w:eastAsia="zh-CN"/>
        </w:rPr>
        <w:t>人员经费增加</w:t>
      </w:r>
      <w:r>
        <w:rPr>
          <w:rFonts w:ascii="仿宋_GB2312" w:eastAsia="仿宋_GB2312"/>
          <w:color w:val="auto"/>
          <w:sz w:val="32"/>
          <w:szCs w:val="32"/>
          <w:lang w:eastAsia="zh-CN"/>
        </w:rPr>
        <w:t>。</w:t>
      </w:r>
    </w:p>
    <w:p>
      <w:pPr>
        <w:spacing w:line="240" w:lineRule="auto"/>
        <w:ind w:firstLine="640" w:firstLineChars="200"/>
        <w:outlineLvl w:val="1"/>
        <w:rPr>
          <w:rFonts w:ascii="黑体" w:eastAsia="黑体"/>
          <w:color w:val="auto"/>
          <w:sz w:val="32"/>
          <w:szCs w:val="32"/>
          <w:lang w:eastAsia="zh-CN"/>
        </w:rPr>
      </w:pPr>
      <w:r>
        <w:rPr>
          <w:rFonts w:ascii="黑体" w:eastAsia="黑体"/>
          <w:color w:val="auto"/>
          <w:sz w:val="32"/>
          <w:szCs w:val="32"/>
          <w:lang w:eastAsia="zh-CN"/>
        </w:rPr>
        <w:t>二、收入决算情况说明</w:t>
      </w:r>
    </w:p>
    <w:p>
      <w:pPr>
        <w:spacing w:line="240" w:lineRule="auto"/>
        <w:ind w:firstLine="640" w:firstLineChars="200"/>
        <w:jc w:val="both"/>
        <w:rPr>
          <w:rFonts w:ascii="仿宋_GB2312" w:eastAsia="仿宋_GB2312"/>
          <w:color w:val="auto"/>
          <w:sz w:val="32"/>
          <w:szCs w:val="32"/>
          <w:lang w:eastAsia="zh-CN"/>
        </w:rPr>
      </w:pPr>
      <w:r>
        <w:rPr>
          <w:rFonts w:ascii="仿宋_GB2312" w:eastAsia="仿宋_GB2312"/>
          <w:color w:val="auto"/>
          <w:sz w:val="32"/>
          <w:szCs w:val="32"/>
          <w:lang w:eastAsia="zh-CN"/>
        </w:rPr>
        <w:t>本年收入2,518.45万元，其中：财政拨款收入2,515.57万元,占99.89%；上级补助收入0.00万元,占0.00%；事业收入0.00万元，占0.00%；经营收入0.00万元,占0.00%；附属单位上缴收入0.00万元，占0.00%；其他收入2.88万元，占0.11%。</w:t>
      </w:r>
    </w:p>
    <w:p>
      <w:pPr>
        <w:spacing w:line="240" w:lineRule="auto"/>
        <w:ind w:firstLine="640" w:firstLineChars="200"/>
        <w:outlineLvl w:val="1"/>
        <w:rPr>
          <w:rFonts w:ascii="黑体" w:eastAsia="黑体"/>
          <w:color w:val="auto"/>
          <w:sz w:val="32"/>
          <w:szCs w:val="32"/>
          <w:lang w:eastAsia="zh-CN"/>
        </w:rPr>
      </w:pPr>
      <w:r>
        <w:rPr>
          <w:rFonts w:ascii="黑体" w:eastAsia="黑体"/>
          <w:color w:val="auto"/>
          <w:sz w:val="32"/>
          <w:szCs w:val="32"/>
          <w:lang w:eastAsia="zh-CN"/>
        </w:rPr>
        <w:t>三、支出决算情况说明</w:t>
      </w:r>
    </w:p>
    <w:p>
      <w:pPr>
        <w:spacing w:line="240" w:lineRule="auto"/>
        <w:ind w:firstLine="640" w:firstLineChars="200"/>
        <w:jc w:val="both"/>
        <w:rPr>
          <w:rFonts w:ascii="仿宋_GB2312" w:eastAsia="仿宋_GB2312"/>
          <w:color w:val="auto"/>
          <w:sz w:val="32"/>
          <w:szCs w:val="32"/>
          <w:lang w:eastAsia="zh-CN"/>
        </w:rPr>
      </w:pPr>
      <w:r>
        <w:rPr>
          <w:rFonts w:ascii="仿宋_GB2312" w:eastAsia="仿宋_GB2312"/>
          <w:color w:val="auto"/>
          <w:sz w:val="32"/>
          <w:szCs w:val="32"/>
          <w:lang w:eastAsia="zh-CN"/>
        </w:rPr>
        <w:t>本年支出2,518.45万元，其中：基本支出2,466.46万元，占97.94%；项目支出51.99万元，占2.06%；上缴上级支出0.00万元，占0.00%；经营支出0.00万元，占0.00%；对附属单位补助支出0.00万元，占0.00%。</w:t>
      </w:r>
    </w:p>
    <w:p>
      <w:pPr>
        <w:spacing w:line="240" w:lineRule="auto"/>
        <w:ind w:firstLine="640" w:firstLineChars="200"/>
        <w:outlineLvl w:val="1"/>
        <w:rPr>
          <w:rFonts w:ascii="黑体" w:eastAsia="黑体"/>
          <w:color w:val="auto"/>
          <w:sz w:val="32"/>
          <w:szCs w:val="32"/>
          <w:lang w:eastAsia="zh-CN"/>
        </w:rPr>
      </w:pPr>
      <w:r>
        <w:rPr>
          <w:rFonts w:ascii="黑体" w:eastAsia="黑体"/>
          <w:color w:val="auto"/>
          <w:sz w:val="32"/>
          <w:szCs w:val="32"/>
          <w:lang w:eastAsia="zh-CN"/>
        </w:rPr>
        <w:t>四、财政拨款收入支出决算总体情况说明</w:t>
      </w:r>
    </w:p>
    <w:p>
      <w:pPr>
        <w:spacing w:line="240" w:lineRule="auto"/>
        <w:ind w:firstLine="640" w:firstLineChars="200"/>
        <w:jc w:val="both"/>
        <w:rPr>
          <w:rFonts w:ascii="仿宋_GB2312" w:eastAsia="仿宋_GB2312"/>
          <w:color w:val="auto"/>
          <w:sz w:val="32"/>
          <w:szCs w:val="32"/>
          <w:lang w:eastAsia="zh-CN"/>
        </w:rPr>
      </w:pPr>
      <w:r>
        <w:rPr>
          <w:rFonts w:ascii="仿宋_GB2312" w:eastAsia="仿宋_GB2312"/>
          <w:color w:val="auto"/>
          <w:sz w:val="32"/>
          <w:szCs w:val="32"/>
          <w:lang w:eastAsia="zh-CN"/>
        </w:rPr>
        <w:t>2024年度财政拨款收入总计2,515.57万元，其中：年初财政拨款结转和结余0.00万元，本年财政拨款收入2,515.57万元。财政拨款支出总计2,515.57万元，其中：年末财政拨款结转和结余0.00万元，本年财政拨款支出2,515.57万元。</w:t>
      </w:r>
    </w:p>
    <w:p>
      <w:pPr>
        <w:spacing w:line="240" w:lineRule="auto"/>
        <w:ind w:firstLine="640" w:firstLineChars="200"/>
        <w:jc w:val="both"/>
        <w:rPr>
          <w:rFonts w:ascii="仿宋_GB2312" w:eastAsia="仿宋_GB2312"/>
          <w:color w:val="auto"/>
          <w:sz w:val="32"/>
          <w:szCs w:val="32"/>
          <w:lang w:eastAsia="zh-CN"/>
        </w:rPr>
      </w:pPr>
      <w:r>
        <w:rPr>
          <w:rFonts w:ascii="仿宋_GB2312" w:eastAsia="仿宋_GB2312"/>
          <w:color w:val="auto"/>
          <w:sz w:val="32"/>
          <w:szCs w:val="32"/>
          <w:lang w:eastAsia="zh-CN"/>
        </w:rPr>
        <w:t>财政拨款收入支出总体与上年相比，增加259.25万元，增长11.49%，主要原因是：</w:t>
      </w:r>
      <w:r>
        <w:rPr>
          <w:rFonts w:hint="eastAsia" w:ascii="仿宋_GB2312" w:eastAsia="仿宋_GB2312"/>
          <w:color w:val="auto"/>
          <w:sz w:val="32"/>
          <w:szCs w:val="32"/>
          <w:lang w:eastAsia="zh-CN"/>
        </w:rPr>
        <w:t>新招录公务员和人员调动，增加9人，</w:t>
      </w:r>
      <w:r>
        <w:rPr>
          <w:rFonts w:ascii="仿宋_GB2312" w:eastAsia="仿宋_GB2312"/>
          <w:color w:val="auto"/>
          <w:sz w:val="32"/>
          <w:szCs w:val="32"/>
          <w:lang w:eastAsia="zh-CN"/>
        </w:rPr>
        <w:t>工资社保增加</w:t>
      </w:r>
      <w:r>
        <w:rPr>
          <w:rFonts w:hint="eastAsia" w:ascii="仿宋_GB2312" w:eastAsia="仿宋_GB2312"/>
          <w:color w:val="auto"/>
          <w:sz w:val="32"/>
          <w:szCs w:val="32"/>
          <w:lang w:eastAsia="zh-CN"/>
        </w:rPr>
        <w:t>、</w:t>
      </w:r>
      <w:r>
        <w:rPr>
          <w:rFonts w:ascii="仿宋_GB2312" w:eastAsia="仿宋_GB2312"/>
          <w:color w:val="auto"/>
          <w:sz w:val="32"/>
          <w:szCs w:val="32"/>
          <w:lang w:eastAsia="zh-CN"/>
        </w:rPr>
        <w:t>人员经费增加。与年初预算相比，年初预算数3,197.52万元，决算数2,515.57万元，预决算差异率-21.33%，主要原因是：认真贯彻落实中央八项规定精神和厉行节约要求，从严控制“三公”经费开支。上年按照州级工作安排增加廉洁阵地建设工作，上年已完成大部分工作，本年支付较少，项目支出减少。</w:t>
      </w:r>
    </w:p>
    <w:p>
      <w:pPr>
        <w:spacing w:line="240" w:lineRule="auto"/>
        <w:ind w:firstLine="640" w:firstLineChars="200"/>
        <w:outlineLvl w:val="1"/>
        <w:rPr>
          <w:rFonts w:ascii="黑体" w:eastAsia="黑体"/>
          <w:color w:val="auto"/>
          <w:sz w:val="32"/>
          <w:szCs w:val="32"/>
          <w:lang w:eastAsia="zh-CN"/>
        </w:rPr>
      </w:pPr>
      <w:r>
        <w:rPr>
          <w:rFonts w:ascii="黑体" w:eastAsia="黑体"/>
          <w:color w:val="auto"/>
          <w:sz w:val="32"/>
          <w:szCs w:val="32"/>
          <w:lang w:eastAsia="zh-CN"/>
        </w:rPr>
        <w:t>五、一般公共预算财政拨款支出决算情况说明</w:t>
      </w:r>
    </w:p>
    <w:p>
      <w:pPr>
        <w:spacing w:line="240" w:lineRule="auto"/>
        <w:ind w:firstLine="643" w:firstLineChars="200"/>
        <w:outlineLvl w:val="2"/>
        <w:rPr>
          <w:rFonts w:ascii="仿宋_GB2312" w:eastAsia="仿宋_GB2312"/>
          <w:color w:val="auto"/>
          <w:sz w:val="32"/>
          <w:szCs w:val="32"/>
          <w:lang w:eastAsia="zh-CN"/>
        </w:rPr>
      </w:pPr>
      <w:r>
        <w:rPr>
          <w:rFonts w:ascii="仿宋_GB2312" w:eastAsia="仿宋_GB2312"/>
          <w:b/>
          <w:color w:val="auto"/>
          <w:sz w:val="32"/>
          <w:szCs w:val="32"/>
          <w:lang w:eastAsia="zh-CN"/>
        </w:rPr>
        <w:t>（一）一般公共预算财政拨款支出决算总体情况</w:t>
      </w:r>
    </w:p>
    <w:p>
      <w:pPr>
        <w:spacing w:line="240" w:lineRule="auto"/>
        <w:ind w:firstLine="640" w:firstLineChars="200"/>
        <w:jc w:val="both"/>
        <w:rPr>
          <w:rFonts w:ascii="仿宋_GB2312" w:eastAsia="仿宋_GB2312"/>
          <w:color w:val="auto"/>
          <w:sz w:val="32"/>
          <w:szCs w:val="32"/>
          <w:lang w:eastAsia="zh-CN"/>
        </w:rPr>
      </w:pPr>
      <w:r>
        <w:rPr>
          <w:rFonts w:ascii="仿宋_GB2312" w:eastAsia="仿宋_GB2312"/>
          <w:color w:val="auto"/>
          <w:sz w:val="32"/>
          <w:szCs w:val="32"/>
          <w:lang w:eastAsia="zh-CN"/>
        </w:rPr>
        <w:t>2024年度一般公共预算财政拨款支出2,515.57万元，占本年支出合计的99.89%。与上年相比，增加259.25万元，增长11.49%，主要原因是：</w:t>
      </w:r>
      <w:r>
        <w:rPr>
          <w:rFonts w:hint="eastAsia" w:ascii="仿宋_GB2312" w:eastAsia="仿宋_GB2312"/>
          <w:color w:val="auto"/>
          <w:sz w:val="32"/>
          <w:szCs w:val="32"/>
          <w:lang w:eastAsia="zh-CN"/>
        </w:rPr>
        <w:t>新招录公务员和人员调动，增加9人，</w:t>
      </w:r>
      <w:r>
        <w:rPr>
          <w:rFonts w:ascii="仿宋_GB2312" w:eastAsia="仿宋_GB2312"/>
          <w:color w:val="auto"/>
          <w:sz w:val="32"/>
          <w:szCs w:val="32"/>
          <w:lang w:eastAsia="zh-CN"/>
        </w:rPr>
        <w:t>工资社保增加</w:t>
      </w:r>
      <w:r>
        <w:rPr>
          <w:rFonts w:hint="eastAsia" w:ascii="仿宋_GB2312" w:eastAsia="仿宋_GB2312"/>
          <w:color w:val="auto"/>
          <w:sz w:val="32"/>
          <w:szCs w:val="32"/>
          <w:lang w:eastAsia="zh-CN"/>
        </w:rPr>
        <w:t>、</w:t>
      </w:r>
      <w:r>
        <w:rPr>
          <w:rFonts w:ascii="仿宋_GB2312" w:eastAsia="仿宋_GB2312"/>
          <w:color w:val="auto"/>
          <w:sz w:val="32"/>
          <w:szCs w:val="32"/>
          <w:lang w:eastAsia="zh-CN"/>
        </w:rPr>
        <w:t>人员经费增加。与年初预算相比，年初预算数3,197.52万元，决算数2,515.57万元，预决算差异率-21.33%，主要原因是：认真贯彻落实中央八项规定精神和厉行节约要求，从严控制“三公”经费开支。上年按照州级工作安排增加廉洁阵地建设工作，上年已完成大部分工作，本年支付较少，项目支出减少。</w:t>
      </w:r>
    </w:p>
    <w:p>
      <w:pPr>
        <w:spacing w:line="240" w:lineRule="auto"/>
        <w:ind w:firstLine="643" w:firstLineChars="200"/>
        <w:outlineLvl w:val="2"/>
        <w:rPr>
          <w:rFonts w:ascii="仿宋_GB2312" w:eastAsia="仿宋_GB2312"/>
          <w:color w:val="auto"/>
          <w:sz w:val="32"/>
          <w:szCs w:val="32"/>
          <w:lang w:eastAsia="zh-CN"/>
        </w:rPr>
      </w:pPr>
      <w:r>
        <w:rPr>
          <w:rFonts w:ascii="仿宋_GB2312" w:eastAsia="仿宋_GB2312"/>
          <w:b/>
          <w:color w:val="auto"/>
          <w:sz w:val="32"/>
          <w:szCs w:val="32"/>
          <w:lang w:eastAsia="zh-CN"/>
        </w:rPr>
        <w:t>（二）一般公共预算财政拨款支出决算结构情况</w:t>
      </w:r>
    </w:p>
    <w:p>
      <w:pPr>
        <w:spacing w:line="240" w:lineRule="auto"/>
        <w:ind w:firstLine="640" w:firstLineChars="200"/>
        <w:jc w:val="both"/>
        <w:rPr>
          <w:rFonts w:ascii="仿宋_GB2312" w:eastAsia="仿宋_GB2312"/>
          <w:color w:val="auto"/>
          <w:sz w:val="32"/>
          <w:szCs w:val="32"/>
          <w:lang w:eastAsia="zh-CN"/>
        </w:rPr>
      </w:pPr>
      <w:r>
        <w:rPr>
          <w:rFonts w:ascii="仿宋_GB2312" w:eastAsia="仿宋_GB2312"/>
          <w:color w:val="auto"/>
          <w:sz w:val="32"/>
          <w:szCs w:val="32"/>
          <w:lang w:eastAsia="zh-CN"/>
        </w:rPr>
        <w:t>一般公共服务支出（类）1,958.87万元，占77.87%。</w:t>
      </w:r>
    </w:p>
    <w:p>
      <w:pPr>
        <w:spacing w:line="240" w:lineRule="auto"/>
        <w:ind w:firstLine="640" w:firstLineChars="200"/>
        <w:jc w:val="both"/>
        <w:rPr>
          <w:rFonts w:ascii="仿宋_GB2312" w:eastAsia="仿宋_GB2312"/>
          <w:color w:val="auto"/>
          <w:sz w:val="32"/>
          <w:szCs w:val="32"/>
          <w:lang w:eastAsia="zh-CN"/>
        </w:rPr>
      </w:pPr>
      <w:r>
        <w:rPr>
          <w:rFonts w:ascii="仿宋_GB2312" w:eastAsia="仿宋_GB2312"/>
          <w:color w:val="auto"/>
          <w:sz w:val="32"/>
          <w:szCs w:val="32"/>
          <w:lang w:eastAsia="zh-CN"/>
        </w:rPr>
        <w:t>教育支出（类）2.18万元，占0.09%。</w:t>
      </w:r>
    </w:p>
    <w:p>
      <w:pPr>
        <w:spacing w:line="240" w:lineRule="auto"/>
        <w:ind w:firstLine="640" w:firstLineChars="200"/>
        <w:jc w:val="both"/>
        <w:rPr>
          <w:rFonts w:ascii="仿宋_GB2312" w:eastAsia="仿宋_GB2312"/>
          <w:color w:val="auto"/>
          <w:sz w:val="32"/>
          <w:szCs w:val="32"/>
          <w:lang w:eastAsia="zh-CN"/>
        </w:rPr>
      </w:pPr>
      <w:r>
        <w:rPr>
          <w:rFonts w:ascii="仿宋_GB2312" w:eastAsia="仿宋_GB2312"/>
          <w:color w:val="auto"/>
          <w:sz w:val="32"/>
          <w:szCs w:val="32"/>
          <w:lang w:eastAsia="zh-CN"/>
        </w:rPr>
        <w:t>社会保障和就业支出（类）257.00万元，占10.22%。</w:t>
      </w:r>
    </w:p>
    <w:p>
      <w:pPr>
        <w:spacing w:line="240" w:lineRule="auto"/>
        <w:ind w:firstLine="640" w:firstLineChars="200"/>
        <w:jc w:val="both"/>
        <w:rPr>
          <w:rFonts w:ascii="仿宋_GB2312" w:eastAsia="仿宋_GB2312"/>
          <w:color w:val="auto"/>
          <w:sz w:val="32"/>
          <w:szCs w:val="32"/>
          <w:lang w:eastAsia="zh-CN"/>
        </w:rPr>
      </w:pPr>
      <w:r>
        <w:rPr>
          <w:rFonts w:ascii="仿宋_GB2312" w:eastAsia="仿宋_GB2312"/>
          <w:color w:val="auto"/>
          <w:sz w:val="32"/>
          <w:szCs w:val="32"/>
          <w:lang w:eastAsia="zh-CN"/>
        </w:rPr>
        <w:t>卫生健康支出（类）131.09万元，占5.21%。</w:t>
      </w:r>
    </w:p>
    <w:p>
      <w:pPr>
        <w:spacing w:line="240" w:lineRule="auto"/>
        <w:ind w:firstLine="640" w:firstLineChars="200"/>
        <w:jc w:val="both"/>
        <w:rPr>
          <w:rFonts w:ascii="仿宋_GB2312" w:eastAsia="仿宋_GB2312"/>
          <w:color w:val="auto"/>
          <w:sz w:val="32"/>
          <w:szCs w:val="32"/>
          <w:lang w:eastAsia="zh-CN"/>
        </w:rPr>
      </w:pPr>
      <w:r>
        <w:rPr>
          <w:rFonts w:ascii="仿宋_GB2312" w:eastAsia="仿宋_GB2312"/>
          <w:color w:val="auto"/>
          <w:sz w:val="32"/>
          <w:szCs w:val="32"/>
          <w:lang w:eastAsia="zh-CN"/>
        </w:rPr>
        <w:t>住房保障支出（类）166.42万元，占6.62%。</w:t>
      </w:r>
    </w:p>
    <w:p>
      <w:pPr>
        <w:spacing w:line="240" w:lineRule="auto"/>
        <w:ind w:firstLine="643" w:firstLineChars="200"/>
        <w:outlineLvl w:val="2"/>
        <w:rPr>
          <w:rFonts w:ascii="仿宋_GB2312" w:eastAsia="仿宋_GB2312"/>
          <w:color w:val="auto"/>
          <w:sz w:val="32"/>
          <w:szCs w:val="32"/>
          <w:lang w:eastAsia="zh-CN"/>
        </w:rPr>
      </w:pPr>
      <w:r>
        <w:rPr>
          <w:rFonts w:ascii="仿宋_GB2312" w:eastAsia="仿宋_GB2312"/>
          <w:b/>
          <w:color w:val="auto"/>
          <w:sz w:val="32"/>
          <w:szCs w:val="32"/>
          <w:lang w:eastAsia="zh-CN"/>
        </w:rPr>
        <w:t>（三）一般公共预算财政拨款支出决算具体情况</w:t>
      </w:r>
    </w:p>
    <w:p>
      <w:pPr>
        <w:numPr>
          <w:ilvl w:val="0"/>
          <w:numId w:val="1"/>
        </w:numPr>
        <w:rPr>
          <w:rFonts w:ascii="仿宋_GB2312" w:eastAsia="仿宋_GB2312"/>
          <w:color w:val="auto"/>
          <w:sz w:val="32"/>
          <w:szCs w:val="32"/>
          <w:lang w:eastAsia="zh-CN"/>
        </w:rPr>
      </w:pPr>
      <w:r>
        <w:rPr>
          <w:rFonts w:ascii="仿宋_GB2312" w:eastAsia="仿宋_GB2312"/>
          <w:color w:val="auto"/>
          <w:sz w:val="32"/>
          <w:szCs w:val="32"/>
          <w:lang w:eastAsia="zh-CN"/>
        </w:rPr>
        <w:t>一般公共服务支出（类）纪检监察事务（款）行政运行（项）：支出决算数为1,909.76万元，比上年决算增加247.27万元，增长14.87%，主要原因是：</w:t>
      </w:r>
      <w:r>
        <w:rPr>
          <w:rFonts w:hint="eastAsia" w:ascii="仿宋_GB2312" w:eastAsia="仿宋_GB2312"/>
          <w:color w:val="auto"/>
          <w:sz w:val="32"/>
          <w:szCs w:val="32"/>
          <w:lang w:eastAsia="zh-CN"/>
        </w:rPr>
        <w:t>新招录公务员和人员调动，增加9人，</w:t>
      </w:r>
      <w:r>
        <w:rPr>
          <w:rFonts w:ascii="仿宋_GB2312" w:eastAsia="仿宋_GB2312"/>
          <w:color w:val="auto"/>
          <w:sz w:val="32"/>
          <w:szCs w:val="32"/>
          <w:lang w:eastAsia="zh-CN"/>
        </w:rPr>
        <w:t>工资社保增加</w:t>
      </w:r>
      <w:r>
        <w:rPr>
          <w:rFonts w:hint="eastAsia" w:ascii="仿宋_GB2312" w:eastAsia="仿宋_GB2312"/>
          <w:color w:val="auto"/>
          <w:sz w:val="32"/>
          <w:szCs w:val="32"/>
          <w:lang w:eastAsia="zh-CN"/>
        </w:rPr>
        <w:t>、</w:t>
      </w:r>
      <w:r>
        <w:rPr>
          <w:rFonts w:ascii="仿宋_GB2312" w:eastAsia="仿宋_GB2312"/>
          <w:color w:val="auto"/>
          <w:sz w:val="32"/>
          <w:szCs w:val="32"/>
          <w:lang w:eastAsia="zh-CN"/>
        </w:rPr>
        <w:t>人员经费增加</w:t>
      </w:r>
      <w:r>
        <w:rPr>
          <w:rFonts w:hint="eastAsia" w:ascii="仿宋_GB2312" w:eastAsia="仿宋_GB2312"/>
          <w:color w:val="auto"/>
          <w:sz w:val="32"/>
          <w:szCs w:val="32"/>
          <w:lang w:eastAsia="zh-CN"/>
        </w:rPr>
        <w:t>。</w:t>
      </w:r>
    </w:p>
    <w:p>
      <w:pPr>
        <w:numPr>
          <w:ilvl w:val="0"/>
          <w:numId w:val="1"/>
        </w:numPr>
        <w:rPr>
          <w:rFonts w:ascii="仿宋_GB2312" w:eastAsia="仿宋_GB2312"/>
          <w:color w:val="auto"/>
          <w:sz w:val="32"/>
          <w:szCs w:val="32"/>
          <w:lang w:eastAsia="zh-CN"/>
        </w:rPr>
      </w:pPr>
      <w:r>
        <w:rPr>
          <w:rFonts w:ascii="仿宋_GB2312" w:eastAsia="仿宋_GB2312"/>
          <w:color w:val="auto"/>
          <w:sz w:val="32"/>
          <w:szCs w:val="32"/>
          <w:lang w:eastAsia="zh-CN"/>
        </w:rPr>
        <w:t>一般公共服务支出（类）纪检监察事务（款）其他纪检监察事务支出（项）：支出决算数为49.11万元，比上年决算减少85.22万元，下降63.44%，主要原因是：上年按照州级工作安排增加廉洁阵地建设工作，上年已完成大部分工作，本年支付较少，项目支出减少</w:t>
      </w:r>
      <w:r>
        <w:rPr>
          <w:rFonts w:hint="eastAsia" w:ascii="仿宋_GB2312" w:eastAsia="仿宋_GB2312"/>
          <w:color w:val="auto"/>
          <w:sz w:val="32"/>
          <w:szCs w:val="32"/>
          <w:lang w:eastAsia="zh-CN"/>
        </w:rPr>
        <w:t>。</w:t>
      </w:r>
    </w:p>
    <w:p>
      <w:pPr>
        <w:numPr>
          <w:ilvl w:val="0"/>
          <w:numId w:val="1"/>
        </w:numPr>
        <w:rPr>
          <w:rFonts w:ascii="仿宋_GB2312" w:eastAsia="仿宋_GB2312"/>
          <w:color w:val="auto"/>
          <w:sz w:val="32"/>
          <w:szCs w:val="32"/>
          <w:lang w:eastAsia="zh-CN"/>
        </w:rPr>
      </w:pPr>
      <w:r>
        <w:rPr>
          <w:rFonts w:ascii="仿宋_GB2312" w:eastAsia="仿宋_GB2312"/>
          <w:color w:val="auto"/>
          <w:sz w:val="32"/>
          <w:szCs w:val="32"/>
          <w:lang w:eastAsia="zh-CN"/>
        </w:rPr>
        <w:t>教育支出（类）进修及培训（款）培训支出（项）：支出决算数为2.18万元，比上年决算增加2.18万元，增长100.00%，主要原因是：</w:t>
      </w:r>
      <w:r>
        <w:rPr>
          <w:rFonts w:hint="eastAsia" w:ascii="仿宋_GB2312" w:eastAsia="仿宋_GB2312"/>
          <w:color w:val="auto"/>
          <w:sz w:val="32"/>
          <w:szCs w:val="32"/>
          <w:lang w:eastAsia="zh-CN"/>
        </w:rPr>
        <w:t>按州上要求加强纪检监察培训学习、干部外出至监察学院学习培训增多。</w:t>
      </w:r>
    </w:p>
    <w:p>
      <w:pPr>
        <w:numPr>
          <w:ilvl w:val="0"/>
          <w:numId w:val="1"/>
        </w:numPr>
        <w:rPr>
          <w:rFonts w:ascii="仿宋_GB2312" w:eastAsia="仿宋_GB2312"/>
          <w:color w:val="auto"/>
          <w:sz w:val="32"/>
          <w:szCs w:val="32"/>
          <w:lang w:eastAsia="zh-CN"/>
        </w:rPr>
      </w:pPr>
      <w:r>
        <w:rPr>
          <w:rFonts w:ascii="仿宋_GB2312" w:eastAsia="仿宋_GB2312"/>
          <w:color w:val="auto"/>
          <w:sz w:val="32"/>
          <w:szCs w:val="32"/>
          <w:lang w:eastAsia="zh-CN"/>
        </w:rPr>
        <w:t>社会保障和就业支出（类）行政事业单位养老支出（款）行政单位离退休（项）：支出决算数为10.29万元，比上年决算增加3.36万元，增长48.48%，主要原因是：</w:t>
      </w:r>
      <w:r>
        <w:rPr>
          <w:rFonts w:hint="eastAsia" w:ascii="仿宋_GB2312" w:hAnsi="Calibri" w:eastAsia="仿宋_GB2312" w:cs="Times New Roman"/>
          <w:color w:val="auto"/>
          <w:sz w:val="32"/>
          <w:szCs w:val="32"/>
          <w:lang w:eastAsia="zh-CN"/>
        </w:rPr>
        <w:t>退休人员较上年增加4人</w:t>
      </w:r>
      <w:r>
        <w:rPr>
          <w:rFonts w:ascii="仿宋_GB2312" w:eastAsia="仿宋_GB2312"/>
          <w:color w:val="auto"/>
          <w:sz w:val="32"/>
          <w:szCs w:val="32"/>
          <w:lang w:eastAsia="zh-CN"/>
        </w:rPr>
        <w:t>，</w:t>
      </w:r>
      <w:r>
        <w:rPr>
          <w:rFonts w:hint="eastAsia" w:ascii="仿宋_GB2312" w:eastAsia="仿宋_GB2312"/>
          <w:color w:val="auto"/>
          <w:sz w:val="32"/>
          <w:szCs w:val="32"/>
          <w:lang w:eastAsia="zh-CN"/>
        </w:rPr>
        <w:t>退休人员费用增加。</w:t>
      </w:r>
    </w:p>
    <w:p>
      <w:pPr>
        <w:numPr>
          <w:ilvl w:val="0"/>
          <w:numId w:val="1"/>
        </w:numPr>
        <w:rPr>
          <w:rFonts w:ascii="仿宋_GB2312" w:eastAsia="仿宋_GB2312"/>
          <w:color w:val="auto"/>
          <w:sz w:val="32"/>
          <w:szCs w:val="32"/>
          <w:lang w:eastAsia="zh-CN"/>
        </w:rPr>
      </w:pPr>
      <w:r>
        <w:rPr>
          <w:rFonts w:ascii="仿宋_GB2312" w:eastAsia="仿宋_GB2312"/>
          <w:color w:val="auto"/>
          <w:sz w:val="32"/>
          <w:szCs w:val="32"/>
          <w:lang w:eastAsia="zh-CN"/>
        </w:rPr>
        <w:t>社会保障和就业支出（类）行政事业单位养老支出（款）机关事业单位基本养老保险缴费支出（项）：支出决算数为210.17万元，比上年决算增加30.71万元，增长17.11%，主要原因是：比上年人员增加</w:t>
      </w:r>
      <w:r>
        <w:rPr>
          <w:rFonts w:hint="eastAsia" w:ascii="仿宋_GB2312" w:eastAsia="仿宋_GB2312"/>
          <w:color w:val="auto"/>
          <w:sz w:val="32"/>
          <w:szCs w:val="32"/>
          <w:lang w:eastAsia="zh-CN"/>
        </w:rPr>
        <w:t>9</w:t>
      </w:r>
      <w:r>
        <w:rPr>
          <w:rFonts w:ascii="仿宋_GB2312" w:eastAsia="仿宋_GB2312"/>
          <w:color w:val="auto"/>
          <w:sz w:val="32"/>
          <w:szCs w:val="32"/>
          <w:lang w:eastAsia="zh-CN"/>
        </w:rPr>
        <w:t>人，工资津贴增加、社保基数调高，养老保险增加</w:t>
      </w:r>
      <w:r>
        <w:rPr>
          <w:rFonts w:hint="eastAsia" w:ascii="仿宋_GB2312" w:eastAsia="仿宋_GB2312"/>
          <w:color w:val="auto"/>
          <w:sz w:val="32"/>
          <w:szCs w:val="32"/>
          <w:lang w:eastAsia="zh-CN"/>
        </w:rPr>
        <w:t>。</w:t>
      </w:r>
    </w:p>
    <w:p>
      <w:pPr>
        <w:numPr>
          <w:ilvl w:val="0"/>
          <w:numId w:val="1"/>
        </w:numPr>
        <w:rPr>
          <w:rFonts w:ascii="仿宋_GB2312" w:eastAsia="仿宋_GB2312"/>
          <w:color w:val="auto"/>
          <w:sz w:val="32"/>
          <w:szCs w:val="32"/>
          <w:lang w:eastAsia="zh-CN"/>
        </w:rPr>
      </w:pPr>
      <w:r>
        <w:rPr>
          <w:rFonts w:ascii="仿宋_GB2312" w:eastAsia="仿宋_GB2312"/>
          <w:color w:val="auto"/>
          <w:sz w:val="32"/>
          <w:szCs w:val="32"/>
          <w:lang w:eastAsia="zh-CN"/>
        </w:rPr>
        <w:t>社会保障和就业支出（类）行政事业单位养老支出（款）机关事业单位职业年金缴费支出（项）：支出决算数为36.53万元，比上年决算增加36.53万元，增长100.00%，主要原因是：</w:t>
      </w:r>
      <w:r>
        <w:rPr>
          <w:rFonts w:hint="eastAsia" w:ascii="仿宋_GB2312" w:hAnsi="Calibri" w:eastAsia="仿宋_GB2312" w:cs="Times New Roman"/>
          <w:color w:val="auto"/>
          <w:sz w:val="32"/>
          <w:szCs w:val="32"/>
          <w:lang w:eastAsia="zh-CN"/>
        </w:rPr>
        <w:t>退休人员较上年增加4人</w:t>
      </w:r>
      <w:r>
        <w:rPr>
          <w:rFonts w:ascii="仿宋_GB2312" w:eastAsia="仿宋_GB2312"/>
          <w:color w:val="auto"/>
          <w:sz w:val="32"/>
          <w:szCs w:val="32"/>
          <w:lang w:eastAsia="zh-CN"/>
        </w:rPr>
        <w:t>，</w:t>
      </w:r>
      <w:r>
        <w:rPr>
          <w:rFonts w:hint="eastAsia" w:ascii="仿宋_GB2312" w:eastAsia="仿宋_GB2312"/>
          <w:color w:val="auto"/>
          <w:sz w:val="32"/>
          <w:szCs w:val="32"/>
          <w:lang w:eastAsia="zh-CN"/>
        </w:rPr>
        <w:t>退休人员年金增加。</w:t>
      </w:r>
    </w:p>
    <w:p>
      <w:pPr>
        <w:numPr>
          <w:ilvl w:val="0"/>
          <w:numId w:val="1"/>
        </w:numPr>
        <w:rPr>
          <w:rFonts w:ascii="仿宋_GB2312" w:eastAsia="仿宋_GB2312"/>
          <w:color w:val="auto"/>
          <w:sz w:val="32"/>
          <w:szCs w:val="32"/>
          <w:lang w:eastAsia="zh-CN"/>
        </w:rPr>
      </w:pPr>
      <w:r>
        <w:rPr>
          <w:rFonts w:ascii="仿宋_GB2312" w:eastAsia="仿宋_GB2312"/>
          <w:color w:val="auto"/>
          <w:sz w:val="32"/>
          <w:szCs w:val="32"/>
          <w:lang w:eastAsia="zh-CN"/>
        </w:rPr>
        <w:t>社会保障和就业支出（类）就业补助（款）公益性岗位补贴（项）：支出决算数为0.00万元，比上年决算减少3.20万元，下降100.00%，主要原因是：</w:t>
      </w:r>
      <w:r>
        <w:rPr>
          <w:rFonts w:hint="eastAsia" w:ascii="仿宋_GB2312" w:eastAsia="仿宋_GB2312"/>
          <w:color w:val="auto"/>
          <w:sz w:val="32"/>
          <w:szCs w:val="32"/>
          <w:lang w:eastAsia="zh-CN"/>
        </w:rPr>
        <w:t>公益性岗位人员工资、社保由单位公用类经费承担，此款项本年无资金。</w:t>
      </w:r>
    </w:p>
    <w:p>
      <w:pPr>
        <w:numPr>
          <w:ilvl w:val="0"/>
          <w:numId w:val="1"/>
        </w:numPr>
        <w:rPr>
          <w:rFonts w:ascii="仿宋_GB2312" w:eastAsia="仿宋_GB2312"/>
          <w:color w:val="auto"/>
          <w:sz w:val="32"/>
          <w:szCs w:val="32"/>
          <w:lang w:eastAsia="zh-CN"/>
        </w:rPr>
      </w:pPr>
      <w:r>
        <w:rPr>
          <w:rFonts w:ascii="仿宋_GB2312" w:eastAsia="仿宋_GB2312"/>
          <w:color w:val="auto"/>
          <w:sz w:val="32"/>
          <w:szCs w:val="32"/>
          <w:lang w:eastAsia="zh-CN"/>
        </w:rPr>
        <w:t>卫生健康支出（类）行政事业单位医疗（款）行政单位医疗（项）：支出决算数为95.58万元，比上年决算增加11.70万元，增长13.95%，主要原因是：比上年人员增加</w:t>
      </w:r>
      <w:r>
        <w:rPr>
          <w:rFonts w:hint="eastAsia" w:ascii="仿宋_GB2312" w:eastAsia="仿宋_GB2312"/>
          <w:color w:val="auto"/>
          <w:sz w:val="32"/>
          <w:szCs w:val="32"/>
          <w:lang w:eastAsia="zh-CN"/>
        </w:rPr>
        <w:t>9</w:t>
      </w:r>
      <w:r>
        <w:rPr>
          <w:rFonts w:ascii="仿宋_GB2312" w:eastAsia="仿宋_GB2312"/>
          <w:color w:val="auto"/>
          <w:sz w:val="32"/>
          <w:szCs w:val="32"/>
          <w:lang w:eastAsia="zh-CN"/>
        </w:rPr>
        <w:t>人，工资津贴增加、社保基数调高，</w:t>
      </w:r>
      <w:r>
        <w:rPr>
          <w:rFonts w:hint="eastAsia" w:ascii="仿宋_GB2312" w:eastAsia="仿宋_GB2312"/>
          <w:color w:val="auto"/>
          <w:sz w:val="32"/>
          <w:szCs w:val="32"/>
          <w:lang w:eastAsia="zh-CN"/>
        </w:rPr>
        <w:t>医疗保险缴费支出增</w:t>
      </w:r>
      <w:r>
        <w:rPr>
          <w:rFonts w:ascii="仿宋_GB2312" w:eastAsia="仿宋_GB2312"/>
          <w:color w:val="auto"/>
          <w:sz w:val="32"/>
          <w:szCs w:val="32"/>
          <w:lang w:eastAsia="zh-CN"/>
        </w:rPr>
        <w:t>加</w:t>
      </w:r>
      <w:r>
        <w:rPr>
          <w:rFonts w:hint="eastAsia" w:ascii="仿宋_GB2312" w:eastAsia="仿宋_GB2312"/>
          <w:color w:val="auto"/>
          <w:sz w:val="32"/>
          <w:szCs w:val="32"/>
          <w:lang w:eastAsia="zh-CN"/>
        </w:rPr>
        <w:t>。</w:t>
      </w:r>
    </w:p>
    <w:p>
      <w:pPr>
        <w:numPr>
          <w:ilvl w:val="0"/>
          <w:numId w:val="1"/>
        </w:numPr>
        <w:rPr>
          <w:rFonts w:ascii="仿宋_GB2312" w:eastAsia="仿宋_GB2312"/>
          <w:color w:val="auto"/>
          <w:sz w:val="32"/>
          <w:szCs w:val="32"/>
          <w:lang w:eastAsia="zh-CN"/>
        </w:rPr>
      </w:pPr>
      <w:r>
        <w:rPr>
          <w:rFonts w:ascii="仿宋_GB2312" w:eastAsia="仿宋_GB2312"/>
          <w:color w:val="auto"/>
          <w:sz w:val="32"/>
          <w:szCs w:val="32"/>
          <w:lang w:eastAsia="zh-CN"/>
        </w:rPr>
        <w:t>卫生健康支出（类）行政事业单位医疗（款）公务员医疗补助（项）：支出决算数为35.51万元，比上年决算增加1.85万元，增长5.50%，主要原因是：比上年人员增加</w:t>
      </w:r>
      <w:r>
        <w:rPr>
          <w:rFonts w:hint="eastAsia" w:ascii="仿宋_GB2312" w:eastAsia="仿宋_GB2312"/>
          <w:color w:val="auto"/>
          <w:sz w:val="32"/>
          <w:szCs w:val="32"/>
          <w:lang w:eastAsia="zh-CN"/>
        </w:rPr>
        <w:t>9</w:t>
      </w:r>
      <w:r>
        <w:rPr>
          <w:rFonts w:ascii="仿宋_GB2312" w:eastAsia="仿宋_GB2312"/>
          <w:color w:val="auto"/>
          <w:sz w:val="32"/>
          <w:szCs w:val="32"/>
          <w:lang w:eastAsia="zh-CN"/>
        </w:rPr>
        <w:t>人，人员缴费基数增加，公务员医疗保险缴费支出增加</w:t>
      </w:r>
      <w:r>
        <w:rPr>
          <w:rFonts w:hint="eastAsia" w:ascii="仿宋_GB2312" w:eastAsia="仿宋_GB2312"/>
          <w:color w:val="auto"/>
          <w:sz w:val="32"/>
          <w:szCs w:val="32"/>
          <w:lang w:eastAsia="zh-CN"/>
        </w:rPr>
        <w:t>。</w:t>
      </w:r>
    </w:p>
    <w:p>
      <w:pPr>
        <w:numPr>
          <w:ilvl w:val="0"/>
          <w:numId w:val="1"/>
        </w:numPr>
        <w:rPr>
          <w:rFonts w:ascii="仿宋_GB2312" w:eastAsia="仿宋_GB2312"/>
          <w:color w:val="auto"/>
          <w:sz w:val="32"/>
          <w:szCs w:val="32"/>
          <w:lang w:eastAsia="zh-CN"/>
        </w:rPr>
      </w:pPr>
      <w:r>
        <w:rPr>
          <w:rFonts w:ascii="仿宋_GB2312" w:eastAsia="仿宋_GB2312"/>
          <w:color w:val="auto"/>
          <w:sz w:val="32"/>
          <w:szCs w:val="32"/>
          <w:lang w:eastAsia="zh-CN"/>
        </w:rPr>
        <w:t>住房保障支出（类）住房改革支出（款）住房公积金（项）：支出决算数为166.42万元，比上年决算增加14.04万元，增长9.21%，主要原因是：比上年人员增加</w:t>
      </w:r>
      <w:r>
        <w:rPr>
          <w:rFonts w:hint="eastAsia" w:ascii="仿宋_GB2312" w:eastAsia="仿宋_GB2312"/>
          <w:color w:val="auto"/>
          <w:sz w:val="32"/>
          <w:szCs w:val="32"/>
          <w:lang w:eastAsia="zh-CN"/>
        </w:rPr>
        <w:t>9</w:t>
      </w:r>
      <w:r>
        <w:rPr>
          <w:rFonts w:ascii="仿宋_GB2312" w:eastAsia="仿宋_GB2312"/>
          <w:color w:val="auto"/>
          <w:sz w:val="32"/>
          <w:szCs w:val="32"/>
          <w:lang w:eastAsia="zh-CN"/>
        </w:rPr>
        <w:t>人，公积金缴费基数增加，支出增加。</w:t>
      </w:r>
    </w:p>
    <w:p>
      <w:pPr>
        <w:spacing w:line="240" w:lineRule="auto"/>
        <w:ind w:firstLine="640" w:firstLineChars="200"/>
        <w:outlineLvl w:val="1"/>
        <w:rPr>
          <w:rFonts w:ascii="黑体" w:eastAsia="黑体"/>
          <w:color w:val="auto"/>
          <w:sz w:val="32"/>
          <w:szCs w:val="32"/>
          <w:lang w:eastAsia="zh-CN"/>
        </w:rPr>
      </w:pPr>
      <w:r>
        <w:rPr>
          <w:rFonts w:ascii="黑体" w:eastAsia="黑体"/>
          <w:color w:val="auto"/>
          <w:sz w:val="32"/>
          <w:szCs w:val="32"/>
          <w:lang w:eastAsia="zh-CN"/>
        </w:rPr>
        <w:t>六、一般公共预算财政拨款基本支出决算情况说明</w:t>
      </w:r>
    </w:p>
    <w:p>
      <w:pPr>
        <w:spacing w:line="240" w:lineRule="auto"/>
        <w:ind w:firstLine="640" w:firstLineChars="200"/>
        <w:jc w:val="both"/>
        <w:rPr>
          <w:rFonts w:ascii="仿宋_GB2312" w:eastAsia="仿宋_GB2312"/>
          <w:color w:val="auto"/>
          <w:sz w:val="32"/>
          <w:szCs w:val="32"/>
          <w:lang w:eastAsia="zh-CN"/>
        </w:rPr>
      </w:pPr>
      <w:r>
        <w:rPr>
          <w:rFonts w:ascii="仿宋_GB2312" w:eastAsia="仿宋_GB2312"/>
          <w:color w:val="auto"/>
          <w:sz w:val="32"/>
          <w:szCs w:val="32"/>
          <w:lang w:eastAsia="zh-CN"/>
        </w:rPr>
        <w:t>2024年度一般公共预算财政拨款基本支出2,466.46万元，其中：人员经费2,111.27万元，包括：基本工资、津贴补贴、奖金、机关事业单位基本养老保险缴费、职业年金缴费、职工基本医疗保险缴费、公务员医疗补助缴费、其他社会保障缴费、住房公积金、其他工资福利支出、退休费、抚恤金和奖励金。</w:t>
      </w:r>
    </w:p>
    <w:p>
      <w:pPr>
        <w:spacing w:line="240" w:lineRule="auto"/>
        <w:ind w:firstLine="640" w:firstLineChars="200"/>
        <w:jc w:val="both"/>
        <w:rPr>
          <w:rFonts w:ascii="仿宋_GB2312" w:eastAsia="仿宋_GB2312"/>
          <w:color w:val="auto"/>
          <w:sz w:val="32"/>
          <w:szCs w:val="32"/>
          <w:lang w:eastAsia="zh-CN"/>
        </w:rPr>
      </w:pPr>
      <w:r>
        <w:rPr>
          <w:rFonts w:ascii="仿宋_GB2312" w:eastAsia="仿宋_GB2312"/>
          <w:color w:val="auto"/>
          <w:sz w:val="32"/>
          <w:szCs w:val="32"/>
          <w:lang w:eastAsia="zh-CN"/>
        </w:rPr>
        <w:t>公用经费355.19万元，包括：办公费、水费、电费、物业管理费、差旅费、维修（护）费、培训费、劳务费、工会经费、公务用车运行维护费、其他交通费用和办公设备购置。</w:t>
      </w:r>
    </w:p>
    <w:p>
      <w:pPr>
        <w:spacing w:line="240" w:lineRule="auto"/>
        <w:ind w:firstLine="640" w:firstLineChars="200"/>
        <w:outlineLvl w:val="1"/>
        <w:rPr>
          <w:rFonts w:ascii="黑体" w:eastAsia="黑体"/>
          <w:color w:val="auto"/>
          <w:sz w:val="32"/>
          <w:szCs w:val="32"/>
          <w:lang w:eastAsia="zh-CN"/>
        </w:rPr>
      </w:pPr>
      <w:r>
        <w:rPr>
          <w:rFonts w:ascii="黑体" w:eastAsia="黑体"/>
          <w:color w:val="auto"/>
          <w:sz w:val="32"/>
          <w:szCs w:val="32"/>
          <w:lang w:eastAsia="zh-CN"/>
        </w:rPr>
        <w:t>七、政府性基金预算财政拨款收入支出决算情况说明</w:t>
      </w:r>
    </w:p>
    <w:p>
      <w:pPr>
        <w:spacing w:line="240" w:lineRule="auto"/>
        <w:ind w:firstLine="640" w:firstLineChars="200"/>
        <w:jc w:val="both"/>
        <w:rPr>
          <w:rFonts w:ascii="仿宋_GB2312" w:eastAsia="仿宋_GB2312"/>
          <w:color w:val="auto"/>
          <w:sz w:val="32"/>
          <w:szCs w:val="32"/>
          <w:lang w:eastAsia="zh-CN"/>
        </w:rPr>
      </w:pPr>
      <w:r>
        <w:rPr>
          <w:rFonts w:ascii="仿宋_GB2312" w:eastAsia="仿宋_GB2312"/>
          <w:color w:val="auto"/>
          <w:sz w:val="32"/>
          <w:szCs w:val="32"/>
          <w:lang w:eastAsia="zh-CN"/>
        </w:rPr>
        <w:t>本单位本年度无政府性基金预算财政拨款收入支出及结转和结余政府性基金预算财政拨款收入支出决算表为空表。</w:t>
      </w:r>
    </w:p>
    <w:p>
      <w:pPr>
        <w:spacing w:line="240" w:lineRule="auto"/>
        <w:ind w:firstLine="640" w:firstLineChars="200"/>
        <w:outlineLvl w:val="1"/>
        <w:rPr>
          <w:rFonts w:ascii="黑体" w:eastAsia="黑体"/>
          <w:color w:val="auto"/>
          <w:sz w:val="32"/>
          <w:szCs w:val="32"/>
          <w:lang w:eastAsia="zh-CN"/>
        </w:rPr>
      </w:pPr>
      <w:r>
        <w:rPr>
          <w:rFonts w:ascii="黑体" w:eastAsia="黑体"/>
          <w:color w:val="auto"/>
          <w:sz w:val="32"/>
          <w:szCs w:val="32"/>
          <w:lang w:eastAsia="zh-CN"/>
        </w:rPr>
        <w:t>八、国有资本经营预算财政拨款收入支出决算情况说明</w:t>
      </w:r>
    </w:p>
    <w:p>
      <w:pPr>
        <w:spacing w:line="240" w:lineRule="auto"/>
        <w:ind w:firstLine="640" w:firstLineChars="200"/>
        <w:jc w:val="both"/>
        <w:rPr>
          <w:rFonts w:ascii="仿宋_GB2312" w:eastAsia="仿宋_GB2312"/>
          <w:color w:val="auto"/>
          <w:sz w:val="32"/>
          <w:szCs w:val="32"/>
          <w:lang w:eastAsia="zh-CN"/>
        </w:rPr>
      </w:pPr>
      <w:r>
        <w:rPr>
          <w:rFonts w:ascii="仿宋_GB2312" w:eastAsia="仿宋_GB2312"/>
          <w:color w:val="auto"/>
          <w:sz w:val="32"/>
          <w:szCs w:val="32"/>
          <w:lang w:eastAsia="zh-CN"/>
        </w:rPr>
        <w:t>本单位本年度无国有资本经营预算财政拨款收入、支出及结转和结余，国有资本经营预算财政拨款收入支出决算表为空表。</w:t>
      </w:r>
    </w:p>
    <w:p>
      <w:pPr>
        <w:spacing w:line="240" w:lineRule="auto"/>
        <w:ind w:firstLine="640" w:firstLineChars="200"/>
        <w:outlineLvl w:val="1"/>
        <w:rPr>
          <w:rFonts w:ascii="黑体" w:eastAsia="黑体"/>
          <w:color w:val="auto"/>
          <w:sz w:val="32"/>
          <w:szCs w:val="32"/>
          <w:lang w:eastAsia="zh-CN"/>
        </w:rPr>
      </w:pPr>
      <w:r>
        <w:rPr>
          <w:rFonts w:ascii="黑体" w:eastAsia="黑体"/>
          <w:color w:val="auto"/>
          <w:sz w:val="32"/>
          <w:szCs w:val="32"/>
          <w:lang w:eastAsia="zh-CN"/>
        </w:rPr>
        <w:t>九、财政拨款“三公”经费支出决算情况说明</w:t>
      </w:r>
    </w:p>
    <w:p>
      <w:pPr>
        <w:spacing w:line="240" w:lineRule="auto"/>
        <w:ind w:firstLine="640" w:firstLineChars="200"/>
        <w:jc w:val="both"/>
        <w:rPr>
          <w:rFonts w:ascii="仿宋_GB2312" w:eastAsia="仿宋_GB2312"/>
          <w:color w:val="auto"/>
          <w:sz w:val="32"/>
          <w:szCs w:val="32"/>
          <w:lang w:eastAsia="zh-CN"/>
        </w:rPr>
      </w:pPr>
      <w:r>
        <w:rPr>
          <w:rFonts w:ascii="仿宋_GB2312" w:eastAsia="仿宋_GB2312"/>
          <w:color w:val="auto"/>
          <w:sz w:val="32"/>
          <w:szCs w:val="32"/>
          <w:lang w:eastAsia="zh-CN"/>
        </w:rPr>
        <w:t>2024年度财政拨款“三公”经费支出6.16万元，比上年减少0.00万元，下降0.00%，主要原因是：认真贯彻落实中央八项规定精神和厉行节约要求，从严控制“三公”经费开支</w:t>
      </w:r>
      <w:r>
        <w:rPr>
          <w:rFonts w:hint="eastAsia" w:ascii="仿宋_GB2312" w:eastAsia="仿宋_GB2312"/>
          <w:color w:val="auto"/>
          <w:sz w:val="32"/>
          <w:szCs w:val="32"/>
          <w:lang w:eastAsia="zh-CN"/>
        </w:rPr>
        <w:t>，</w:t>
      </w:r>
      <w:r>
        <w:rPr>
          <w:rFonts w:ascii="仿宋_GB2312" w:eastAsia="仿宋_GB2312"/>
          <w:color w:val="auto"/>
          <w:sz w:val="32"/>
          <w:szCs w:val="32"/>
          <w:lang w:eastAsia="zh-CN"/>
        </w:rPr>
        <w:t>与上年相比无变动。其中：因公出国（境）费支出0.00万元,占0.00%，与上年相比无变化，主要原因是：本年无因公出国（境）费支出，与上年相比无变动；公务用车购置及运行维护费支出6.16万元，占100.00%，比上年减少0.00万元，下降0.00%，主要原因是：认真贯彻落实中央八项规定精神和厉行节约要求，从严控制“三公”经费开支</w:t>
      </w:r>
      <w:r>
        <w:rPr>
          <w:rFonts w:hint="eastAsia" w:ascii="仿宋_GB2312" w:eastAsia="仿宋_GB2312"/>
          <w:color w:val="auto"/>
          <w:sz w:val="32"/>
          <w:szCs w:val="32"/>
          <w:lang w:eastAsia="zh-CN"/>
        </w:rPr>
        <w:t>，</w:t>
      </w:r>
      <w:r>
        <w:rPr>
          <w:rFonts w:ascii="仿宋_GB2312" w:eastAsia="仿宋_GB2312"/>
          <w:color w:val="auto"/>
          <w:sz w:val="32"/>
          <w:szCs w:val="32"/>
          <w:lang w:eastAsia="zh-CN"/>
        </w:rPr>
        <w:t>与上年相比无变动；公务接待费支出0.00万元，占0.00%，与上年相比无变化，主要原因是：本年无公务接待费，与上年相比无变动。</w:t>
      </w:r>
    </w:p>
    <w:p>
      <w:pPr>
        <w:spacing w:line="240" w:lineRule="auto"/>
        <w:ind w:firstLine="640" w:firstLineChars="200"/>
        <w:rPr>
          <w:rFonts w:ascii="仿宋_GB2312" w:eastAsia="仿宋_GB2312"/>
          <w:color w:val="auto"/>
          <w:sz w:val="32"/>
          <w:szCs w:val="32"/>
          <w:lang w:eastAsia="zh-CN"/>
        </w:rPr>
      </w:pPr>
      <w:r>
        <w:rPr>
          <w:rFonts w:ascii="仿宋_GB2312" w:eastAsia="仿宋_GB2312"/>
          <w:color w:val="auto"/>
          <w:sz w:val="32"/>
          <w:szCs w:val="32"/>
          <w:lang w:eastAsia="zh-CN"/>
        </w:rPr>
        <w:t>具体情况如下：</w:t>
      </w:r>
    </w:p>
    <w:p>
      <w:pPr>
        <w:spacing w:line="240" w:lineRule="auto"/>
        <w:ind w:firstLine="640" w:firstLineChars="200"/>
        <w:jc w:val="both"/>
        <w:rPr>
          <w:rFonts w:ascii="仿宋_GB2312" w:eastAsia="仿宋_GB2312"/>
          <w:color w:val="auto"/>
          <w:sz w:val="32"/>
          <w:szCs w:val="32"/>
          <w:lang w:eastAsia="zh-CN"/>
        </w:rPr>
      </w:pPr>
      <w:r>
        <w:rPr>
          <w:rFonts w:ascii="仿宋_GB2312" w:eastAsia="仿宋_GB2312"/>
          <w:color w:val="auto"/>
          <w:sz w:val="32"/>
          <w:szCs w:val="32"/>
          <w:lang w:eastAsia="zh-CN"/>
        </w:rPr>
        <w:t>因公出国（境）费支出0.00万元，开支内容包括。单位全年安排的因公出国（境）团组0个，因公出国（境）0人次。</w:t>
      </w:r>
    </w:p>
    <w:p>
      <w:pPr>
        <w:spacing w:line="240" w:lineRule="auto"/>
        <w:ind w:firstLine="640" w:firstLineChars="200"/>
        <w:jc w:val="both"/>
        <w:rPr>
          <w:rFonts w:ascii="仿宋_GB2312" w:eastAsia="仿宋_GB2312"/>
          <w:color w:val="auto"/>
          <w:sz w:val="32"/>
          <w:szCs w:val="32"/>
          <w:lang w:eastAsia="zh-CN"/>
        </w:rPr>
      </w:pPr>
      <w:r>
        <w:rPr>
          <w:rFonts w:ascii="仿宋_GB2312" w:eastAsia="仿宋_GB2312"/>
          <w:color w:val="auto"/>
          <w:sz w:val="32"/>
          <w:szCs w:val="32"/>
          <w:lang w:eastAsia="zh-CN"/>
        </w:rPr>
        <w:t>公务用车购置及运行维护费6.16万元，其中：公务用车购置费0.00万元，公务用车运行维护费6.16万元。公务用车运行维护费开支内容包括。公务用车购置数0辆，公务用车保有量2辆。国有资产占用情况中固定资产车辆14辆，与公务用车保有量差异原因是：车辆中含执法执勤用车11辆和其他用车1辆用于日常办案业务用车。</w:t>
      </w:r>
    </w:p>
    <w:p>
      <w:pPr>
        <w:spacing w:line="240" w:lineRule="auto"/>
        <w:ind w:firstLine="640" w:firstLineChars="200"/>
        <w:jc w:val="both"/>
        <w:rPr>
          <w:rFonts w:ascii="仿宋_GB2312" w:eastAsia="仿宋_GB2312"/>
          <w:color w:val="auto"/>
          <w:sz w:val="32"/>
          <w:szCs w:val="32"/>
          <w:lang w:eastAsia="zh-CN"/>
        </w:rPr>
      </w:pPr>
      <w:r>
        <w:rPr>
          <w:rFonts w:ascii="仿宋_GB2312" w:eastAsia="仿宋_GB2312"/>
          <w:color w:val="auto"/>
          <w:sz w:val="32"/>
          <w:szCs w:val="32"/>
          <w:lang w:eastAsia="zh-CN"/>
        </w:rPr>
        <w:t>公务接待费0.00万元，开支内容包括。单位全年安排的国内公务接待0批次，0人次。</w:t>
      </w:r>
    </w:p>
    <w:p>
      <w:pPr>
        <w:spacing w:line="240" w:lineRule="auto"/>
        <w:ind w:firstLine="640" w:firstLineChars="200"/>
        <w:jc w:val="both"/>
        <w:rPr>
          <w:rFonts w:ascii="仿宋_GB2312" w:eastAsia="仿宋_GB2312"/>
          <w:color w:val="auto"/>
          <w:sz w:val="32"/>
          <w:szCs w:val="32"/>
          <w:lang w:eastAsia="zh-CN"/>
        </w:rPr>
      </w:pPr>
      <w:r>
        <w:rPr>
          <w:rFonts w:ascii="仿宋_GB2312" w:eastAsia="仿宋_GB2312"/>
          <w:color w:val="auto"/>
          <w:sz w:val="32"/>
          <w:szCs w:val="32"/>
          <w:lang w:eastAsia="zh-CN"/>
        </w:rPr>
        <w:t>与全年预算相比，财政拨款“三公”经费支出全年预算数6.16万元，决算数6.16万元，预决算差异率0.00%，主要原因是：认真贯彻落实中央八项规定精神和厉行节约要求，从严控制“三公”经费开支</w:t>
      </w:r>
      <w:r>
        <w:rPr>
          <w:rFonts w:hint="eastAsia" w:ascii="仿宋_GB2312" w:eastAsia="仿宋_GB2312"/>
          <w:color w:val="auto"/>
          <w:sz w:val="32"/>
          <w:szCs w:val="32"/>
          <w:lang w:eastAsia="zh-CN"/>
        </w:rPr>
        <w:t>，</w:t>
      </w:r>
      <w:r>
        <w:rPr>
          <w:rFonts w:ascii="仿宋_GB2312" w:eastAsia="仿宋_GB2312"/>
          <w:color w:val="auto"/>
          <w:sz w:val="32"/>
          <w:szCs w:val="32"/>
          <w:lang w:eastAsia="zh-CN"/>
        </w:rPr>
        <w:t>与</w:t>
      </w:r>
      <w:r>
        <w:rPr>
          <w:rFonts w:hint="eastAsia" w:ascii="仿宋_GB2312" w:eastAsia="仿宋_GB2312"/>
          <w:color w:val="auto"/>
          <w:sz w:val="32"/>
          <w:szCs w:val="32"/>
          <w:lang w:eastAsia="zh-CN"/>
        </w:rPr>
        <w:t>预算</w:t>
      </w:r>
      <w:r>
        <w:rPr>
          <w:rFonts w:ascii="仿宋_GB2312" w:eastAsia="仿宋_GB2312"/>
          <w:color w:val="auto"/>
          <w:sz w:val="32"/>
          <w:szCs w:val="32"/>
          <w:lang w:eastAsia="zh-CN"/>
        </w:rPr>
        <w:t>相比无变动。其中：因公出国（境）费全年预算数0.00万元，决算数0.00万元，预决算差异率0.00%，主要原因是：我单位无因公出国（境）费预算，无因公出国（境）费支出。公务用车购置费全年预算数0.00万元，决算数0.00万元，预决算差异率0.00%，主要原因是：我单位无公务用车购置费预算数，无公务用车购置支出。公务用车运行维护费全年预算数6.16万元，决算数6.16万元，预决算差异率0.00%，主要原因是：认真贯彻落实中央八项规定</w:t>
      </w:r>
      <w:bookmarkStart w:id="0" w:name="_GoBack"/>
      <w:bookmarkEnd w:id="0"/>
      <w:r>
        <w:rPr>
          <w:rFonts w:ascii="仿宋_GB2312" w:eastAsia="仿宋_GB2312"/>
          <w:color w:val="auto"/>
          <w:sz w:val="32"/>
          <w:szCs w:val="32"/>
          <w:lang w:eastAsia="zh-CN"/>
        </w:rPr>
        <w:t>精神和厉行节约要求，从严控制“三公”经费开支，与</w:t>
      </w:r>
      <w:r>
        <w:rPr>
          <w:rFonts w:hint="eastAsia" w:ascii="仿宋_GB2312" w:eastAsia="仿宋_GB2312"/>
          <w:color w:val="auto"/>
          <w:sz w:val="32"/>
          <w:szCs w:val="32"/>
          <w:lang w:eastAsia="zh-CN"/>
        </w:rPr>
        <w:t>预算</w:t>
      </w:r>
      <w:r>
        <w:rPr>
          <w:rFonts w:ascii="仿宋_GB2312" w:eastAsia="仿宋_GB2312"/>
          <w:color w:val="auto"/>
          <w:sz w:val="32"/>
          <w:szCs w:val="32"/>
          <w:lang w:eastAsia="zh-CN"/>
        </w:rPr>
        <w:t>相比无变动。公务接待费全年预算数0.00万元，决算数0.00万元，预决算差异率0.00%，主要原因是：我单位无公务接待费预算，无公务接待费支出。</w:t>
      </w:r>
    </w:p>
    <w:p>
      <w:pPr>
        <w:spacing w:line="240" w:lineRule="auto"/>
        <w:ind w:firstLine="640" w:firstLineChars="200"/>
        <w:outlineLvl w:val="1"/>
        <w:rPr>
          <w:rFonts w:ascii="黑体" w:eastAsia="黑体"/>
          <w:color w:val="auto"/>
          <w:sz w:val="32"/>
          <w:szCs w:val="32"/>
          <w:lang w:eastAsia="zh-CN"/>
        </w:rPr>
      </w:pPr>
      <w:r>
        <w:rPr>
          <w:rFonts w:ascii="黑体" w:eastAsia="黑体"/>
          <w:color w:val="auto"/>
          <w:sz w:val="32"/>
          <w:szCs w:val="32"/>
          <w:lang w:eastAsia="zh-CN"/>
        </w:rPr>
        <w:t>十、其他重要事项的情况说明</w:t>
      </w:r>
    </w:p>
    <w:p>
      <w:pPr>
        <w:spacing w:line="240" w:lineRule="auto"/>
        <w:ind w:firstLine="643" w:firstLineChars="200"/>
        <w:outlineLvl w:val="2"/>
        <w:rPr>
          <w:rFonts w:ascii="仿宋_GB2312" w:eastAsia="仿宋_GB2312"/>
          <w:color w:val="auto"/>
          <w:sz w:val="32"/>
          <w:szCs w:val="32"/>
          <w:lang w:eastAsia="zh-CN"/>
        </w:rPr>
      </w:pPr>
      <w:r>
        <w:rPr>
          <w:rFonts w:ascii="仿宋_GB2312" w:eastAsia="仿宋_GB2312"/>
          <w:b/>
          <w:color w:val="auto"/>
          <w:sz w:val="32"/>
          <w:szCs w:val="32"/>
          <w:lang w:eastAsia="zh-CN"/>
        </w:rPr>
        <w:t>（一）机关运行经费及公用经费支出情况</w:t>
      </w:r>
    </w:p>
    <w:p>
      <w:pPr>
        <w:spacing w:line="240" w:lineRule="auto"/>
        <w:ind w:firstLine="640" w:firstLineChars="200"/>
        <w:jc w:val="both"/>
        <w:rPr>
          <w:rFonts w:ascii="仿宋_GB2312" w:eastAsia="仿宋_GB2312"/>
          <w:color w:val="auto"/>
          <w:sz w:val="32"/>
          <w:szCs w:val="32"/>
          <w:lang w:eastAsia="zh-CN"/>
        </w:rPr>
      </w:pPr>
      <w:r>
        <w:rPr>
          <w:rFonts w:ascii="仿宋_GB2312" w:eastAsia="仿宋_GB2312"/>
          <w:color w:val="auto"/>
          <w:sz w:val="32"/>
          <w:szCs w:val="32"/>
          <w:lang w:eastAsia="zh-CN"/>
        </w:rPr>
        <w:t>2024年度中共库尔勒市纪律检查委员会单位机关运行经费支出355.19万元，比上年增加219.12万元，增长161.03%，主要原因是：</w:t>
      </w:r>
      <w:r>
        <w:rPr>
          <w:rFonts w:hint="eastAsia" w:ascii="仿宋_GB2312" w:hAnsi="Calibri" w:eastAsia="仿宋_GB2312" w:cs="Times New Roman"/>
          <w:color w:val="auto"/>
          <w:sz w:val="32"/>
          <w:szCs w:val="32"/>
          <w:lang w:eastAsia="zh-CN"/>
        </w:rPr>
        <w:t>因新搬办公楼，各项经费增加，新增固定资产，机关运行经费增加</w:t>
      </w:r>
      <w:r>
        <w:rPr>
          <w:rFonts w:ascii="仿宋_GB2312" w:eastAsia="仿宋_GB2312"/>
          <w:color w:val="auto"/>
          <w:sz w:val="32"/>
          <w:szCs w:val="32"/>
          <w:lang w:eastAsia="zh-CN"/>
        </w:rPr>
        <w:t>。</w:t>
      </w:r>
    </w:p>
    <w:p>
      <w:pPr>
        <w:spacing w:line="240" w:lineRule="auto"/>
        <w:ind w:firstLine="643" w:firstLineChars="200"/>
        <w:outlineLvl w:val="2"/>
        <w:rPr>
          <w:rFonts w:ascii="仿宋_GB2312" w:eastAsia="仿宋_GB2312"/>
          <w:color w:val="auto"/>
          <w:sz w:val="32"/>
          <w:szCs w:val="32"/>
          <w:lang w:eastAsia="zh-CN"/>
        </w:rPr>
      </w:pPr>
      <w:r>
        <w:rPr>
          <w:rFonts w:ascii="仿宋_GB2312" w:eastAsia="仿宋_GB2312"/>
          <w:b/>
          <w:color w:val="auto"/>
          <w:sz w:val="32"/>
          <w:szCs w:val="32"/>
          <w:lang w:eastAsia="zh-CN"/>
        </w:rPr>
        <w:t>（二）政府采购情况</w:t>
      </w:r>
    </w:p>
    <w:p>
      <w:pPr>
        <w:spacing w:line="240" w:lineRule="auto"/>
        <w:ind w:firstLine="640" w:firstLineChars="200"/>
        <w:jc w:val="both"/>
        <w:rPr>
          <w:rFonts w:ascii="仿宋_GB2312" w:eastAsia="仿宋_GB2312"/>
          <w:color w:val="auto"/>
          <w:sz w:val="32"/>
          <w:szCs w:val="32"/>
          <w:lang w:eastAsia="zh-CN"/>
        </w:rPr>
      </w:pPr>
      <w:r>
        <w:rPr>
          <w:rFonts w:ascii="仿宋_GB2312" w:eastAsia="仿宋_GB2312"/>
          <w:color w:val="auto"/>
          <w:sz w:val="32"/>
          <w:szCs w:val="32"/>
          <w:lang w:eastAsia="zh-CN"/>
        </w:rPr>
        <w:t>2024年度政府采购支出总额129.53万元，其中：政府采购货物支出110.44万元、政府采购工程支出7.99万元、政府采购服务支出11.10万元。</w:t>
      </w:r>
    </w:p>
    <w:p>
      <w:pPr>
        <w:spacing w:line="240" w:lineRule="auto"/>
        <w:ind w:firstLine="640" w:firstLineChars="200"/>
        <w:jc w:val="both"/>
        <w:rPr>
          <w:rFonts w:ascii="仿宋_GB2312" w:eastAsia="仿宋_GB2312"/>
          <w:color w:val="auto"/>
          <w:sz w:val="32"/>
          <w:szCs w:val="32"/>
          <w:lang w:eastAsia="zh-CN"/>
        </w:rPr>
      </w:pPr>
      <w:r>
        <w:rPr>
          <w:rFonts w:ascii="仿宋_GB2312" w:eastAsia="仿宋_GB2312"/>
          <w:color w:val="auto"/>
          <w:sz w:val="32"/>
          <w:szCs w:val="32"/>
          <w:lang w:eastAsia="zh-CN"/>
        </w:rPr>
        <w:t>授予中小企业合同金额71.24万元，占政府采购支出总额的55.00%，其中：授予小微企业合同金额68.24万元，占政府采购支出总额的52.68%。</w:t>
      </w:r>
    </w:p>
    <w:p>
      <w:pPr>
        <w:spacing w:line="240" w:lineRule="auto"/>
        <w:ind w:firstLine="643" w:firstLineChars="200"/>
        <w:outlineLvl w:val="2"/>
        <w:rPr>
          <w:rFonts w:ascii="仿宋_GB2312" w:eastAsia="仿宋_GB2312"/>
          <w:color w:val="auto"/>
          <w:sz w:val="32"/>
          <w:szCs w:val="32"/>
          <w:lang w:eastAsia="zh-CN"/>
        </w:rPr>
      </w:pPr>
      <w:r>
        <w:rPr>
          <w:rFonts w:ascii="仿宋_GB2312" w:eastAsia="仿宋_GB2312"/>
          <w:b/>
          <w:color w:val="auto"/>
          <w:sz w:val="32"/>
          <w:szCs w:val="32"/>
          <w:lang w:eastAsia="zh-CN"/>
        </w:rPr>
        <w:t>（三）国有资产占用情况说明</w:t>
      </w:r>
    </w:p>
    <w:p>
      <w:pPr>
        <w:spacing w:line="240" w:lineRule="auto"/>
        <w:ind w:firstLine="640" w:firstLineChars="200"/>
        <w:jc w:val="both"/>
        <w:rPr>
          <w:rFonts w:ascii="仿宋_GB2312" w:eastAsia="仿宋_GB2312"/>
          <w:color w:val="auto"/>
          <w:sz w:val="32"/>
          <w:szCs w:val="32"/>
          <w:lang w:eastAsia="zh-CN"/>
        </w:rPr>
      </w:pPr>
      <w:r>
        <w:rPr>
          <w:rFonts w:ascii="仿宋_GB2312" w:eastAsia="仿宋_GB2312"/>
          <w:color w:val="auto"/>
          <w:sz w:val="32"/>
          <w:szCs w:val="32"/>
        </w:rPr>
        <w:t>截至2024年12月31日，房屋0.00平方米，价值0.00万元。</w:t>
      </w:r>
      <w:r>
        <w:rPr>
          <w:rFonts w:ascii="仿宋_GB2312" w:eastAsia="仿宋_GB2312"/>
          <w:color w:val="auto"/>
          <w:sz w:val="32"/>
          <w:szCs w:val="32"/>
          <w:lang w:eastAsia="zh-CN"/>
        </w:rPr>
        <w:t>车辆14辆，价值294.18万元，其中：副部（省）级及以上领导用车0辆、主要负责人用车0辆、机要通信用车0辆、应急保障用车0辆、执法执勤用车11辆、特种专业技术用车0辆、离退休干部服务用车0辆、其他用车0辆，其他用车主要是：;单价100万元（含）以上设备（不含车辆）0台（套）。</w:t>
      </w:r>
    </w:p>
    <w:p>
      <w:pPr>
        <w:spacing w:line="240" w:lineRule="auto"/>
        <w:ind w:firstLine="640" w:firstLineChars="200"/>
        <w:outlineLvl w:val="1"/>
        <w:rPr>
          <w:rFonts w:ascii="黑体" w:eastAsia="黑体"/>
          <w:color w:val="auto"/>
          <w:sz w:val="32"/>
          <w:szCs w:val="32"/>
          <w:lang w:eastAsia="zh-CN"/>
        </w:rPr>
      </w:pPr>
      <w:r>
        <w:rPr>
          <w:rFonts w:ascii="黑体" w:eastAsia="黑体"/>
          <w:color w:val="auto"/>
          <w:sz w:val="32"/>
          <w:szCs w:val="32"/>
          <w:lang w:eastAsia="zh-CN"/>
        </w:rPr>
        <w:t>十一、预算绩效的情况说明</w:t>
      </w:r>
    </w:p>
    <w:p>
      <w:pPr>
        <w:spacing w:line="240" w:lineRule="auto"/>
        <w:ind w:firstLine="640" w:firstLineChars="200"/>
        <w:jc w:val="both"/>
        <w:rPr>
          <w:rFonts w:hint="eastAsia" w:ascii="仿宋_GB2312" w:eastAsia="仿宋_GB2312"/>
          <w:color w:val="auto"/>
          <w:sz w:val="32"/>
          <w:szCs w:val="32"/>
          <w:lang w:eastAsia="zh-CN"/>
        </w:rPr>
      </w:pPr>
      <w:r>
        <w:rPr>
          <w:rFonts w:ascii="仿宋_GB2312" w:eastAsia="仿宋_GB2312"/>
          <w:color w:val="auto"/>
          <w:sz w:val="32"/>
          <w:szCs w:val="32"/>
          <w:lang w:eastAsia="zh-CN"/>
        </w:rPr>
        <w:t>根据预算绩效管理要求，本单位2024年度预算绩效管理形成整体支出绩效自评表1个，全年预算总额</w:t>
      </w:r>
      <w:r>
        <w:rPr>
          <w:rFonts w:hint="eastAsia" w:ascii="仿宋_GB2312" w:eastAsia="仿宋_GB2312"/>
          <w:color w:val="auto"/>
          <w:sz w:val="32"/>
          <w:szCs w:val="32"/>
          <w:lang w:eastAsia="zh-CN"/>
        </w:rPr>
        <w:t>2518.45</w:t>
      </w:r>
      <w:r>
        <w:rPr>
          <w:rFonts w:ascii="仿宋_GB2312" w:eastAsia="仿宋_GB2312"/>
          <w:color w:val="auto"/>
          <w:sz w:val="32"/>
          <w:szCs w:val="32"/>
          <w:lang w:eastAsia="zh-CN"/>
        </w:rPr>
        <w:t>万元，实际执行总额</w:t>
      </w:r>
      <w:r>
        <w:rPr>
          <w:rFonts w:hint="eastAsia" w:ascii="仿宋_GB2312" w:eastAsia="仿宋_GB2312"/>
          <w:color w:val="auto"/>
          <w:sz w:val="32"/>
          <w:szCs w:val="32"/>
          <w:lang w:eastAsia="zh-CN"/>
        </w:rPr>
        <w:t>2518.45</w:t>
      </w:r>
      <w:r>
        <w:rPr>
          <w:rFonts w:ascii="仿宋_GB2312" w:eastAsia="仿宋_GB2312"/>
          <w:color w:val="auto"/>
          <w:sz w:val="32"/>
          <w:szCs w:val="32"/>
          <w:lang w:eastAsia="zh-CN"/>
        </w:rPr>
        <w:t>万元；预算绩效评价项目</w:t>
      </w:r>
      <w:r>
        <w:rPr>
          <w:rFonts w:hint="eastAsia" w:ascii="仿宋_GB2312" w:eastAsia="仿宋_GB2312"/>
          <w:color w:val="auto"/>
          <w:sz w:val="32"/>
          <w:szCs w:val="32"/>
          <w:lang w:eastAsia="zh-CN"/>
        </w:rPr>
        <w:t>4</w:t>
      </w:r>
      <w:r>
        <w:rPr>
          <w:rFonts w:ascii="仿宋_GB2312" w:eastAsia="仿宋_GB2312"/>
          <w:color w:val="auto"/>
          <w:sz w:val="32"/>
          <w:szCs w:val="32"/>
          <w:lang w:eastAsia="zh-CN"/>
        </w:rPr>
        <w:t>个，全年预算数</w:t>
      </w:r>
      <w:r>
        <w:rPr>
          <w:rFonts w:hint="eastAsia" w:ascii="仿宋_GB2312" w:eastAsia="仿宋_GB2312"/>
          <w:color w:val="auto"/>
          <w:sz w:val="32"/>
          <w:szCs w:val="32"/>
          <w:lang w:eastAsia="zh-CN"/>
        </w:rPr>
        <w:t>51.99</w:t>
      </w:r>
      <w:r>
        <w:rPr>
          <w:rFonts w:ascii="仿宋_GB2312" w:eastAsia="仿宋_GB2312"/>
          <w:color w:val="auto"/>
          <w:sz w:val="32"/>
          <w:szCs w:val="32"/>
          <w:lang w:eastAsia="zh-CN"/>
        </w:rPr>
        <w:t>万元，全年执行数</w:t>
      </w:r>
      <w:r>
        <w:rPr>
          <w:rFonts w:hint="eastAsia" w:ascii="仿宋_GB2312" w:eastAsia="仿宋_GB2312"/>
          <w:color w:val="auto"/>
          <w:sz w:val="32"/>
          <w:szCs w:val="32"/>
          <w:lang w:eastAsia="zh-CN"/>
        </w:rPr>
        <w:t>49.11</w:t>
      </w:r>
      <w:r>
        <w:rPr>
          <w:rFonts w:ascii="仿宋_GB2312" w:eastAsia="仿宋_GB2312"/>
          <w:color w:val="auto"/>
          <w:sz w:val="32"/>
          <w:szCs w:val="32"/>
          <w:lang w:eastAsia="zh-CN"/>
        </w:rPr>
        <w:t>万元。预算绩效管理取得的成效：一是我单位部门支出满足了单位各项工作正常开展，确保了各项计划和任务的完成，体现了较好的履职效益；二是我单位客观、全面地完成了项目执行的实际情况和取得的成果的相关资料收集工作，并完成了资金实施偏差和项目完成可能性分析。发现的问题及原因：一是于个别项目资金使用不细致，未按进度执行预算资金，出现实际支出数少情况，项目资金结余数额多的情况；二是对全面实施预算绩效管理的要求认识还不到位，项目申报、实施等环节与预算绩效管理各个环节联系不够紧密。下一步改进措施：一是严格按项目进度执行预算, 增强预算的约束力和严肃性，落实预算执行分析,及时了解预算执行差异,合理调整、纠正预算执行偏差，切实提高部门预算收支管理水平；二是严格按规定做好绩效目标申报、自评、 公开等相关工作，提高财政资金使用绩效。具体项目自评情况附项目支出绩效自评表。具体项目自评情况附绩效自评表及自评报告。</w:t>
      </w:r>
    </w:p>
    <w:p>
      <w:pPr>
        <w:spacing w:line="240" w:lineRule="auto"/>
        <w:ind w:firstLine="640" w:firstLineChars="200"/>
        <w:jc w:val="both"/>
        <w:rPr>
          <w:rFonts w:ascii="仿宋_GB2312" w:eastAsia="仿宋_GB2312"/>
          <w:color w:val="auto"/>
          <w:sz w:val="32"/>
          <w:szCs w:val="32"/>
          <w:lang w:eastAsia="zh-CN"/>
        </w:rPr>
      </w:pPr>
      <w:r>
        <w:rPr>
          <w:rFonts w:hint="eastAsia" w:ascii="仿宋_GB2312" w:eastAsia="仿宋_GB2312"/>
          <w:color w:val="auto"/>
          <w:sz w:val="32"/>
          <w:szCs w:val="32"/>
          <w:lang w:eastAsia="zh-CN"/>
        </w:rPr>
        <w:t>因纪委在履行相关职责和义务的过程中，涉及部分财务数据属于保密范畴，库尔勒市纪委整体支出绩效评价报告、整体支出绩效目标自评表、4个项目绩效自评表、4个项目绩效评价报告不宜对外公开</w:t>
      </w:r>
    </w:p>
    <w:p>
      <w:pPr>
        <w:spacing w:line="240" w:lineRule="auto"/>
        <w:ind w:firstLine="640" w:firstLineChars="200"/>
        <w:outlineLvl w:val="1"/>
        <w:rPr>
          <w:rFonts w:ascii="黑体" w:eastAsia="黑体"/>
          <w:color w:val="auto"/>
          <w:sz w:val="32"/>
          <w:szCs w:val="32"/>
          <w:lang w:eastAsia="zh-CN"/>
        </w:rPr>
      </w:pPr>
      <w:r>
        <w:rPr>
          <w:rFonts w:ascii="黑体" w:eastAsia="黑体"/>
          <w:color w:val="auto"/>
          <w:sz w:val="32"/>
          <w:szCs w:val="32"/>
          <w:lang w:eastAsia="zh-CN"/>
        </w:rPr>
        <w:t>十二、其他需说明的事项</w:t>
      </w:r>
    </w:p>
    <w:p>
      <w:pPr>
        <w:spacing w:line="240" w:lineRule="auto"/>
        <w:ind w:firstLine="640" w:firstLineChars="200"/>
        <w:jc w:val="both"/>
        <w:rPr>
          <w:rFonts w:ascii="仿宋_GB2312" w:eastAsia="仿宋_GB2312"/>
          <w:color w:val="auto"/>
          <w:sz w:val="32"/>
          <w:szCs w:val="32"/>
          <w:lang w:eastAsia="zh-CN"/>
        </w:rPr>
      </w:pPr>
      <w:r>
        <w:rPr>
          <w:rFonts w:ascii="仿宋_GB2312" w:eastAsia="仿宋_GB2312"/>
          <w:color w:val="auto"/>
          <w:sz w:val="32"/>
          <w:szCs w:val="32"/>
          <w:lang w:eastAsia="zh-CN"/>
        </w:rPr>
        <w:t>本单位无其他需说明事项。</w:t>
      </w:r>
    </w:p>
    <w:p>
      <w:pPr>
        <w:spacing w:line="240" w:lineRule="auto"/>
        <w:ind w:firstLine="640" w:firstLineChars="200"/>
        <w:rPr>
          <w:rFonts w:ascii="仿宋_GB2312" w:eastAsia="仿宋_GB2312"/>
          <w:color w:val="auto"/>
          <w:sz w:val="32"/>
          <w:szCs w:val="32"/>
          <w:lang w:eastAsia="zh-CN"/>
        </w:rPr>
      </w:pPr>
    </w:p>
    <w:p>
      <w:pPr>
        <w:rPr>
          <w:color w:val="auto"/>
          <w:lang w:eastAsia="zh-CN"/>
        </w:rPr>
      </w:pPr>
      <w:r>
        <w:rPr>
          <w:color w:val="auto"/>
          <w:sz w:val="0"/>
          <w:szCs w:val="0"/>
          <w:lang w:eastAsia="zh-CN"/>
        </w:rPr>
        <w:br w:type="page"/>
      </w:r>
    </w:p>
    <w:p>
      <w:pPr>
        <w:spacing w:line="240" w:lineRule="auto"/>
        <w:jc w:val="center"/>
        <w:outlineLvl w:val="0"/>
        <w:rPr>
          <w:rFonts w:ascii="黑体" w:eastAsia="黑体"/>
          <w:color w:val="auto"/>
          <w:sz w:val="32"/>
          <w:szCs w:val="32"/>
          <w:lang w:eastAsia="zh-CN"/>
        </w:rPr>
      </w:pPr>
      <w:r>
        <w:rPr>
          <w:rFonts w:ascii="黑体" w:eastAsia="黑体"/>
          <w:color w:val="auto"/>
          <w:sz w:val="32"/>
          <w:szCs w:val="32"/>
          <w:lang w:eastAsia="zh-CN"/>
        </w:rPr>
        <w:t>第三部分专业名词解释</w:t>
      </w:r>
    </w:p>
    <w:p>
      <w:pPr>
        <w:spacing w:line="240" w:lineRule="auto"/>
        <w:ind w:firstLine="643" w:firstLineChars="200"/>
        <w:rPr>
          <w:rFonts w:ascii="仿宋_GB2312" w:eastAsia="仿宋_GB2312"/>
          <w:color w:val="auto"/>
          <w:sz w:val="32"/>
          <w:szCs w:val="32"/>
          <w:lang w:eastAsia="zh-CN"/>
        </w:rPr>
      </w:pPr>
      <w:r>
        <w:rPr>
          <w:rFonts w:ascii="仿宋_GB2312" w:eastAsia="仿宋_GB2312"/>
          <w:b/>
          <w:color w:val="auto"/>
          <w:sz w:val="32"/>
          <w:szCs w:val="32"/>
          <w:lang w:eastAsia="zh-CN"/>
        </w:rPr>
        <w:t>一、财政拨款收入：</w:t>
      </w:r>
      <w:r>
        <w:rPr>
          <w:rFonts w:ascii="仿宋_GB2312" w:eastAsia="仿宋_GB2312"/>
          <w:color w:val="auto"/>
          <w:sz w:val="32"/>
          <w:szCs w:val="32"/>
          <w:lang w:eastAsia="zh-CN"/>
        </w:rPr>
        <w:t>指同级财政当年拨付的资金。</w:t>
      </w:r>
    </w:p>
    <w:p>
      <w:pPr>
        <w:spacing w:line="240" w:lineRule="auto"/>
        <w:ind w:firstLine="643" w:firstLineChars="200"/>
        <w:rPr>
          <w:rFonts w:ascii="仿宋_GB2312" w:eastAsia="仿宋_GB2312"/>
          <w:color w:val="auto"/>
          <w:sz w:val="32"/>
          <w:szCs w:val="32"/>
          <w:lang w:eastAsia="zh-CN"/>
        </w:rPr>
      </w:pPr>
      <w:r>
        <w:rPr>
          <w:rFonts w:ascii="仿宋_GB2312" w:eastAsia="仿宋_GB2312"/>
          <w:b/>
          <w:color w:val="auto"/>
          <w:sz w:val="32"/>
          <w:szCs w:val="32"/>
          <w:lang w:eastAsia="zh-CN"/>
        </w:rPr>
        <w:t>二、上级补助收入：</w:t>
      </w:r>
      <w:r>
        <w:rPr>
          <w:rFonts w:ascii="仿宋_GB2312" w:eastAsia="仿宋_GB2312"/>
          <w:color w:val="auto"/>
          <w:sz w:val="32"/>
          <w:szCs w:val="32"/>
          <w:lang w:eastAsia="zh-CN"/>
        </w:rPr>
        <w:t>指事业单位从主管部门和上级单位取得的非财政补助收入。</w:t>
      </w:r>
    </w:p>
    <w:p>
      <w:pPr>
        <w:spacing w:line="240" w:lineRule="auto"/>
        <w:ind w:firstLine="643" w:firstLineChars="200"/>
        <w:rPr>
          <w:rFonts w:ascii="仿宋_GB2312" w:eastAsia="仿宋_GB2312"/>
          <w:color w:val="auto"/>
          <w:sz w:val="32"/>
          <w:szCs w:val="32"/>
          <w:lang w:eastAsia="zh-CN"/>
        </w:rPr>
      </w:pPr>
      <w:r>
        <w:rPr>
          <w:rFonts w:ascii="仿宋_GB2312" w:eastAsia="仿宋_GB2312"/>
          <w:b/>
          <w:color w:val="auto"/>
          <w:sz w:val="32"/>
          <w:szCs w:val="32"/>
          <w:lang w:eastAsia="zh-CN"/>
        </w:rPr>
        <w:t>三、事业收入：</w:t>
      </w:r>
      <w:r>
        <w:rPr>
          <w:rFonts w:ascii="仿宋_GB2312" w:eastAsia="仿宋_GB2312"/>
          <w:color w:val="auto"/>
          <w:sz w:val="32"/>
          <w:szCs w:val="32"/>
          <w:lang w:eastAsia="zh-CN"/>
        </w:rPr>
        <w:t>指事业单位开展专业业务活动及其辅助活动所取得的收入。</w:t>
      </w:r>
    </w:p>
    <w:p>
      <w:pPr>
        <w:spacing w:line="240" w:lineRule="auto"/>
        <w:ind w:firstLine="643" w:firstLineChars="200"/>
        <w:rPr>
          <w:rFonts w:ascii="仿宋_GB2312" w:eastAsia="仿宋_GB2312"/>
          <w:color w:val="auto"/>
          <w:sz w:val="32"/>
          <w:szCs w:val="32"/>
          <w:lang w:eastAsia="zh-CN"/>
        </w:rPr>
      </w:pPr>
      <w:r>
        <w:rPr>
          <w:rFonts w:ascii="仿宋_GB2312" w:eastAsia="仿宋_GB2312"/>
          <w:b/>
          <w:color w:val="auto"/>
          <w:sz w:val="32"/>
          <w:szCs w:val="32"/>
          <w:lang w:eastAsia="zh-CN"/>
        </w:rPr>
        <w:t>四、经营收入：</w:t>
      </w:r>
      <w:r>
        <w:rPr>
          <w:rFonts w:ascii="仿宋_GB2312" w:eastAsia="仿宋_GB2312"/>
          <w:color w:val="auto"/>
          <w:sz w:val="32"/>
          <w:szCs w:val="32"/>
          <w:lang w:eastAsia="zh-CN"/>
        </w:rPr>
        <w:t>指事业单位在专业业务活动及其辅助活动之外开展非独立核算经营活动取得的收入。</w:t>
      </w:r>
    </w:p>
    <w:p>
      <w:pPr>
        <w:spacing w:line="240" w:lineRule="auto"/>
        <w:ind w:firstLine="643" w:firstLineChars="200"/>
        <w:rPr>
          <w:rFonts w:ascii="仿宋_GB2312" w:eastAsia="仿宋_GB2312"/>
          <w:color w:val="auto"/>
          <w:sz w:val="32"/>
          <w:szCs w:val="32"/>
          <w:lang w:eastAsia="zh-CN"/>
        </w:rPr>
      </w:pPr>
      <w:r>
        <w:rPr>
          <w:rFonts w:ascii="仿宋_GB2312" w:eastAsia="仿宋_GB2312"/>
          <w:b/>
          <w:color w:val="auto"/>
          <w:sz w:val="32"/>
          <w:szCs w:val="32"/>
          <w:lang w:eastAsia="zh-CN"/>
        </w:rPr>
        <w:t>五、附属单位上缴收入：</w:t>
      </w:r>
      <w:r>
        <w:rPr>
          <w:rFonts w:ascii="仿宋_GB2312" w:eastAsia="仿宋_GB2312"/>
          <w:color w:val="auto"/>
          <w:sz w:val="32"/>
          <w:szCs w:val="32"/>
          <w:lang w:eastAsia="zh-CN"/>
        </w:rPr>
        <w:t>指事业单位附属的独立核算单位按有关规定上缴的收入。</w:t>
      </w:r>
    </w:p>
    <w:p>
      <w:pPr>
        <w:spacing w:line="240" w:lineRule="auto"/>
        <w:ind w:firstLine="643" w:firstLineChars="200"/>
        <w:rPr>
          <w:rFonts w:ascii="仿宋_GB2312" w:eastAsia="仿宋_GB2312"/>
          <w:color w:val="auto"/>
          <w:sz w:val="32"/>
          <w:szCs w:val="32"/>
          <w:lang w:eastAsia="zh-CN"/>
        </w:rPr>
      </w:pPr>
      <w:r>
        <w:rPr>
          <w:rFonts w:ascii="仿宋_GB2312" w:eastAsia="仿宋_GB2312"/>
          <w:b/>
          <w:color w:val="auto"/>
          <w:sz w:val="32"/>
          <w:szCs w:val="32"/>
          <w:lang w:eastAsia="zh-CN"/>
        </w:rPr>
        <w:t>六、其他收入：</w:t>
      </w:r>
      <w:r>
        <w:rPr>
          <w:rFonts w:ascii="仿宋_GB2312" w:eastAsia="仿宋_GB2312"/>
          <w:color w:val="auto"/>
          <w:sz w:val="32"/>
          <w:szCs w:val="32"/>
          <w:lang w:eastAsia="zh-CN"/>
        </w:rPr>
        <w:t>指除上述“财政拨款收入”、“事业收入”、“经营收入”、“附属单位上缴收入”等之外取得的收入。</w:t>
      </w:r>
    </w:p>
    <w:p>
      <w:pPr>
        <w:spacing w:line="240" w:lineRule="auto"/>
        <w:ind w:firstLine="643" w:firstLineChars="200"/>
        <w:rPr>
          <w:rFonts w:ascii="仿宋_GB2312" w:eastAsia="仿宋_GB2312"/>
          <w:color w:val="auto"/>
          <w:sz w:val="32"/>
          <w:szCs w:val="32"/>
          <w:lang w:eastAsia="zh-CN"/>
        </w:rPr>
      </w:pPr>
      <w:r>
        <w:rPr>
          <w:rFonts w:ascii="仿宋_GB2312" w:eastAsia="仿宋_GB2312"/>
          <w:b/>
          <w:color w:val="auto"/>
          <w:sz w:val="32"/>
          <w:szCs w:val="32"/>
          <w:lang w:eastAsia="zh-CN"/>
        </w:rPr>
        <w:t>七、年初结转和结余：</w:t>
      </w:r>
      <w:r>
        <w:rPr>
          <w:rFonts w:ascii="仿宋_GB2312" w:eastAsia="仿宋_GB2312"/>
          <w:color w:val="auto"/>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3" w:firstLineChars="200"/>
        <w:rPr>
          <w:rFonts w:ascii="仿宋_GB2312" w:eastAsia="仿宋_GB2312"/>
          <w:color w:val="auto"/>
          <w:sz w:val="32"/>
          <w:szCs w:val="32"/>
          <w:lang w:eastAsia="zh-CN"/>
        </w:rPr>
      </w:pPr>
      <w:r>
        <w:rPr>
          <w:rFonts w:ascii="仿宋_GB2312" w:eastAsia="仿宋_GB2312"/>
          <w:b/>
          <w:color w:val="auto"/>
          <w:sz w:val="32"/>
          <w:szCs w:val="32"/>
          <w:lang w:eastAsia="zh-CN"/>
        </w:rPr>
        <w:t>八、年末结转和结余：</w:t>
      </w:r>
      <w:r>
        <w:rPr>
          <w:rFonts w:ascii="仿宋_GB2312" w:eastAsia="仿宋_GB2312"/>
          <w:color w:val="auto"/>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3" w:firstLineChars="200"/>
        <w:rPr>
          <w:rFonts w:ascii="仿宋_GB2312" w:eastAsia="仿宋_GB2312"/>
          <w:color w:val="auto"/>
          <w:sz w:val="32"/>
          <w:szCs w:val="32"/>
          <w:lang w:eastAsia="zh-CN"/>
        </w:rPr>
      </w:pPr>
      <w:r>
        <w:rPr>
          <w:rFonts w:ascii="仿宋_GB2312" w:eastAsia="仿宋_GB2312"/>
          <w:b/>
          <w:color w:val="auto"/>
          <w:sz w:val="32"/>
          <w:szCs w:val="32"/>
          <w:lang w:eastAsia="zh-CN"/>
        </w:rPr>
        <w:t>九、基本支出：</w:t>
      </w:r>
      <w:r>
        <w:rPr>
          <w:rFonts w:ascii="仿宋_GB2312" w:eastAsia="仿宋_GB2312"/>
          <w:color w:val="auto"/>
          <w:sz w:val="32"/>
          <w:szCs w:val="32"/>
          <w:lang w:eastAsia="zh-CN"/>
        </w:rPr>
        <w:t>指为保障机构正常运转、完成日常工作任务而发生的人员支出和公用支出。</w:t>
      </w:r>
    </w:p>
    <w:p>
      <w:pPr>
        <w:spacing w:line="240" w:lineRule="auto"/>
        <w:ind w:firstLine="643" w:firstLineChars="200"/>
        <w:rPr>
          <w:rFonts w:ascii="仿宋_GB2312" w:eastAsia="仿宋_GB2312"/>
          <w:color w:val="auto"/>
          <w:sz w:val="32"/>
          <w:szCs w:val="32"/>
          <w:lang w:eastAsia="zh-CN"/>
        </w:rPr>
      </w:pPr>
      <w:r>
        <w:rPr>
          <w:rFonts w:ascii="仿宋_GB2312" w:eastAsia="仿宋_GB2312"/>
          <w:b/>
          <w:color w:val="auto"/>
          <w:sz w:val="32"/>
          <w:szCs w:val="32"/>
          <w:lang w:eastAsia="zh-CN"/>
        </w:rPr>
        <w:t>十、项目支出：</w:t>
      </w:r>
      <w:r>
        <w:rPr>
          <w:rFonts w:ascii="仿宋_GB2312" w:eastAsia="仿宋_GB2312"/>
          <w:color w:val="auto"/>
          <w:sz w:val="32"/>
          <w:szCs w:val="32"/>
          <w:lang w:eastAsia="zh-CN"/>
        </w:rPr>
        <w:t>指在基本支出之外为完成特定行政任务和事业发展目标所发生的支出。</w:t>
      </w:r>
    </w:p>
    <w:p>
      <w:pPr>
        <w:spacing w:line="240" w:lineRule="auto"/>
        <w:ind w:firstLine="643" w:firstLineChars="200"/>
        <w:rPr>
          <w:rFonts w:ascii="仿宋_GB2312" w:eastAsia="仿宋_GB2312"/>
          <w:color w:val="auto"/>
          <w:sz w:val="32"/>
          <w:szCs w:val="32"/>
          <w:lang w:eastAsia="zh-CN"/>
        </w:rPr>
      </w:pPr>
      <w:r>
        <w:rPr>
          <w:rFonts w:ascii="仿宋_GB2312" w:eastAsia="仿宋_GB2312"/>
          <w:b/>
          <w:color w:val="auto"/>
          <w:sz w:val="32"/>
          <w:szCs w:val="32"/>
          <w:lang w:eastAsia="zh-CN"/>
        </w:rPr>
        <w:t>十一、经营支出：</w:t>
      </w:r>
      <w:r>
        <w:rPr>
          <w:rFonts w:ascii="仿宋_GB2312" w:eastAsia="仿宋_GB2312"/>
          <w:color w:val="auto"/>
          <w:sz w:val="32"/>
          <w:szCs w:val="32"/>
          <w:lang w:eastAsia="zh-CN"/>
        </w:rPr>
        <w:t>指事业单位在专业业务活动及其辅助活动之外开展非独立核算经营活动发生的支出。</w:t>
      </w:r>
    </w:p>
    <w:p>
      <w:pPr>
        <w:spacing w:line="240" w:lineRule="auto"/>
        <w:ind w:firstLine="643" w:firstLineChars="200"/>
        <w:rPr>
          <w:rFonts w:ascii="仿宋_GB2312" w:eastAsia="仿宋_GB2312"/>
          <w:color w:val="auto"/>
          <w:sz w:val="32"/>
          <w:szCs w:val="32"/>
          <w:lang w:eastAsia="zh-CN"/>
        </w:rPr>
      </w:pPr>
      <w:r>
        <w:rPr>
          <w:rFonts w:ascii="仿宋_GB2312" w:eastAsia="仿宋_GB2312"/>
          <w:b/>
          <w:color w:val="auto"/>
          <w:sz w:val="32"/>
          <w:szCs w:val="32"/>
          <w:lang w:eastAsia="zh-CN"/>
        </w:rPr>
        <w:t>十二、对附属单位补助支出：</w:t>
      </w:r>
      <w:r>
        <w:rPr>
          <w:rFonts w:ascii="仿宋_GB2312" w:eastAsia="仿宋_GB2312"/>
          <w:color w:val="auto"/>
          <w:sz w:val="32"/>
          <w:szCs w:val="32"/>
          <w:lang w:eastAsia="zh-CN"/>
        </w:rPr>
        <w:t>指事业单位发生的用非财政预算资金对附属单位的补助支出。</w:t>
      </w:r>
    </w:p>
    <w:p>
      <w:pPr>
        <w:spacing w:line="240" w:lineRule="auto"/>
        <w:ind w:firstLine="643" w:firstLineChars="200"/>
        <w:rPr>
          <w:rFonts w:ascii="仿宋_GB2312" w:eastAsia="仿宋_GB2312"/>
          <w:color w:val="auto"/>
          <w:sz w:val="32"/>
          <w:szCs w:val="32"/>
          <w:lang w:eastAsia="zh-CN"/>
        </w:rPr>
      </w:pPr>
      <w:r>
        <w:rPr>
          <w:rFonts w:ascii="仿宋_GB2312" w:eastAsia="仿宋_GB2312"/>
          <w:b/>
          <w:color w:val="auto"/>
          <w:sz w:val="32"/>
          <w:szCs w:val="32"/>
          <w:lang w:eastAsia="zh-CN"/>
        </w:rPr>
        <w:t>十三、“三公”经费：</w:t>
      </w:r>
      <w:r>
        <w:rPr>
          <w:rFonts w:ascii="仿宋_GB2312" w:eastAsia="仿宋_GB2312"/>
          <w:color w:val="auto"/>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3" w:firstLineChars="200"/>
        <w:rPr>
          <w:rFonts w:ascii="仿宋_GB2312" w:eastAsia="仿宋_GB2312"/>
          <w:color w:val="auto"/>
          <w:sz w:val="32"/>
          <w:szCs w:val="32"/>
          <w:lang w:eastAsia="zh-CN"/>
        </w:rPr>
      </w:pPr>
      <w:r>
        <w:rPr>
          <w:rFonts w:ascii="仿宋_GB2312" w:eastAsia="仿宋_GB2312"/>
          <w:b/>
          <w:color w:val="auto"/>
          <w:sz w:val="32"/>
          <w:szCs w:val="32"/>
          <w:lang w:eastAsia="zh-CN"/>
        </w:rPr>
        <w:t>十四、机关运行经费：</w:t>
      </w:r>
      <w:r>
        <w:rPr>
          <w:rFonts w:ascii="仿宋_GB2312" w:eastAsia="仿宋_GB2312"/>
          <w:color w:val="auto"/>
          <w:sz w:val="32"/>
          <w:szCs w:val="32"/>
          <w:lang w:eastAsia="zh-CN"/>
        </w:rPr>
        <w:t>行政单位和参照公务员法管理的事业单位财政拨款基本支出中的公用经费支出。</w:t>
      </w:r>
    </w:p>
    <w:p>
      <w:pPr>
        <w:rPr>
          <w:color w:val="auto"/>
          <w:lang w:eastAsia="zh-CN"/>
        </w:rPr>
      </w:pPr>
      <w:r>
        <w:rPr>
          <w:color w:val="auto"/>
          <w:sz w:val="0"/>
          <w:szCs w:val="0"/>
          <w:lang w:eastAsia="zh-CN"/>
        </w:rPr>
        <w:br w:type="page"/>
      </w:r>
    </w:p>
    <w:p>
      <w:pPr>
        <w:spacing w:line="240" w:lineRule="auto"/>
        <w:jc w:val="center"/>
        <w:outlineLvl w:val="0"/>
        <w:rPr>
          <w:rFonts w:ascii="黑体" w:eastAsia="黑体"/>
          <w:color w:val="auto"/>
          <w:sz w:val="32"/>
          <w:szCs w:val="32"/>
          <w:lang w:eastAsia="zh-CN"/>
        </w:rPr>
      </w:pPr>
      <w:r>
        <w:rPr>
          <w:rFonts w:ascii="黑体" w:eastAsia="黑体"/>
          <w:color w:val="auto"/>
          <w:sz w:val="32"/>
          <w:szCs w:val="32"/>
          <w:lang w:eastAsia="zh-CN"/>
        </w:rPr>
        <w:t>第四部分部门决算报表（见附表）</w:t>
      </w:r>
    </w:p>
    <w:p>
      <w:pPr>
        <w:spacing w:line="240" w:lineRule="auto"/>
        <w:ind w:firstLine="640" w:firstLineChars="200"/>
        <w:outlineLvl w:val="1"/>
        <w:rPr>
          <w:rFonts w:ascii="仿宋_GB2312" w:eastAsia="仿宋_GB2312"/>
          <w:color w:val="auto"/>
          <w:sz w:val="32"/>
          <w:szCs w:val="32"/>
          <w:lang w:eastAsia="zh-CN"/>
        </w:rPr>
      </w:pPr>
      <w:r>
        <w:rPr>
          <w:rFonts w:ascii="仿宋_GB2312" w:eastAsia="仿宋_GB2312"/>
          <w:color w:val="auto"/>
          <w:sz w:val="32"/>
          <w:szCs w:val="32"/>
          <w:lang w:eastAsia="zh-CN"/>
        </w:rPr>
        <w:t>一、《收入支出决算总表》</w:t>
      </w:r>
    </w:p>
    <w:p>
      <w:pPr>
        <w:spacing w:line="240" w:lineRule="auto"/>
        <w:ind w:firstLine="640" w:firstLineChars="200"/>
        <w:outlineLvl w:val="1"/>
        <w:rPr>
          <w:rFonts w:ascii="仿宋_GB2312" w:eastAsia="仿宋_GB2312"/>
          <w:color w:val="auto"/>
          <w:sz w:val="32"/>
          <w:szCs w:val="32"/>
          <w:lang w:eastAsia="zh-CN"/>
        </w:rPr>
      </w:pPr>
      <w:r>
        <w:rPr>
          <w:rFonts w:ascii="仿宋_GB2312" w:eastAsia="仿宋_GB2312"/>
          <w:color w:val="auto"/>
          <w:sz w:val="32"/>
          <w:szCs w:val="32"/>
          <w:lang w:eastAsia="zh-CN"/>
        </w:rPr>
        <w:t>二、《收入决算表》</w:t>
      </w:r>
    </w:p>
    <w:p>
      <w:pPr>
        <w:spacing w:line="240" w:lineRule="auto"/>
        <w:ind w:firstLine="640" w:firstLineChars="200"/>
        <w:outlineLvl w:val="1"/>
        <w:rPr>
          <w:rFonts w:ascii="仿宋_GB2312" w:eastAsia="仿宋_GB2312"/>
          <w:color w:val="auto"/>
          <w:sz w:val="32"/>
          <w:szCs w:val="32"/>
          <w:lang w:eastAsia="zh-CN"/>
        </w:rPr>
      </w:pPr>
      <w:r>
        <w:rPr>
          <w:rFonts w:ascii="仿宋_GB2312" w:eastAsia="仿宋_GB2312"/>
          <w:color w:val="auto"/>
          <w:sz w:val="32"/>
          <w:szCs w:val="32"/>
          <w:lang w:eastAsia="zh-CN"/>
        </w:rPr>
        <w:t>三、《支出决算表》</w:t>
      </w:r>
    </w:p>
    <w:p>
      <w:pPr>
        <w:spacing w:line="240" w:lineRule="auto"/>
        <w:ind w:firstLine="640" w:firstLineChars="200"/>
        <w:outlineLvl w:val="1"/>
        <w:rPr>
          <w:rFonts w:ascii="仿宋_GB2312" w:eastAsia="仿宋_GB2312"/>
          <w:color w:val="auto"/>
          <w:sz w:val="32"/>
          <w:szCs w:val="32"/>
          <w:lang w:eastAsia="zh-CN"/>
        </w:rPr>
      </w:pPr>
      <w:r>
        <w:rPr>
          <w:rFonts w:ascii="仿宋_GB2312" w:eastAsia="仿宋_GB2312"/>
          <w:color w:val="auto"/>
          <w:sz w:val="32"/>
          <w:szCs w:val="32"/>
          <w:lang w:eastAsia="zh-CN"/>
        </w:rPr>
        <w:t>四、《财政拨款收入支出决算总表》</w:t>
      </w:r>
    </w:p>
    <w:p>
      <w:pPr>
        <w:spacing w:line="240" w:lineRule="auto"/>
        <w:ind w:firstLine="640" w:firstLineChars="200"/>
        <w:outlineLvl w:val="1"/>
        <w:rPr>
          <w:rFonts w:ascii="仿宋_GB2312" w:eastAsia="仿宋_GB2312"/>
          <w:color w:val="auto"/>
          <w:sz w:val="32"/>
          <w:szCs w:val="32"/>
          <w:lang w:eastAsia="zh-CN"/>
        </w:rPr>
      </w:pPr>
      <w:r>
        <w:rPr>
          <w:rFonts w:ascii="仿宋_GB2312" w:eastAsia="仿宋_GB2312"/>
          <w:color w:val="auto"/>
          <w:sz w:val="32"/>
          <w:szCs w:val="32"/>
          <w:lang w:eastAsia="zh-CN"/>
        </w:rPr>
        <w:t>五、《一般公共预算财政拨款支出决算表》</w:t>
      </w:r>
    </w:p>
    <w:p>
      <w:pPr>
        <w:spacing w:line="240" w:lineRule="auto"/>
        <w:ind w:firstLine="640" w:firstLineChars="200"/>
        <w:outlineLvl w:val="1"/>
        <w:rPr>
          <w:rFonts w:ascii="仿宋_GB2312" w:eastAsia="仿宋_GB2312"/>
          <w:color w:val="auto"/>
          <w:sz w:val="32"/>
          <w:szCs w:val="32"/>
          <w:lang w:eastAsia="zh-CN"/>
        </w:rPr>
      </w:pPr>
      <w:r>
        <w:rPr>
          <w:rFonts w:ascii="仿宋_GB2312" w:eastAsia="仿宋_GB2312"/>
          <w:color w:val="auto"/>
          <w:sz w:val="32"/>
          <w:szCs w:val="32"/>
          <w:lang w:eastAsia="zh-CN"/>
        </w:rPr>
        <w:t>六、《一般公共预算财政拨款基本支出决算表》</w:t>
      </w:r>
    </w:p>
    <w:p>
      <w:pPr>
        <w:spacing w:line="240" w:lineRule="auto"/>
        <w:ind w:firstLine="640" w:firstLineChars="200"/>
        <w:outlineLvl w:val="1"/>
        <w:rPr>
          <w:rFonts w:ascii="仿宋_GB2312" w:eastAsia="仿宋_GB2312"/>
          <w:color w:val="auto"/>
          <w:sz w:val="32"/>
          <w:szCs w:val="32"/>
          <w:lang w:eastAsia="zh-CN"/>
        </w:rPr>
      </w:pPr>
      <w:r>
        <w:rPr>
          <w:rFonts w:ascii="仿宋_GB2312" w:eastAsia="仿宋_GB2312"/>
          <w:color w:val="auto"/>
          <w:sz w:val="32"/>
          <w:szCs w:val="32"/>
          <w:lang w:eastAsia="zh-CN"/>
        </w:rPr>
        <w:t>七、《政府性基金预算财政拨款收入支出决算表》</w:t>
      </w:r>
    </w:p>
    <w:p>
      <w:pPr>
        <w:spacing w:line="240" w:lineRule="auto"/>
        <w:ind w:firstLine="640" w:firstLineChars="200"/>
        <w:outlineLvl w:val="1"/>
        <w:rPr>
          <w:rFonts w:ascii="仿宋_GB2312" w:eastAsia="仿宋_GB2312"/>
          <w:color w:val="auto"/>
          <w:sz w:val="32"/>
          <w:szCs w:val="32"/>
          <w:lang w:eastAsia="zh-CN"/>
        </w:rPr>
      </w:pPr>
      <w:r>
        <w:rPr>
          <w:rFonts w:ascii="仿宋_GB2312" w:eastAsia="仿宋_GB2312"/>
          <w:color w:val="auto"/>
          <w:sz w:val="32"/>
          <w:szCs w:val="32"/>
          <w:lang w:eastAsia="zh-CN"/>
        </w:rPr>
        <w:t>八、《国有资本经营预算财政拨款收入支出决算表》</w:t>
      </w:r>
    </w:p>
    <w:p>
      <w:pPr>
        <w:spacing w:line="240" w:lineRule="auto"/>
        <w:ind w:firstLine="640" w:firstLineChars="200"/>
        <w:outlineLvl w:val="1"/>
        <w:rPr>
          <w:rFonts w:hint="eastAsia" w:ascii="仿宋_GB2312" w:eastAsia="仿宋_GB2312"/>
          <w:color w:val="auto"/>
          <w:sz w:val="32"/>
          <w:szCs w:val="32"/>
          <w:lang w:eastAsia="zh-CN"/>
        </w:rPr>
      </w:pPr>
      <w:r>
        <w:rPr>
          <w:rFonts w:ascii="仿宋_GB2312" w:eastAsia="仿宋_GB2312"/>
          <w:color w:val="auto"/>
          <w:sz w:val="32"/>
          <w:szCs w:val="32"/>
          <w:lang w:eastAsia="zh-CN"/>
        </w:rPr>
        <w:t>九、《财政拨款“三公”经费支出决算表》</w:t>
      </w:r>
    </w:p>
    <w:p>
      <w:pPr>
        <w:spacing w:line="240" w:lineRule="auto"/>
        <w:ind w:firstLine="640" w:firstLineChars="200"/>
        <w:outlineLvl w:val="1"/>
        <w:rPr>
          <w:rFonts w:hint="eastAsia" w:ascii="仿宋_GB2312" w:eastAsia="仿宋_GB2312"/>
          <w:color w:val="auto"/>
          <w:sz w:val="32"/>
          <w:szCs w:val="32"/>
          <w:lang w:eastAsia="zh-CN"/>
        </w:rPr>
      </w:pPr>
    </w:p>
    <w:p>
      <w:pPr>
        <w:spacing w:line="240" w:lineRule="auto"/>
        <w:ind w:firstLine="640" w:firstLineChars="200"/>
        <w:outlineLvl w:val="1"/>
        <w:rPr>
          <w:rFonts w:hint="eastAsia" w:ascii="仿宋_GB2312" w:eastAsia="仿宋_GB2312"/>
          <w:color w:val="auto"/>
          <w:sz w:val="32"/>
          <w:szCs w:val="32"/>
          <w:lang w:eastAsia="zh-CN"/>
        </w:rPr>
      </w:pPr>
    </w:p>
    <w:p>
      <w:pPr>
        <w:spacing w:line="240" w:lineRule="auto"/>
        <w:ind w:firstLine="640" w:firstLineChars="200"/>
        <w:outlineLvl w:val="1"/>
        <w:rPr>
          <w:rFonts w:hint="eastAsia" w:ascii="仿宋_GB2312" w:eastAsia="仿宋_GB2312"/>
          <w:color w:val="auto"/>
          <w:sz w:val="32"/>
          <w:szCs w:val="32"/>
          <w:lang w:eastAsia="zh-CN"/>
        </w:rPr>
      </w:pPr>
    </w:p>
    <w:p>
      <w:pPr>
        <w:spacing w:line="240" w:lineRule="auto"/>
        <w:ind w:firstLine="640" w:firstLineChars="200"/>
        <w:outlineLvl w:val="1"/>
        <w:rPr>
          <w:rFonts w:hint="eastAsia" w:ascii="仿宋_GB2312" w:eastAsia="仿宋_GB2312"/>
          <w:color w:val="auto"/>
          <w:sz w:val="32"/>
          <w:szCs w:val="32"/>
          <w:lang w:eastAsia="zh-CN"/>
        </w:rPr>
      </w:pPr>
    </w:p>
    <w:p>
      <w:pPr>
        <w:spacing w:line="240" w:lineRule="auto"/>
        <w:ind w:firstLine="640" w:firstLineChars="200"/>
        <w:outlineLvl w:val="1"/>
        <w:rPr>
          <w:rFonts w:hint="eastAsia" w:ascii="仿宋_GB2312" w:eastAsia="仿宋_GB2312"/>
          <w:color w:val="auto"/>
          <w:sz w:val="32"/>
          <w:szCs w:val="32"/>
          <w:lang w:eastAsia="zh-CN"/>
        </w:rPr>
      </w:pPr>
    </w:p>
    <w:p>
      <w:pPr>
        <w:spacing w:line="240" w:lineRule="auto"/>
        <w:ind w:firstLine="640" w:firstLineChars="200"/>
        <w:outlineLvl w:val="1"/>
        <w:rPr>
          <w:rFonts w:hint="eastAsia" w:ascii="仿宋_GB2312" w:eastAsia="仿宋_GB2312"/>
          <w:color w:val="auto"/>
          <w:sz w:val="32"/>
          <w:szCs w:val="32"/>
          <w:lang w:eastAsia="zh-CN"/>
        </w:rPr>
      </w:pPr>
    </w:p>
    <w:p>
      <w:pPr>
        <w:spacing w:line="240" w:lineRule="auto"/>
        <w:ind w:firstLine="640" w:firstLineChars="200"/>
        <w:outlineLvl w:val="1"/>
        <w:rPr>
          <w:rFonts w:hint="eastAsia" w:ascii="仿宋_GB2312" w:eastAsia="仿宋_GB2312"/>
          <w:color w:val="auto"/>
          <w:sz w:val="32"/>
          <w:szCs w:val="32"/>
          <w:lang w:eastAsia="zh-CN"/>
        </w:rPr>
      </w:pPr>
    </w:p>
    <w:p>
      <w:pPr>
        <w:spacing w:line="240" w:lineRule="auto"/>
        <w:ind w:firstLine="640" w:firstLineChars="200"/>
        <w:outlineLvl w:val="1"/>
        <w:rPr>
          <w:rFonts w:hint="eastAsia" w:ascii="仿宋_GB2312" w:eastAsia="仿宋_GB2312"/>
          <w:color w:val="auto"/>
          <w:sz w:val="32"/>
          <w:szCs w:val="32"/>
          <w:lang w:eastAsia="zh-CN"/>
        </w:rPr>
      </w:pPr>
    </w:p>
    <w:p>
      <w:pPr>
        <w:spacing w:line="240" w:lineRule="auto"/>
        <w:ind w:firstLine="640" w:firstLineChars="200"/>
        <w:outlineLvl w:val="1"/>
        <w:rPr>
          <w:rFonts w:hint="eastAsia" w:ascii="仿宋_GB2312" w:eastAsia="仿宋_GB2312"/>
          <w:color w:val="auto"/>
          <w:sz w:val="32"/>
          <w:szCs w:val="32"/>
          <w:lang w:eastAsia="zh-CN"/>
        </w:rPr>
      </w:pPr>
    </w:p>
    <w:p>
      <w:pPr>
        <w:spacing w:line="240" w:lineRule="auto"/>
        <w:ind w:firstLine="640" w:firstLineChars="200"/>
        <w:outlineLvl w:val="1"/>
        <w:rPr>
          <w:rFonts w:hint="eastAsia" w:ascii="仿宋_GB2312" w:eastAsia="仿宋_GB2312"/>
          <w:color w:val="auto"/>
          <w:sz w:val="32"/>
          <w:szCs w:val="32"/>
          <w:lang w:eastAsia="zh-CN"/>
        </w:rPr>
      </w:pPr>
    </w:p>
    <w:p>
      <w:pPr>
        <w:spacing w:line="240" w:lineRule="auto"/>
        <w:ind w:firstLine="640" w:firstLineChars="200"/>
        <w:outlineLvl w:val="1"/>
        <w:rPr>
          <w:rFonts w:hint="eastAsia" w:ascii="仿宋_GB2312" w:eastAsia="仿宋_GB2312"/>
          <w:color w:val="auto"/>
          <w:sz w:val="32"/>
          <w:szCs w:val="32"/>
          <w:lang w:eastAsia="zh-CN"/>
        </w:rPr>
      </w:pPr>
    </w:p>
    <w:p>
      <w:pPr>
        <w:spacing w:line="240" w:lineRule="auto"/>
        <w:ind w:firstLine="440" w:firstLineChars="200"/>
        <w:outlineLvl w:val="1"/>
        <w:rPr>
          <w:color w:val="auto"/>
        </w:rPr>
      </w:pPr>
      <w:r>
        <w:rPr>
          <w:color w:val="auto"/>
        </w:rPr>
        <w:drawing>
          <wp:inline distT="0" distB="0" distL="114300" distR="114300">
            <wp:extent cx="5480685" cy="6254750"/>
            <wp:effectExtent l="0" t="0" r="571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480685" cy="6254750"/>
                    </a:xfrm>
                    <a:prstGeom prst="rect">
                      <a:avLst/>
                    </a:prstGeom>
                    <a:noFill/>
                    <a:ln>
                      <a:noFill/>
                    </a:ln>
                  </pic:spPr>
                </pic:pic>
              </a:graphicData>
            </a:graphic>
          </wp:inline>
        </w:drawing>
      </w: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r>
        <w:rPr>
          <w:color w:val="auto"/>
        </w:rPr>
        <w:drawing>
          <wp:anchor distT="0" distB="0" distL="114300" distR="114300" simplePos="0" relativeHeight="251659264" behindDoc="0" locked="0" layoutInCell="1" allowOverlap="1">
            <wp:simplePos x="0" y="0"/>
            <wp:positionH relativeFrom="column">
              <wp:posOffset>279400</wp:posOffset>
            </wp:positionH>
            <wp:positionV relativeFrom="paragraph">
              <wp:posOffset>0</wp:posOffset>
            </wp:positionV>
            <wp:extent cx="5484495" cy="7581265"/>
            <wp:effectExtent l="0" t="0" r="1905" b="0"/>
            <wp:wrapTopAndBottom/>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5484495" cy="7581265"/>
                    </a:xfrm>
                    <a:prstGeom prst="rect">
                      <a:avLst/>
                    </a:prstGeom>
                    <a:noFill/>
                    <a:ln>
                      <a:noFill/>
                    </a:ln>
                  </pic:spPr>
                </pic:pic>
              </a:graphicData>
            </a:graphic>
          </wp:anchor>
        </w:drawing>
      </w:r>
    </w:p>
    <w:p>
      <w:pPr>
        <w:spacing w:line="240" w:lineRule="auto"/>
        <w:ind w:firstLine="440" w:firstLineChars="200"/>
        <w:outlineLvl w:val="1"/>
        <w:rPr>
          <w:color w:val="auto"/>
        </w:rPr>
      </w:pPr>
    </w:p>
    <w:p>
      <w:pPr>
        <w:spacing w:line="240" w:lineRule="auto"/>
        <w:ind w:firstLine="440" w:firstLineChars="200"/>
        <w:outlineLvl w:val="1"/>
        <w:rPr>
          <w:color w:val="auto"/>
        </w:rPr>
      </w:pPr>
      <w:r>
        <w:rPr>
          <w:color w:val="auto"/>
        </w:rPr>
        <w:drawing>
          <wp:inline distT="0" distB="0" distL="114300" distR="114300">
            <wp:extent cx="5483860" cy="8024495"/>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8"/>
                    <a:stretch>
                      <a:fillRect/>
                    </a:stretch>
                  </pic:blipFill>
                  <pic:spPr>
                    <a:xfrm>
                      <a:off x="0" y="0"/>
                      <a:ext cx="5483860" cy="8024495"/>
                    </a:xfrm>
                    <a:prstGeom prst="rect">
                      <a:avLst/>
                    </a:prstGeom>
                    <a:noFill/>
                    <a:ln>
                      <a:noFill/>
                    </a:ln>
                  </pic:spPr>
                </pic:pic>
              </a:graphicData>
            </a:graphic>
          </wp:inline>
        </w:drawing>
      </w:r>
    </w:p>
    <w:p>
      <w:pPr>
        <w:spacing w:line="240" w:lineRule="auto"/>
        <w:ind w:firstLine="440" w:firstLineChars="200"/>
        <w:outlineLvl w:val="1"/>
        <w:rPr>
          <w:color w:val="auto"/>
        </w:rPr>
      </w:pPr>
      <w:r>
        <w:rPr>
          <w:color w:val="auto"/>
        </w:rPr>
        <w:drawing>
          <wp:inline distT="0" distB="0" distL="114300" distR="114300">
            <wp:extent cx="5485130" cy="7981315"/>
            <wp:effectExtent l="0" t="0" r="127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9"/>
                    <a:stretch>
                      <a:fillRect/>
                    </a:stretch>
                  </pic:blipFill>
                  <pic:spPr>
                    <a:xfrm>
                      <a:off x="0" y="0"/>
                      <a:ext cx="5485130" cy="7981315"/>
                    </a:xfrm>
                    <a:prstGeom prst="rect">
                      <a:avLst/>
                    </a:prstGeom>
                    <a:noFill/>
                    <a:ln>
                      <a:noFill/>
                    </a:ln>
                  </pic:spPr>
                </pic:pic>
              </a:graphicData>
            </a:graphic>
          </wp:inline>
        </w:drawing>
      </w:r>
    </w:p>
    <w:p>
      <w:pPr>
        <w:spacing w:line="240" w:lineRule="auto"/>
        <w:ind w:firstLine="440" w:firstLineChars="200"/>
        <w:outlineLvl w:val="1"/>
        <w:rPr>
          <w:color w:val="auto"/>
        </w:rPr>
      </w:pPr>
      <w:r>
        <w:rPr>
          <w:color w:val="auto"/>
        </w:rPr>
        <w:drawing>
          <wp:inline distT="0" distB="0" distL="114300" distR="114300">
            <wp:extent cx="5481320" cy="6508115"/>
            <wp:effectExtent l="0" t="0" r="508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0"/>
                    <a:stretch>
                      <a:fillRect/>
                    </a:stretch>
                  </pic:blipFill>
                  <pic:spPr>
                    <a:xfrm>
                      <a:off x="0" y="0"/>
                      <a:ext cx="5481320" cy="6508115"/>
                    </a:xfrm>
                    <a:prstGeom prst="rect">
                      <a:avLst/>
                    </a:prstGeom>
                    <a:noFill/>
                    <a:ln>
                      <a:noFill/>
                    </a:ln>
                  </pic:spPr>
                </pic:pic>
              </a:graphicData>
            </a:graphic>
          </wp:inline>
        </w:drawing>
      </w: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r>
        <w:rPr>
          <w:color w:val="auto"/>
        </w:rPr>
        <w:drawing>
          <wp:inline distT="0" distB="0" distL="114300" distR="114300">
            <wp:extent cx="5485765" cy="7515225"/>
            <wp:effectExtent l="0" t="0" r="635" b="133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1"/>
                    <a:stretch>
                      <a:fillRect/>
                    </a:stretch>
                  </pic:blipFill>
                  <pic:spPr>
                    <a:xfrm>
                      <a:off x="0" y="0"/>
                      <a:ext cx="5485765" cy="7515225"/>
                    </a:xfrm>
                    <a:prstGeom prst="rect">
                      <a:avLst/>
                    </a:prstGeom>
                    <a:noFill/>
                    <a:ln>
                      <a:noFill/>
                    </a:ln>
                  </pic:spPr>
                </pic:pic>
              </a:graphicData>
            </a:graphic>
          </wp:inline>
        </w:drawing>
      </w: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r>
        <w:drawing>
          <wp:inline distT="0" distB="0" distL="114300" distR="114300">
            <wp:extent cx="5481320" cy="1630045"/>
            <wp:effectExtent l="0" t="0" r="5080" b="63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5481320" cy="1630045"/>
                    </a:xfrm>
                    <a:prstGeom prst="rect">
                      <a:avLst/>
                    </a:prstGeom>
                    <a:noFill/>
                    <a:ln>
                      <a:noFill/>
                    </a:ln>
                  </pic:spPr>
                </pic:pic>
              </a:graphicData>
            </a:graphic>
          </wp:inline>
        </w:drawing>
      </w: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r>
        <w:drawing>
          <wp:inline distT="0" distB="0" distL="114300" distR="114300">
            <wp:extent cx="5485130" cy="1653540"/>
            <wp:effectExtent l="0" t="0" r="1270" b="762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3"/>
                    <a:stretch>
                      <a:fillRect/>
                    </a:stretch>
                  </pic:blipFill>
                  <pic:spPr>
                    <a:xfrm>
                      <a:off x="0" y="0"/>
                      <a:ext cx="5485130" cy="1653540"/>
                    </a:xfrm>
                    <a:prstGeom prst="rect">
                      <a:avLst/>
                    </a:prstGeom>
                    <a:noFill/>
                    <a:ln>
                      <a:noFill/>
                    </a:ln>
                  </pic:spPr>
                </pic:pic>
              </a:graphicData>
            </a:graphic>
          </wp:inline>
        </w:drawing>
      </w: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rPr>
      </w:pPr>
    </w:p>
    <w:p>
      <w:pPr>
        <w:spacing w:line="240" w:lineRule="auto"/>
        <w:ind w:firstLine="440" w:firstLineChars="200"/>
        <w:outlineLvl w:val="1"/>
        <w:rPr>
          <w:color w:val="auto"/>
          <w:lang w:eastAsia="zh-CN"/>
        </w:rPr>
      </w:pPr>
      <w:r>
        <w:rPr>
          <w:color w:val="auto"/>
        </w:rPr>
        <w:drawing>
          <wp:inline distT="0" distB="0" distL="114300" distR="114300">
            <wp:extent cx="5481955" cy="2341880"/>
            <wp:effectExtent l="0" t="0" r="444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4"/>
                    <a:stretch>
                      <a:fillRect/>
                    </a:stretch>
                  </pic:blipFill>
                  <pic:spPr>
                    <a:xfrm>
                      <a:off x="0" y="0"/>
                      <a:ext cx="5481955" cy="2341880"/>
                    </a:xfrm>
                    <a:prstGeom prst="rect">
                      <a:avLst/>
                    </a:prstGeom>
                    <a:noFill/>
                    <a:ln>
                      <a:noFill/>
                    </a:ln>
                  </pic:spPr>
                </pic:pic>
              </a:graphicData>
            </a:graphic>
          </wp:inline>
        </w:drawing>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83445A"/>
    <w:multiLevelType w:val="multilevel"/>
    <w:tmpl w:val="5983445A"/>
    <w:lvl w:ilvl="0" w:tentative="0">
      <w:start w:val="1"/>
      <w:numFmt w:val="decimal"/>
      <w:suff w:val="nothing"/>
      <w:lvlText w:val="%1."/>
      <w:lvlJc w:val="left"/>
      <w:pPr>
        <w:ind w:firstLine="640" w:firstLineChars="200"/>
      </w:pPr>
    </w:lvl>
    <w:lvl w:ilvl="1" w:tentative="0">
      <w:start w:val="1"/>
      <w:numFmt w:val="decimal"/>
      <w:suff w:val="nothing"/>
      <w:lvlText w:val="%1.%2."/>
      <w:lvlJc w:val="left"/>
      <w:pPr>
        <w:ind w:firstLine="640" w:firstLineChars="200"/>
      </w:pPr>
    </w:lvl>
    <w:lvl w:ilvl="2" w:tentative="0">
      <w:start w:val="1"/>
      <w:numFmt w:val="decimal"/>
      <w:suff w:val="nothing"/>
      <w:lvlText w:val="%1.%2.%3."/>
      <w:lvlJc w:val="left"/>
      <w:pPr>
        <w:ind w:left="0" w:firstLine="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E86ADF"/>
    <w:rsid w:val="000D669C"/>
    <w:rsid w:val="001B0A3B"/>
    <w:rsid w:val="00232BDE"/>
    <w:rsid w:val="002E7EE6"/>
    <w:rsid w:val="003B1529"/>
    <w:rsid w:val="00426684"/>
    <w:rsid w:val="004F663D"/>
    <w:rsid w:val="0062438E"/>
    <w:rsid w:val="006F3FE5"/>
    <w:rsid w:val="00704B91"/>
    <w:rsid w:val="00744F39"/>
    <w:rsid w:val="00753D42"/>
    <w:rsid w:val="007712F0"/>
    <w:rsid w:val="008141FE"/>
    <w:rsid w:val="00837EBF"/>
    <w:rsid w:val="008E1A15"/>
    <w:rsid w:val="00974701"/>
    <w:rsid w:val="00A96D1E"/>
    <w:rsid w:val="00B13DDA"/>
    <w:rsid w:val="00C21EC5"/>
    <w:rsid w:val="00E0496D"/>
    <w:rsid w:val="00E6660F"/>
    <w:rsid w:val="00E86ADF"/>
    <w:rsid w:val="00E90AD1"/>
    <w:rsid w:val="0C647810"/>
    <w:rsid w:val="3D2E4DD3"/>
    <w:rsid w:val="661F6DCF"/>
    <w:rsid w:val="668717E5"/>
    <w:rsid w:val="7BC80AD7"/>
    <w:rsid w:val="7C1F4E32"/>
    <w:rsid w:val="7C361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link w:val="24"/>
    <w:semiHidden/>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页眉 Char"/>
    <w:basedOn w:val="14"/>
    <w:link w:val="9"/>
    <w:qFormat/>
    <w:uiPriority w:val="99"/>
  </w:style>
  <w:style w:type="character" w:customStyle="1" w:styleId="18">
    <w:name w:val="标题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标题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标题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标题 4 Char"/>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副标题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标题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4">
    <w:name w:val="页脚 Char"/>
    <w:basedOn w:val="14"/>
    <w:link w:val="8"/>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9.emf"/><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emf"/><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04B76-DAC8-4E13-B936-C9622EB3006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1056</Words>
  <Characters>6021</Characters>
  <Lines>50</Lines>
  <Paragraphs>14</Paragraphs>
  <TotalTime>0</TotalTime>
  <ScaleCrop>false</ScaleCrop>
  <LinksUpToDate>false</LinksUpToDate>
  <CharactersWithSpaces>7063</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2025-08-15T04:44:00Z</dcterms:created>
  <dc:creator>Administrator</dc:creator>
  <cp:lastModifiedBy>lenovo</cp:lastModifiedBy>
  <dcterms:modified xsi:type="dcterms:W3CDTF">2025-09-02T03:27:48Z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6851569656E14D4BB4E8000921860E87</vt:lpwstr>
  </property>
</Properties>
</file>