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hint="default" w:ascii="Times New Roman" w:hAnsi="Times New Roman" w:eastAsia="华文中宋" w:cs="Times New Roman"/>
          <w:b/>
          <w:kern w:val="0"/>
          <w:sz w:val="52"/>
          <w:szCs w:val="52"/>
        </w:rPr>
      </w:pPr>
    </w:p>
    <w:p>
      <w:pPr>
        <w:spacing w:line="540" w:lineRule="exact"/>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方正小标宋_GBK" w:cs="Times New Roman"/>
          <w:kern w:val="0"/>
          <w:sz w:val="48"/>
          <w:szCs w:val="48"/>
        </w:rPr>
      </w:pPr>
      <w:r>
        <w:rPr>
          <w:rFonts w:hint="default" w:ascii="Times New Roman" w:hAnsi="Times New Roman" w:eastAsia="方正小标宋_GBK" w:cs="Times New Roman"/>
          <w:kern w:val="0"/>
          <w:sz w:val="48"/>
          <w:szCs w:val="48"/>
        </w:rPr>
        <w:t>巴财行【2023】58号2024年宗教教职人员生活补贴资金项目支出绩效评价</w:t>
      </w:r>
    </w:p>
    <w:p>
      <w:pPr>
        <w:spacing w:line="540" w:lineRule="exact"/>
        <w:jc w:val="center"/>
        <w:rPr>
          <w:rFonts w:hint="default" w:ascii="Times New Roman" w:hAnsi="Times New Roman" w:eastAsia="方正小标宋_GBK" w:cs="Times New Roman"/>
          <w:kern w:val="0"/>
          <w:sz w:val="48"/>
          <w:szCs w:val="48"/>
        </w:rPr>
      </w:pPr>
      <w:r>
        <w:rPr>
          <w:rFonts w:hint="default" w:ascii="Times New Roman" w:hAnsi="Times New Roman" w:eastAsia="方正小标宋_GBK" w:cs="Times New Roman"/>
          <w:kern w:val="0"/>
          <w:sz w:val="48"/>
          <w:szCs w:val="48"/>
        </w:rPr>
        <w:t>报告</w:t>
      </w:r>
    </w:p>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（202</w:t>
      </w:r>
      <w:r>
        <w:rPr>
          <w:rFonts w:hint="default" w:ascii="Times New Roman" w:hAnsi="Times New Roman"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年度）</w:t>
      </w:r>
    </w:p>
    <w:p>
      <w:pPr>
        <w:spacing w:line="540" w:lineRule="exact"/>
        <w:jc w:val="center"/>
        <w:rPr>
          <w:rFonts w:hint="default" w:ascii="Times New Roman" w:hAnsi="Times New Roman" w:eastAsia="仿宋_GB2312" w:cs="Times New Roman"/>
          <w:kern w:val="0"/>
          <w:sz w:val="30"/>
          <w:szCs w:val="30"/>
        </w:rPr>
      </w:pPr>
    </w:p>
    <w:p>
      <w:pPr>
        <w:spacing w:line="540" w:lineRule="exact"/>
        <w:jc w:val="center"/>
        <w:rPr>
          <w:rFonts w:hint="default" w:ascii="Times New Roman" w:hAnsi="Times New Roman" w:eastAsia="仿宋_GB2312" w:cs="Times New Roman"/>
          <w:kern w:val="0"/>
          <w:sz w:val="30"/>
          <w:szCs w:val="30"/>
        </w:rPr>
      </w:pPr>
    </w:p>
    <w:p>
      <w:pPr>
        <w:spacing w:line="540" w:lineRule="exact"/>
        <w:jc w:val="both"/>
        <w:rPr>
          <w:rFonts w:hint="default" w:ascii="Times New Roman" w:hAnsi="Times New Roman" w:eastAsia="仿宋_GB2312" w:cs="Times New Roman"/>
          <w:kern w:val="0"/>
          <w:sz w:val="30"/>
          <w:szCs w:val="30"/>
        </w:rPr>
      </w:pPr>
    </w:p>
    <w:p>
      <w:pPr>
        <w:spacing w:line="540" w:lineRule="exact"/>
        <w:rPr>
          <w:rFonts w:hint="default" w:ascii="Times New Roman" w:hAnsi="Times New Roman" w:eastAsia="仿宋_GB2312" w:cs="Times New Roman"/>
          <w:kern w:val="0"/>
          <w:sz w:val="30"/>
          <w:szCs w:val="30"/>
        </w:rPr>
      </w:pPr>
    </w:p>
    <w:p>
      <w:pPr>
        <w:spacing w:line="700" w:lineRule="exact"/>
        <w:ind w:firstLine="1440" w:firstLineChars="4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项目名称：巴财行【2023】58号2024年宗教教职人员生活补贴资金</w:t>
      </w:r>
    </w:p>
    <w:p>
      <w:pPr>
        <w:spacing w:line="700" w:lineRule="exact"/>
        <w:ind w:firstLine="1440" w:firstLineChars="400"/>
        <w:jc w:val="left"/>
        <w:rPr>
          <w:rFonts w:hint="eastAsia" w:eastAsia="仿宋_GB2312" w:cs="Times New Roman"/>
          <w:kern w:val="0"/>
          <w:sz w:val="36"/>
          <w:szCs w:val="36"/>
          <w:lang w:eastAsia="zh-CN"/>
        </w:rPr>
      </w:pPr>
      <w:r>
        <w:rPr>
          <w:rFonts w:hint="default" w:ascii="Times New Roman" w:hAnsi="Times New Roman" w:eastAsia="仿宋_GB2312" w:cs="Times New Roman"/>
          <w:kern w:val="0"/>
          <w:sz w:val="36"/>
          <w:szCs w:val="36"/>
        </w:rPr>
        <w:t>实施单位（公章）：</w:t>
      </w:r>
      <w:bookmarkStart w:id="0" w:name="OLE_LINK31"/>
      <w:r>
        <w:rPr>
          <w:rFonts w:hint="eastAsia" w:eastAsia="仿宋_GB2312" w:cs="Times New Roman"/>
          <w:kern w:val="0"/>
          <w:sz w:val="36"/>
          <w:szCs w:val="36"/>
          <w:lang w:eastAsia="zh-CN"/>
        </w:rPr>
        <w:t>中共库尔勒市委员会统一战线工作部</w:t>
      </w:r>
    </w:p>
    <w:bookmarkEnd w:id="0"/>
    <w:p>
      <w:pPr>
        <w:spacing w:line="700" w:lineRule="exact"/>
        <w:ind w:firstLine="1440" w:firstLineChars="400"/>
        <w:jc w:val="left"/>
        <w:rPr>
          <w:rFonts w:hint="eastAsia" w:eastAsia="仿宋_GB2312" w:cs="Times New Roman"/>
          <w:kern w:val="0"/>
          <w:sz w:val="36"/>
          <w:szCs w:val="36"/>
          <w:lang w:eastAsia="zh-CN"/>
        </w:rPr>
      </w:pPr>
      <w:r>
        <w:rPr>
          <w:rFonts w:hint="default" w:ascii="Times New Roman" w:hAnsi="Times New Roman" w:eastAsia="仿宋_GB2312" w:cs="Times New Roman"/>
          <w:kern w:val="0"/>
          <w:sz w:val="36"/>
          <w:szCs w:val="36"/>
        </w:rPr>
        <w:t>主管部门（公章）：</w:t>
      </w:r>
      <w:r>
        <w:rPr>
          <w:rFonts w:hint="eastAsia" w:eastAsia="仿宋_GB2312" w:cs="Times New Roman"/>
          <w:kern w:val="0"/>
          <w:sz w:val="36"/>
          <w:szCs w:val="36"/>
          <w:lang w:eastAsia="zh-CN"/>
        </w:rPr>
        <w:t>中共库尔勒市委员会统一战线工作部</w:t>
      </w:r>
    </w:p>
    <w:p>
      <w:pPr>
        <w:spacing w:line="700" w:lineRule="exact"/>
        <w:ind w:firstLine="1440" w:firstLineChars="400"/>
        <w:jc w:val="left"/>
        <w:rPr>
          <w:rFonts w:hint="default" w:ascii="Times New Roman" w:hAnsi="Times New Roman" w:eastAsia="仿宋_GB2312" w:cs="Times New Roman"/>
          <w:kern w:val="0"/>
          <w:sz w:val="36"/>
          <w:szCs w:val="36"/>
        </w:rPr>
      </w:pPr>
    </w:p>
    <w:p>
      <w:pPr>
        <w:spacing w:line="700" w:lineRule="exact"/>
        <w:ind w:firstLine="1440" w:firstLineChars="400"/>
        <w:jc w:val="left"/>
        <w:rPr>
          <w:rFonts w:hint="eastAsia" w:eastAsia="仿宋_GB2312" w:cs="Times New Roman"/>
          <w:kern w:val="0"/>
          <w:sz w:val="36"/>
          <w:szCs w:val="36"/>
          <w:lang w:eastAsia="zh-CN"/>
        </w:rPr>
      </w:pPr>
      <w:r>
        <w:rPr>
          <w:rFonts w:hint="default" w:ascii="Times New Roman" w:hAnsi="Times New Roman" w:eastAsia="仿宋_GB2312" w:cs="Times New Roman"/>
          <w:kern w:val="0"/>
          <w:sz w:val="36"/>
          <w:szCs w:val="36"/>
        </w:rPr>
        <w:t>项目负责人（签章）：</w:t>
      </w:r>
      <w:r>
        <w:rPr>
          <w:rFonts w:hint="eastAsia" w:eastAsia="仿宋_GB2312" w:cs="Times New Roman"/>
          <w:kern w:val="0"/>
          <w:sz w:val="36"/>
          <w:szCs w:val="36"/>
          <w:lang w:eastAsia="zh-CN"/>
        </w:rPr>
        <w:t>王建斌</w:t>
      </w:r>
    </w:p>
    <w:p>
      <w:pPr>
        <w:spacing w:line="700" w:lineRule="exact"/>
        <w:ind w:firstLine="1440" w:firstLineChars="4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填报时间：</w:t>
      </w:r>
      <w:r>
        <w:rPr>
          <w:rFonts w:hint="eastAsia" w:eastAsia="仿宋_GB2312" w:cs="Times New Roman"/>
          <w:kern w:val="0"/>
          <w:sz w:val="36"/>
          <w:szCs w:val="36"/>
          <w:lang w:val="en-US" w:eastAsia="zh-CN"/>
        </w:rPr>
        <w:t>2025</w:t>
      </w:r>
      <w:r>
        <w:rPr>
          <w:rFonts w:hint="default" w:ascii="Times New Roman" w:hAnsi="Times New Roman" w:eastAsia="仿宋_GB2312" w:cs="Times New Roman"/>
          <w:kern w:val="0"/>
          <w:sz w:val="36"/>
          <w:szCs w:val="36"/>
        </w:rPr>
        <w:t>年</w:t>
      </w:r>
      <w:r>
        <w:rPr>
          <w:rFonts w:hint="eastAsia" w:eastAsia="仿宋_GB2312" w:cs="Times New Roman"/>
          <w:kern w:val="0"/>
          <w:sz w:val="36"/>
          <w:szCs w:val="36"/>
          <w:lang w:val="en-US" w:eastAsia="zh-CN"/>
        </w:rPr>
        <w:t>5</w:t>
      </w:r>
      <w:r>
        <w:rPr>
          <w:rFonts w:hint="default" w:ascii="Times New Roman" w:hAnsi="Times New Roman" w:eastAsia="仿宋_GB2312" w:cs="Times New Roman"/>
          <w:kern w:val="0"/>
          <w:sz w:val="36"/>
          <w:szCs w:val="36"/>
        </w:rPr>
        <w:t>月</w:t>
      </w:r>
      <w:r>
        <w:rPr>
          <w:rFonts w:hint="eastAsia" w:eastAsia="仿宋_GB2312" w:cs="Times New Roman"/>
          <w:kern w:val="0"/>
          <w:sz w:val="36"/>
          <w:szCs w:val="36"/>
          <w:lang w:val="en-US" w:eastAsia="zh-CN"/>
        </w:rPr>
        <w:t>20</w:t>
      </w:r>
      <w:r>
        <w:rPr>
          <w:rFonts w:hint="default" w:ascii="Times New Roman" w:hAnsi="Times New Roman" w:eastAsia="仿宋_GB2312" w:cs="Times New Roman"/>
          <w:kern w:val="0"/>
          <w:sz w:val="36"/>
          <w:szCs w:val="36"/>
        </w:rPr>
        <w:t>日</w:t>
      </w:r>
    </w:p>
    <w:p>
      <w:pPr>
        <w:spacing w:line="540" w:lineRule="exact"/>
        <w:jc w:val="center"/>
        <w:rPr>
          <w:rFonts w:hint="default" w:ascii="Times New Roman" w:hAnsi="Times New Roman" w:eastAsia="仿宋_GB2312" w:cs="Times New Roman"/>
          <w:kern w:val="0"/>
          <w:sz w:val="30"/>
          <w:szCs w:val="30"/>
        </w:rPr>
      </w:pPr>
    </w:p>
    <w:p>
      <w:pPr>
        <w:spacing w:line="560" w:lineRule="exact"/>
        <w:rPr>
          <w:rFonts w:hint="default" w:ascii="Times New Roman" w:hAnsi="Times New Roman" w:eastAsia="黑体" w:cs="Times New Roman"/>
          <w:bCs/>
          <w:sz w:val="32"/>
          <w:szCs w:val="32"/>
        </w:rPr>
        <w:sectPr>
          <w:pgSz w:w="11906" w:h="16838"/>
          <w:pgMar w:top="1440" w:right="1558" w:bottom="1440" w:left="1800" w:header="851" w:footer="992" w:gutter="0"/>
          <w:cols w:space="425" w:num="1"/>
          <w:docGrid w:type="lines" w:linePitch="312" w:charSpace="0"/>
        </w:sectPr>
      </w:pPr>
    </w:p>
    <w:p>
      <w:pPr>
        <w:spacing w:line="560" w:lineRule="exact"/>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一、基本情况</w:t>
      </w:r>
    </w:p>
    <w:p>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（一）项目概况</w:t>
      </w:r>
    </w:p>
    <w:p>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项目背景</w:t>
      </w:r>
    </w:p>
    <w:p>
      <w:pPr>
        <w:keepNext w:val="0"/>
        <w:keepLines w:val="0"/>
        <w:widowControl/>
        <w:numPr>
          <w:ilvl w:val="0"/>
          <w:numId w:val="0"/>
        </w:numPr>
        <w:suppressLineNumbers w:val="0"/>
        <w:spacing w:before="120" w:beforeAutospacing="0" w:after="0" w:afterAutospacing="1"/>
        <w:ind w:firstLine="624" w:firstLineChars="200"/>
        <w:rPr>
          <w:rStyle w:val="17"/>
          <w:rFonts w:hint="default" w:ascii="Times New Roman" w:hAnsi="Times New Roman" w:eastAsia="黑体" w:cs="Times New Roman"/>
          <w:b w:val="0"/>
          <w:bCs/>
          <w:spacing w:val="-4"/>
          <w:sz w:val="32"/>
          <w:szCs w:val="32"/>
          <w:highlight w:val="yellow"/>
          <w:lang w:eastAsia="zh-CN"/>
        </w:rPr>
      </w:pPr>
      <w:r>
        <w:rPr>
          <w:rStyle w:val="17"/>
          <w:rFonts w:hint="eastAsia" w:ascii="方正仿宋_GBK" w:hAnsi="方正仿宋_GBK" w:eastAsia="方正仿宋_GBK" w:cs="方正仿宋_GBK"/>
          <w:b w:val="0"/>
          <w:bCs w:val="0"/>
          <w:spacing w:val="-4"/>
          <w:sz w:val="32"/>
          <w:szCs w:val="32"/>
          <w:lang w:val="en-US" w:eastAsia="zh-CN"/>
        </w:rPr>
        <w:t>贯彻落实市党委关于统一战线工作的具体要求，紧紧围绕社会稳定和长治久安总目标，发挥市党委在统战工作方面的参谋机构、组织协调机构、具体执行机构、督促检查机构作用，了解情况、掌握政策、协调关系、安排人事、增进共识、加强团结，协调统一战线各方面关系，巩固壮大最广泛的统一战线。统一战线工作为党的总路线总政策的重要组成部分，是党凝聚人心、汇聚力量的政治优势和战略方针，同时，在协调社会关系、化解内部矛盾、维护社会稳定，以及促进经济发展、增进民族团结、推动文化繁荣等方面，也肩负着重要使命。确保符合条件的爱国宗教人士生活补助 “应享尽享”，实现补助发放精准化、规范化；</w:t>
      </w:r>
      <w:r>
        <w:rPr>
          <w:rStyle w:val="17"/>
          <w:rFonts w:hint="default" w:ascii="方正仿宋_GBK" w:hAnsi="方正仿宋_GBK" w:eastAsia="方正仿宋_GBK" w:cs="方正仿宋_GBK"/>
          <w:b w:val="0"/>
          <w:bCs w:val="0"/>
          <w:spacing w:val="-4"/>
          <w:sz w:val="32"/>
          <w:szCs w:val="32"/>
          <w:lang w:val="en-US" w:eastAsia="zh-CN"/>
        </w:rPr>
        <w:t>以补助政策为纽带，强化宗教人士思想政治引领，推动其参与社会治理与公益服务；夯实基层宗教工作基础，维护宗教领域和谐稳定，凝聚宗教界团结奋进力量。</w:t>
      </w:r>
    </w:p>
    <w:p>
      <w:pPr>
        <w:pStyle w:val="11"/>
        <w:numPr>
          <w:ilvl w:val="0"/>
          <w:numId w:val="0"/>
        </w:numPr>
        <w:spacing w:before="0" w:after="0" w:line="560" w:lineRule="exact"/>
        <w:ind w:firstLine="643" w:firstLineChars="200"/>
        <w:jc w:val="both"/>
        <w:rPr>
          <w:rFonts w:hint="default" w:ascii="Times New Roman" w:hAnsi="Times New Roman" w:eastAsia="仿宋_GB2312" w:cs="Times New Roman"/>
          <w:kern w:val="2"/>
        </w:rPr>
      </w:pPr>
      <w:r>
        <w:rPr>
          <w:rFonts w:hint="default" w:ascii="Times New Roman" w:hAnsi="Times New Roman" w:eastAsia="仿宋_GB2312" w:cs="Times New Roman"/>
          <w:kern w:val="2"/>
          <w:lang w:val="en-US" w:eastAsia="zh-CN"/>
        </w:rPr>
        <w:t>2.</w:t>
      </w:r>
      <w:r>
        <w:rPr>
          <w:rFonts w:hint="default" w:ascii="Times New Roman" w:hAnsi="Times New Roman" w:eastAsia="仿宋_GB2312" w:cs="Times New Roman"/>
          <w:kern w:val="2"/>
        </w:rPr>
        <w:t>项目主要内容：</w:t>
      </w:r>
    </w:p>
    <w:p>
      <w:pPr>
        <w:spacing w:line="560" w:lineRule="exact"/>
        <w:ind w:firstLine="602" w:firstLineChars="200"/>
        <w:rPr>
          <w:rStyle w:val="17"/>
          <w:rFonts w:hint="default" w:ascii="Times New Roman" w:hAnsi="Times New Roman" w:eastAsia="黑体" w:cs="Times New Roman"/>
          <w:b w:val="0"/>
          <w:bCs/>
          <w:spacing w:val="-4"/>
          <w:sz w:val="32"/>
          <w:szCs w:val="32"/>
          <w:highlight w:val="yellow"/>
          <w:lang w:eastAsia="zh-CN"/>
        </w:rPr>
      </w:pPr>
      <w:r>
        <w:rPr>
          <w:rFonts w:hint="default" w:ascii="Times New Roman" w:hAnsi="Times New Roman" w:eastAsia="仿宋_GB2312" w:cs="Times New Roman"/>
          <w:b/>
          <w:bCs/>
          <w:sz w:val="30"/>
          <w:szCs w:val="30"/>
          <w:highlight w:val="none"/>
          <w:lang w:val="en-US" w:eastAsia="zh-CN"/>
        </w:rPr>
        <w:t>项目主要内容</w:t>
      </w:r>
      <w:r>
        <w:rPr>
          <w:rFonts w:hint="default" w:ascii="Times New Roman" w:hAnsi="Times New Roman" w:eastAsia="仿宋_GB2312" w:cs="Times New Roman"/>
          <w:sz w:val="30"/>
          <w:szCs w:val="30"/>
          <w:highlight w:val="none"/>
          <w:lang w:val="en-US" w:eastAsia="zh-CN"/>
        </w:rPr>
        <w:t>：</w:t>
      </w:r>
      <w:r>
        <w:rPr>
          <w:rStyle w:val="17"/>
          <w:rFonts w:hint="eastAsia" w:ascii="方正仿宋_GBK" w:hAnsi="方正仿宋_GBK" w:eastAsia="方正仿宋_GBK" w:cs="方正仿宋_GBK"/>
          <w:b w:val="0"/>
          <w:bCs w:val="0"/>
          <w:spacing w:val="-4"/>
          <w:sz w:val="32"/>
          <w:szCs w:val="32"/>
          <w:lang w:val="en-US" w:eastAsia="zh-CN"/>
        </w:rPr>
        <w:t>为进一步做好我市统战民宗工作，努力实现统战民宗领域和谐稳定，开展好党和国家民族宗教法律法规和政策宣传教育工作；提高我市44名宗教教职人员的生活水平，一年12次按时发放生活补助；为了更好地服务教领域，利用该项目对统战部日常经费活动进行开支</w:t>
      </w:r>
      <w:r>
        <w:rPr>
          <w:rStyle w:val="17"/>
          <w:rFonts w:hint="default" w:ascii="方正仿宋_GBK" w:hAnsi="方正仿宋_GBK" w:eastAsia="方正仿宋_GBK" w:cs="方正仿宋_GBK"/>
          <w:b w:val="0"/>
          <w:bCs w:val="0"/>
          <w:spacing w:val="-4"/>
          <w:sz w:val="32"/>
          <w:szCs w:val="32"/>
          <w:lang w:val="en-US" w:eastAsia="zh-CN"/>
        </w:rPr>
        <w:t>。</w:t>
      </w:r>
    </w:p>
    <w:p>
      <w:pPr>
        <w:spacing w:line="560" w:lineRule="exact"/>
        <w:ind w:firstLine="643" w:firstLineChars="200"/>
        <w:rPr>
          <w:rFonts w:hint="default" w:ascii="Times New Roman" w:hAnsi="Times New Roman" w:cs="Times New Roman"/>
        </w:rPr>
      </w:pPr>
      <w:r>
        <w:rPr>
          <w:rFonts w:hint="default" w:ascii="Times New Roman" w:hAnsi="Times New Roman" w:eastAsia="仿宋_GB2312" w:cs="Times New Roman"/>
          <w:b/>
          <w:bCs/>
          <w:sz w:val="32"/>
          <w:szCs w:val="32"/>
        </w:rPr>
        <w:t>项目实施情况</w:t>
      </w:r>
      <w:r>
        <w:rPr>
          <w:rFonts w:hint="default" w:ascii="Times New Roman" w:hAnsi="Times New Roman" w:eastAsia="仿宋_GB2312" w:cs="Times New Roman"/>
          <w:sz w:val="32"/>
          <w:szCs w:val="32"/>
        </w:rPr>
        <w:t>：</w:t>
      </w:r>
      <w:r>
        <w:rPr>
          <w:rStyle w:val="17"/>
          <w:rFonts w:hint="eastAsia" w:ascii="方正仿宋_GBK" w:hAnsi="方正仿宋_GBK" w:eastAsia="方正仿宋_GBK" w:cs="方正仿宋_GBK"/>
          <w:b w:val="0"/>
          <w:bCs w:val="0"/>
          <w:spacing w:val="-4"/>
          <w:sz w:val="32"/>
          <w:szCs w:val="32"/>
          <w:lang w:val="en-US" w:eastAsia="zh-CN"/>
        </w:rPr>
        <w:t xml:space="preserve">该项目按照年初制定的绩效目标，2024年市财政拨入71.02万元。我单位按照步骤使用了71.02万元，严格执行 “财政专项拨款 — 统战部审核 — 银行代发” 流程，每月通过 “一卡通” 直达个人账户，同步留存发放凭证、银行流水等台账资料，实现资金流向可追溯。让宗教教职人员切实感受到党和政府对宗教界人士的关心关爱，培育了宗教教职人员感恩之心，感党恩，听党话，跟党走，进一步加强宗教界和谐稳定。本项目的实施，既是落实党的宗教工作基本方针的具体实践，也是凝聚宗教界力量服务大局的重要举措。通过精准保障、规范管理与思想引领，既解决了爱国宗教人士的实际困难，又强化了其政治认同和社会责任，为维护宗教领域和谐稳定、助力基层治理现代化提供了有力支撑。下一步，我单位将以铸牢中华民族共同体意识为主线，持续优化补助政策效能，推动宗教界人士在参与乡村振兴、民族团结、社会公益中发挥更大作用，为构建大统战工作格局夯实基础。 </w:t>
      </w:r>
    </w:p>
    <w:p>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资金投入和使用情况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（1）资金投入情况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ascii="Times New Roman" w:hAnsi="Times New Roman" w:eastAsia="仿宋_GB2312" w:cs="Times New Roman"/>
          <w:sz w:val="32"/>
          <w:szCs w:val="32"/>
          <w:highlight w:val="none"/>
          <w:lang w:val="en-US" w:eastAsia="zh-CN"/>
        </w:rPr>
        <w:t>71.02</w:t>
      </w:r>
      <w:r>
        <w:rPr>
          <w:rFonts w:hint="default" w:ascii="Times New Roman" w:hAnsi="Times New Roman" w:eastAsia="仿宋_GB2312" w:cs="Times New Roman"/>
          <w:sz w:val="32"/>
          <w:szCs w:val="32"/>
          <w:highlight w:val="none"/>
          <w:lang w:val="en-US" w:eastAsia="zh-CN"/>
        </w:rPr>
        <w:t>万元，全年预算数</w:t>
      </w:r>
      <w:r>
        <w:rPr>
          <w:rFonts w:hint="eastAsia" w:ascii="Times New Roman" w:hAnsi="Times New Roman" w:eastAsia="仿宋_GB2312" w:cs="Times New Roman"/>
          <w:sz w:val="32"/>
          <w:szCs w:val="32"/>
          <w:highlight w:val="none"/>
          <w:lang w:val="en-US" w:eastAsia="zh-CN"/>
        </w:rPr>
        <w:t>71.02</w:t>
      </w:r>
      <w:r>
        <w:rPr>
          <w:rFonts w:hint="default" w:ascii="Times New Roman" w:hAnsi="Times New Roman" w:eastAsia="仿宋_GB2312" w:cs="Times New Roman"/>
          <w:sz w:val="32"/>
          <w:szCs w:val="32"/>
          <w:highlight w:val="none"/>
          <w:lang w:val="en-US" w:eastAsia="zh-CN"/>
        </w:rPr>
        <w:t>万元</w:t>
      </w:r>
      <w:r>
        <w:rPr>
          <w:rFonts w:hint="eastAsia" w:eastAsia="仿宋_GB2312" w:cs="Times New Roman"/>
          <w:sz w:val="32"/>
          <w:szCs w:val="32"/>
          <w:highlight w:val="none"/>
          <w:lang w:val="en-US" w:eastAsia="zh-CN"/>
        </w:rPr>
        <w:t>。其中上级专项资金71.02万元，</w:t>
      </w:r>
      <w:r>
        <w:rPr>
          <w:rFonts w:hint="default" w:ascii="Times New Roman" w:hAnsi="Times New Roman" w:eastAsia="仿宋_GB2312" w:cs="Times New Roman"/>
          <w:sz w:val="32"/>
          <w:szCs w:val="32"/>
          <w:highlight w:val="none"/>
          <w:lang w:val="en-US" w:eastAsia="zh-CN"/>
        </w:rPr>
        <w:t>该项目资金已全部落实到位，资金来源为</w:t>
      </w:r>
      <w:r>
        <w:rPr>
          <w:rFonts w:hint="eastAsia" w:eastAsia="仿宋_GB2312" w:cs="Times New Roman"/>
          <w:sz w:val="32"/>
          <w:szCs w:val="32"/>
          <w:highlight w:val="none"/>
          <w:lang w:val="en-US" w:eastAsia="zh-CN"/>
        </w:rPr>
        <w:t>财政拨款</w:t>
      </w:r>
      <w:r>
        <w:rPr>
          <w:rFonts w:hint="default" w:ascii="Times New Roman" w:hAnsi="Times New Roman" w:eastAsia="仿宋_GB2312" w:cs="Times New Roman"/>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（2）资金使用情况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ascii="Times New Roman" w:hAnsi="Times New Roman" w:eastAsia="仿宋_GB2312" w:cs="Times New Roman"/>
          <w:sz w:val="32"/>
          <w:szCs w:val="32"/>
          <w:highlight w:val="none"/>
          <w:lang w:val="en-US" w:eastAsia="zh-CN"/>
        </w:rPr>
        <w:t>71.02</w:t>
      </w:r>
      <w:r>
        <w:rPr>
          <w:rFonts w:hint="default" w:ascii="Times New Roman" w:hAnsi="Times New Roman" w:eastAsia="仿宋_GB2312" w:cs="Times New Roman"/>
          <w:sz w:val="32"/>
          <w:szCs w:val="32"/>
          <w:highlight w:val="none"/>
          <w:lang w:val="en-US" w:eastAsia="zh-CN"/>
        </w:rPr>
        <w:t>万元，全年预算数</w:t>
      </w:r>
      <w:r>
        <w:rPr>
          <w:rFonts w:hint="eastAsia" w:ascii="Times New Roman" w:hAnsi="Times New Roman" w:eastAsia="仿宋_GB2312" w:cs="Times New Roman"/>
          <w:sz w:val="32"/>
          <w:szCs w:val="32"/>
          <w:highlight w:val="none"/>
          <w:lang w:val="en-US" w:eastAsia="zh-CN"/>
        </w:rPr>
        <w:t>71.02</w:t>
      </w:r>
      <w:r>
        <w:rPr>
          <w:rFonts w:hint="default" w:ascii="Times New Roman" w:hAnsi="Times New Roman" w:eastAsia="仿宋_GB2312" w:cs="Times New Roman"/>
          <w:sz w:val="32"/>
          <w:szCs w:val="32"/>
          <w:highlight w:val="none"/>
          <w:lang w:val="en-US" w:eastAsia="zh-CN"/>
        </w:rPr>
        <w:t>万元</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全年执行数</w:t>
      </w:r>
      <w:r>
        <w:rPr>
          <w:rFonts w:hint="eastAsia" w:ascii="Times New Roman" w:hAnsi="Times New Roman" w:eastAsia="仿宋_GB2312" w:cs="Times New Roman"/>
          <w:sz w:val="32"/>
          <w:szCs w:val="32"/>
          <w:highlight w:val="none"/>
          <w:lang w:val="en-US" w:eastAsia="zh-CN"/>
        </w:rPr>
        <w:t>71.02</w:t>
      </w:r>
      <w:r>
        <w:rPr>
          <w:rFonts w:hint="default" w:ascii="Times New Roman" w:hAnsi="Times New Roman" w:eastAsia="仿宋_GB2312" w:cs="Times New Roman"/>
          <w:sz w:val="32"/>
          <w:szCs w:val="32"/>
          <w:highlight w:val="none"/>
          <w:lang w:val="en-US" w:eastAsia="zh-CN"/>
        </w:rPr>
        <w:t>万元，预算执行率为</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主要</w:t>
      </w:r>
      <w:r>
        <w:rPr>
          <w:rFonts w:hint="eastAsia" w:eastAsia="仿宋_GB2312" w:cs="Times New Roman"/>
          <w:sz w:val="32"/>
          <w:szCs w:val="32"/>
          <w:highlight w:val="none"/>
          <w:lang w:val="en-US" w:eastAsia="zh-CN"/>
        </w:rPr>
        <w:t>用于：发放在职教职人员60.48万元(在职教职人员共28人每人每月补助1800元）和退二线人员共10.54万元（退二线人员共16人每人每月549元）的生活补助</w:t>
      </w:r>
      <w:r>
        <w:rPr>
          <w:rFonts w:hint="default" w:ascii="Times New Roman" w:hAnsi="Times New Roman" w:eastAsia="仿宋_GB2312" w:cs="Times New Roman"/>
          <w:sz w:val="32"/>
          <w:szCs w:val="32"/>
          <w:highlight w:val="none"/>
          <w:lang w:val="en-US" w:eastAsia="zh-CN"/>
        </w:rPr>
        <w:t>。</w:t>
      </w:r>
    </w:p>
    <w:p>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（二）项目绩效目标</w:t>
      </w:r>
    </w:p>
    <w:p>
      <w:pPr>
        <w:keepNext w:val="0"/>
        <w:keepLines w:val="0"/>
        <w:pageBreakBefore w:val="0"/>
        <w:widowControl w:val="0"/>
        <w:kinsoku/>
        <w:wordWrap/>
        <w:overflowPunct/>
        <w:topLinePunct w:val="0"/>
        <w:autoSpaceDE/>
        <w:autoSpaceDN/>
        <w:bidi w:val="0"/>
        <w:adjustRightInd/>
        <w:snapToGrid/>
        <w:spacing w:line="560" w:lineRule="exact"/>
        <w:ind w:left="0" w:firstLine="643" w:firstLineChars="200"/>
        <w:jc w:val="both"/>
        <w:textAlignment w:val="auto"/>
        <w:rPr>
          <w:rFonts w:hint="eastAsia" w:eastAsia="仿宋_GB2312" w:cs="Times New Roman"/>
          <w:b/>
          <w:bCs/>
          <w:sz w:val="32"/>
          <w:szCs w:val="32"/>
          <w:lang w:eastAsia="zh-CN"/>
        </w:rPr>
      </w:pPr>
      <w:r>
        <w:rPr>
          <w:rFonts w:hint="default" w:ascii="Times New Roman" w:hAnsi="Times New Roman" w:eastAsia="仿宋_GB2312" w:cs="Times New Roman"/>
          <w:b/>
          <w:bCs/>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总体目标</w:t>
      </w:r>
      <w:r>
        <w:rPr>
          <w:rFonts w:hint="eastAsia" w:eastAsia="仿宋_GB2312" w:cs="Times New Roman"/>
          <w:b/>
          <w:bCs/>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firstLine="624" w:firstLineChars="200"/>
        <w:jc w:val="both"/>
        <w:textAlignment w:val="auto"/>
        <w:rPr>
          <w:rStyle w:val="17"/>
          <w:rFonts w:hint="eastAsia" w:ascii="方正仿宋_GBK" w:hAnsi="方正仿宋_GBK" w:eastAsia="方正仿宋_GBK" w:cs="方正仿宋_GBK"/>
          <w:b w:val="0"/>
          <w:bCs w:val="0"/>
          <w:spacing w:val="-4"/>
          <w:sz w:val="32"/>
          <w:szCs w:val="32"/>
          <w:lang w:val="en-US" w:eastAsia="zh-CN"/>
        </w:rPr>
      </w:pPr>
      <w:r>
        <w:rPr>
          <w:rStyle w:val="17"/>
          <w:rFonts w:hint="eastAsia" w:ascii="方正仿宋_GBK" w:hAnsi="方正仿宋_GBK" w:eastAsia="方正仿宋_GBK" w:cs="方正仿宋_GBK"/>
          <w:b w:val="0"/>
          <w:bCs w:val="0"/>
          <w:spacing w:val="-4"/>
          <w:sz w:val="32"/>
          <w:szCs w:val="32"/>
          <w:lang w:val="en-US" w:eastAsia="zh-CN"/>
        </w:rPr>
        <w:t>目标1：为我市44名爱国宗教人士发放生活补助，一年发放12次；</w:t>
      </w:r>
      <w:bookmarkStart w:id="1" w:name="OLE_LINK32"/>
    </w:p>
    <w:bookmarkEnd w:id="1"/>
    <w:p>
      <w:pPr>
        <w:keepNext w:val="0"/>
        <w:keepLines w:val="0"/>
        <w:pageBreakBefore w:val="0"/>
        <w:widowControl w:val="0"/>
        <w:kinsoku/>
        <w:wordWrap/>
        <w:overflowPunct/>
        <w:topLinePunct w:val="0"/>
        <w:autoSpaceDE/>
        <w:autoSpaceDN/>
        <w:bidi w:val="0"/>
        <w:adjustRightInd/>
        <w:snapToGrid/>
        <w:spacing w:line="560" w:lineRule="exact"/>
        <w:ind w:left="0" w:firstLine="624" w:firstLineChars="200"/>
        <w:jc w:val="both"/>
        <w:textAlignment w:val="auto"/>
        <w:rPr>
          <w:rStyle w:val="17"/>
          <w:rFonts w:hint="eastAsia" w:ascii="方正仿宋_GBK" w:hAnsi="方正仿宋_GBK" w:eastAsia="方正仿宋_GBK" w:cs="方正仿宋_GBK"/>
          <w:b w:val="0"/>
          <w:bCs w:val="0"/>
          <w:spacing w:val="-4"/>
          <w:sz w:val="32"/>
          <w:szCs w:val="32"/>
          <w:lang w:val="en-US" w:eastAsia="zh-CN"/>
        </w:rPr>
      </w:pPr>
      <w:r>
        <w:rPr>
          <w:rStyle w:val="17"/>
          <w:rFonts w:hint="eastAsia" w:ascii="方正仿宋_GBK" w:hAnsi="方正仿宋_GBK" w:eastAsia="方正仿宋_GBK" w:cs="方正仿宋_GBK"/>
          <w:b w:val="0"/>
          <w:bCs w:val="0"/>
          <w:spacing w:val="-4"/>
          <w:sz w:val="32"/>
          <w:szCs w:val="32"/>
          <w:lang w:val="en-US" w:eastAsia="zh-CN"/>
        </w:rPr>
        <w:t>目标2：按时发放生活补助，提高</w:t>
      </w:r>
      <w:bookmarkStart w:id="2" w:name="OLE_LINK33"/>
      <w:r>
        <w:rPr>
          <w:rStyle w:val="17"/>
          <w:rFonts w:hint="eastAsia" w:ascii="方正仿宋_GBK" w:hAnsi="方正仿宋_GBK" w:eastAsia="方正仿宋_GBK" w:cs="方正仿宋_GBK"/>
          <w:b w:val="0"/>
          <w:bCs w:val="0"/>
          <w:spacing w:val="-4"/>
          <w:sz w:val="32"/>
          <w:szCs w:val="32"/>
          <w:lang w:val="en-US" w:eastAsia="zh-CN"/>
        </w:rPr>
        <w:t>爱国宗教人士</w:t>
      </w:r>
      <w:bookmarkEnd w:id="2"/>
      <w:r>
        <w:rPr>
          <w:rStyle w:val="17"/>
          <w:rFonts w:hint="eastAsia" w:ascii="方正仿宋_GBK" w:hAnsi="方正仿宋_GBK" w:eastAsia="方正仿宋_GBK" w:cs="方正仿宋_GBK"/>
          <w:b w:val="0"/>
          <w:bCs w:val="0"/>
          <w:spacing w:val="-4"/>
          <w:sz w:val="32"/>
          <w:szCs w:val="32"/>
          <w:lang w:val="en-US" w:eastAsia="zh-CN"/>
        </w:rPr>
        <w:t>生活水平，服务好宗教领域，引导社会稳定。</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firstLine="643" w:firstLineChars="200"/>
        <w:jc w:val="both"/>
        <w:textAlignment w:val="auto"/>
        <w:rPr>
          <w:rStyle w:val="17"/>
          <w:rFonts w:hint="default" w:ascii="方正仿宋_GBK" w:hAnsi="方正仿宋_GBK" w:eastAsia="方正仿宋_GBK" w:cs="方正仿宋_GBK"/>
          <w:b w:val="0"/>
          <w:bCs w:val="0"/>
          <w:spacing w:val="-4"/>
          <w:sz w:val="32"/>
          <w:szCs w:val="32"/>
          <w:lang w:val="en-US" w:eastAsia="zh-CN"/>
        </w:rPr>
      </w:pPr>
      <w:r>
        <w:rPr>
          <w:rFonts w:hint="default" w:ascii="Times New Roman" w:hAnsi="Times New Roman" w:eastAsia="仿宋_GB2312" w:cs="Times New Roman"/>
          <w:b/>
          <w:bCs/>
          <w:sz w:val="32"/>
          <w:szCs w:val="32"/>
        </w:rPr>
        <w:t>阶段性目标</w:t>
      </w:r>
      <w:r>
        <w:rPr>
          <w:rStyle w:val="17"/>
          <w:rFonts w:hint="eastAsia" w:ascii="方正仿宋_GBK" w:hAnsi="方正仿宋_GBK" w:eastAsia="方正仿宋_GBK" w:cs="方正仿宋_GBK"/>
          <w:b/>
          <w:bCs/>
          <w:spacing w:val="-4"/>
          <w:sz w:val="32"/>
          <w:szCs w:val="32"/>
        </w:rPr>
        <w:t>：</w:t>
      </w:r>
      <w:bookmarkStart w:id="3" w:name="OLE_LINK34"/>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24" w:firstLineChars="200"/>
        <w:jc w:val="both"/>
        <w:textAlignment w:val="auto"/>
        <w:rPr>
          <w:rStyle w:val="17"/>
          <w:rFonts w:hint="default" w:ascii="方正仿宋_GBK" w:hAnsi="方正仿宋_GBK" w:eastAsia="方正仿宋_GBK" w:cs="方正仿宋_GBK"/>
          <w:b w:val="0"/>
          <w:bCs w:val="0"/>
          <w:spacing w:val="-4"/>
          <w:sz w:val="32"/>
          <w:szCs w:val="32"/>
          <w:lang w:val="en-US" w:eastAsia="zh-CN"/>
        </w:rPr>
      </w:pPr>
      <w:r>
        <w:rPr>
          <w:rStyle w:val="17"/>
          <w:rFonts w:hint="eastAsia" w:ascii="方正仿宋_GBK" w:hAnsi="方正仿宋_GBK" w:eastAsia="方正仿宋_GBK" w:cs="方正仿宋_GBK"/>
          <w:b w:val="0"/>
          <w:bCs w:val="0"/>
          <w:spacing w:val="-4"/>
          <w:sz w:val="32"/>
          <w:szCs w:val="32"/>
          <w:lang w:val="en-US" w:eastAsia="zh-CN"/>
        </w:rPr>
        <w:t>目标1：2024年1月10日之前完成补助对象资格审核及名单确定，确保符合政策标准的宗教人士100%纳入补助范围；</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eastAsia="仿宋_GB2312" w:cs="Times New Roman"/>
          <w:sz w:val="32"/>
          <w:szCs w:val="32"/>
          <w:highlight w:val="none"/>
          <w:lang w:val="en-US" w:eastAsia="zh-CN"/>
        </w:rPr>
      </w:pPr>
      <w:r>
        <w:rPr>
          <w:rFonts w:hint="eastAsia" w:eastAsia="仿宋_GB2312" w:cs="Times New Roman"/>
          <w:b w:val="0"/>
          <w:bCs w:val="0"/>
          <w:sz w:val="32"/>
          <w:szCs w:val="32"/>
          <w:highlight w:val="none"/>
          <w:lang w:val="en-US" w:eastAsia="zh-CN"/>
        </w:rPr>
        <w:t>目标</w:t>
      </w:r>
      <w:bookmarkEnd w:id="3"/>
      <w:r>
        <w:rPr>
          <w:rFonts w:hint="eastAsia" w:eastAsia="仿宋_GB2312" w:cs="Times New Roman"/>
          <w:b w:val="0"/>
          <w:bCs w:val="0"/>
          <w:sz w:val="32"/>
          <w:szCs w:val="32"/>
          <w:highlight w:val="none"/>
          <w:lang w:val="en-US" w:eastAsia="zh-CN"/>
        </w:rPr>
        <w:t>2：</w:t>
      </w:r>
      <w:r>
        <w:rPr>
          <w:rFonts w:hint="eastAsia" w:eastAsia="仿宋_GB2312" w:cs="Times New Roman"/>
          <w:sz w:val="32"/>
          <w:szCs w:val="32"/>
          <w:highlight w:val="none"/>
          <w:lang w:val="en-US" w:eastAsia="zh-CN"/>
        </w:rPr>
        <w:t>按每月发放爱国宗教人士生活补助资金，确保每月资金到位率95%，发放及时率100%；</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eastAsia="仿宋_GB2312" w:cs="Times New Roman"/>
          <w:sz w:val="32"/>
          <w:szCs w:val="32"/>
          <w:highlight w:val="none"/>
          <w:lang w:val="en-US" w:eastAsia="zh-CN"/>
        </w:rPr>
      </w:pPr>
      <w:r>
        <w:rPr>
          <w:rFonts w:hint="eastAsia" w:eastAsia="仿宋_GB2312" w:cs="Times New Roman"/>
          <w:sz w:val="32"/>
          <w:szCs w:val="32"/>
          <w:highlight w:val="none"/>
          <w:lang w:val="en-US" w:eastAsia="zh-CN"/>
        </w:rPr>
        <w:t>目标3：2024年上半年完成</w:t>
      </w:r>
      <w:r>
        <w:rPr>
          <w:rStyle w:val="17"/>
          <w:rFonts w:hint="eastAsia" w:ascii="方正仿宋_GBK" w:hAnsi="方正仿宋_GBK" w:eastAsia="方正仿宋_GBK" w:cs="方正仿宋_GBK"/>
          <w:b w:val="0"/>
          <w:bCs w:val="0"/>
          <w:spacing w:val="-4"/>
          <w:sz w:val="32"/>
          <w:szCs w:val="32"/>
          <w:lang w:val="en-US" w:eastAsia="zh-CN"/>
        </w:rPr>
        <w:t>爱国宗教人士</w:t>
      </w:r>
      <w:r>
        <w:rPr>
          <w:rFonts w:hint="eastAsia" w:eastAsia="仿宋_GB2312" w:cs="Times New Roman"/>
          <w:sz w:val="32"/>
          <w:szCs w:val="32"/>
          <w:highlight w:val="none"/>
          <w:lang w:val="en-US" w:eastAsia="zh-CN"/>
        </w:rPr>
        <w:t>生活补助资金</w:t>
      </w:r>
      <w:bookmarkStart w:id="4" w:name="OLE_LINK35"/>
      <w:r>
        <w:rPr>
          <w:rFonts w:hint="eastAsia" w:eastAsia="仿宋_GB2312" w:cs="Times New Roman"/>
          <w:sz w:val="32"/>
          <w:szCs w:val="32"/>
          <w:highlight w:val="none"/>
          <w:lang w:val="en-US" w:eastAsia="zh-CN"/>
        </w:rPr>
        <w:t>发放达到</w:t>
      </w:r>
      <w:bookmarkEnd w:id="4"/>
      <w:r>
        <w:rPr>
          <w:rFonts w:hint="eastAsia" w:eastAsia="仿宋_GB2312" w:cs="Times New Roman"/>
          <w:sz w:val="32"/>
          <w:szCs w:val="32"/>
          <w:highlight w:val="none"/>
          <w:lang w:val="en-US" w:eastAsia="zh-CN"/>
        </w:rPr>
        <w:t>39.84万元；</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both"/>
        <w:textAlignment w:val="auto"/>
        <w:rPr>
          <w:rFonts w:hint="eastAsia" w:eastAsia="仿宋_GB2312" w:cs="Times New Roman"/>
          <w:sz w:val="32"/>
          <w:szCs w:val="32"/>
          <w:highlight w:val="none"/>
          <w:lang w:val="en-US" w:eastAsia="zh-CN"/>
        </w:rPr>
      </w:pPr>
      <w:r>
        <w:rPr>
          <w:rFonts w:hint="eastAsia" w:eastAsia="仿宋_GB2312" w:cs="Times New Roman"/>
          <w:sz w:val="32"/>
          <w:szCs w:val="32"/>
          <w:highlight w:val="none"/>
          <w:lang w:val="en-US" w:eastAsia="zh-CN"/>
        </w:rPr>
        <w:t>目标4：2024年下半年完成</w:t>
      </w:r>
      <w:r>
        <w:rPr>
          <w:rStyle w:val="17"/>
          <w:rFonts w:hint="eastAsia" w:ascii="方正仿宋_GBK" w:hAnsi="方正仿宋_GBK" w:eastAsia="方正仿宋_GBK" w:cs="方正仿宋_GBK"/>
          <w:b w:val="0"/>
          <w:bCs w:val="0"/>
          <w:spacing w:val="-4"/>
          <w:sz w:val="32"/>
          <w:szCs w:val="32"/>
          <w:lang w:val="en-US" w:eastAsia="zh-CN"/>
        </w:rPr>
        <w:t>爱国宗教人士</w:t>
      </w:r>
      <w:r>
        <w:rPr>
          <w:rFonts w:hint="eastAsia" w:eastAsia="仿宋_GB2312" w:cs="Times New Roman"/>
          <w:sz w:val="32"/>
          <w:szCs w:val="32"/>
          <w:highlight w:val="none"/>
          <w:lang w:val="en-US" w:eastAsia="zh-CN"/>
        </w:rPr>
        <w:t>生活补助资金发放达到31.18万元。</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both"/>
        <w:textAlignment w:val="auto"/>
        <w:rPr>
          <w:rFonts w:hint="eastAsia" w:eastAsia="仿宋_GB2312" w:cs="Times New Roman"/>
          <w:sz w:val="32"/>
          <w:szCs w:val="32"/>
          <w:highlight w:val="none"/>
          <w:lang w:val="en-US" w:eastAsia="zh-CN"/>
        </w:rPr>
      </w:pPr>
      <w:r>
        <w:rPr>
          <w:rFonts w:hint="eastAsia" w:ascii="方正仿宋_GBK" w:hAnsi="方正仿宋_GBK" w:eastAsia="方正仿宋_GBK" w:cs="方正仿宋_GBK"/>
          <w:spacing w:val="0"/>
          <w:sz w:val="32"/>
          <w:szCs w:val="32"/>
        </w:rPr>
        <w:t>通过以上阶段性目标，确保</w:t>
      </w:r>
      <w:r>
        <w:rPr>
          <w:rFonts w:hint="eastAsia" w:ascii="方正仿宋_GBK" w:hAnsi="方正仿宋_GBK" w:eastAsia="方正仿宋_GBK" w:cs="方正仿宋_GBK"/>
          <w:spacing w:val="0"/>
          <w:sz w:val="32"/>
          <w:szCs w:val="32"/>
          <w:lang w:eastAsia="zh-CN"/>
        </w:rPr>
        <w:t>爱国宗教人士生活补助发放工作有序推进</w:t>
      </w:r>
      <w:r>
        <w:rPr>
          <w:rFonts w:hint="eastAsia" w:ascii="方正仿宋_GBK" w:hAnsi="方正仿宋_GBK" w:eastAsia="方正仿宋_GBK" w:cs="方正仿宋_GBK"/>
          <w:spacing w:val="0"/>
          <w:sz w:val="32"/>
          <w:szCs w:val="32"/>
        </w:rPr>
        <w:t>，</w:t>
      </w:r>
      <w:r>
        <w:rPr>
          <w:rFonts w:hint="eastAsia" w:ascii="方正仿宋_GBK" w:hAnsi="方正仿宋_GBK" w:eastAsia="方正仿宋_GBK" w:cs="方正仿宋_GBK"/>
          <w:spacing w:val="0"/>
          <w:sz w:val="32"/>
          <w:szCs w:val="32"/>
          <w:lang w:eastAsia="zh-CN"/>
        </w:rPr>
        <w:t>提高</w:t>
      </w:r>
      <w:r>
        <w:rPr>
          <w:rFonts w:hint="eastAsia" w:ascii="方正仿宋_GBK" w:hAnsi="方正仿宋_GBK" w:eastAsia="方正仿宋_GBK" w:cs="方正仿宋_GBK"/>
          <w:spacing w:val="0"/>
          <w:sz w:val="32"/>
          <w:szCs w:val="32"/>
          <w:lang w:val="en-US" w:eastAsia="zh-CN"/>
        </w:rPr>
        <w:t>我市爱国宗教人士生活水平和</w:t>
      </w:r>
      <w:r>
        <w:rPr>
          <w:rFonts w:hint="eastAsia" w:ascii="方正仿宋_GBK" w:hAnsi="方正仿宋_GBK" w:eastAsia="方正仿宋_GBK" w:cs="方正仿宋_GBK"/>
          <w:spacing w:val="0"/>
          <w:sz w:val="32"/>
          <w:szCs w:val="32"/>
        </w:rPr>
        <w:t>提升</w:t>
      </w:r>
      <w:r>
        <w:rPr>
          <w:rFonts w:hint="eastAsia" w:ascii="方正仿宋_GBK" w:hAnsi="方正仿宋_GBK" w:eastAsia="方正仿宋_GBK" w:cs="方正仿宋_GBK"/>
          <w:spacing w:val="0"/>
          <w:sz w:val="32"/>
          <w:szCs w:val="32"/>
          <w:lang w:val="en-US" w:eastAsia="zh-CN"/>
        </w:rPr>
        <w:t>满意度</w:t>
      </w:r>
      <w:r>
        <w:rPr>
          <w:rFonts w:hint="eastAsia" w:ascii="方正仿宋_GBK" w:hAnsi="方正仿宋_GBK" w:eastAsia="方正仿宋_GBK" w:cs="方正仿宋_GBK"/>
          <w:spacing w:val="0"/>
          <w:sz w:val="32"/>
          <w:szCs w:val="32"/>
        </w:rPr>
        <w:t>。</w:t>
      </w:r>
    </w:p>
    <w:p>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二、绩效评价工作开展情况</w:t>
      </w:r>
    </w:p>
    <w:p>
      <w:pPr>
        <w:keepNext w:val="0"/>
        <w:keepLines w:val="0"/>
        <w:pageBreakBefore w:val="0"/>
        <w:widowControl w:val="0"/>
        <w:kinsoku/>
        <w:wordWrap/>
        <w:overflowPunct/>
        <w:topLinePunct w:val="0"/>
        <w:autoSpaceDE/>
        <w:autoSpaceDN/>
        <w:bidi w:val="0"/>
        <w:adjustRightInd/>
        <w:snapToGrid/>
        <w:spacing w:line="560" w:lineRule="exact"/>
        <w:ind w:firstLine="321" w:firstLineChars="100"/>
        <w:jc w:val="both"/>
        <w:textAlignment w:val="auto"/>
        <w:rPr>
          <w:rFonts w:hint="default" w:eastAsia="仿宋_GB2312" w:cs="Times New Roman"/>
          <w:b/>
          <w:bCs/>
          <w:sz w:val="32"/>
          <w:szCs w:val="32"/>
          <w:highlight w:val="none"/>
          <w:lang w:val="en-US" w:eastAsia="zh-CN"/>
        </w:rPr>
      </w:pPr>
      <w:r>
        <w:rPr>
          <w:rFonts w:hint="default" w:eastAsia="仿宋_GB2312" w:cs="Times New Roman"/>
          <w:b/>
          <w:bCs/>
          <w:sz w:val="32"/>
          <w:szCs w:val="32"/>
          <w:highlight w:val="none"/>
          <w:lang w:val="en-US" w:eastAsia="zh-CN"/>
        </w:rPr>
        <w:t>（一）绩效评价目的、对象和范围</w:t>
      </w:r>
    </w:p>
    <w:p>
      <w:pPr>
        <w:keepNext w:val="0"/>
        <w:keepLines w:val="0"/>
        <w:pageBreakBefore w:val="0"/>
        <w:widowControl w:val="0"/>
        <w:kinsoku/>
        <w:wordWrap/>
        <w:overflowPunct/>
        <w:topLinePunct w:val="0"/>
        <w:autoSpaceDE/>
        <w:autoSpaceDN/>
        <w:bidi w:val="0"/>
        <w:adjustRightInd/>
        <w:snapToGrid/>
        <w:spacing w:line="560" w:lineRule="exact"/>
        <w:ind w:left="0" w:firstLine="643" w:firstLineChars="200"/>
        <w:jc w:val="both"/>
        <w:textAlignment w:val="auto"/>
        <w:rPr>
          <w:rFonts w:hint="default" w:eastAsia="仿宋_GB2312" w:cs="Times New Roman"/>
          <w:b/>
          <w:bCs/>
          <w:sz w:val="32"/>
          <w:szCs w:val="32"/>
          <w:highlight w:val="none"/>
          <w:lang w:val="en-US" w:eastAsia="zh-CN"/>
        </w:rPr>
      </w:pPr>
      <w:r>
        <w:rPr>
          <w:rFonts w:hint="default" w:eastAsia="仿宋_GB2312" w:cs="Times New Roman"/>
          <w:b/>
          <w:bCs/>
          <w:sz w:val="32"/>
          <w:szCs w:val="32"/>
          <w:highlight w:val="none"/>
          <w:lang w:val="en-US" w:eastAsia="zh-CN"/>
        </w:rPr>
        <w:t>1.绩效评价完整性</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both"/>
        <w:textAlignment w:val="auto"/>
        <w:rPr>
          <w:rFonts w:hint="default" w:eastAsia="仿宋_GB2312" w:cs="Times New Roman"/>
          <w:sz w:val="32"/>
          <w:szCs w:val="32"/>
          <w:highlight w:val="none"/>
          <w:lang w:val="en-US" w:eastAsia="zh-CN"/>
        </w:rPr>
      </w:pPr>
      <w:r>
        <w:rPr>
          <w:rFonts w:hint="default" w:eastAsia="仿宋_GB2312" w:cs="Times New Roman"/>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both"/>
        <w:textAlignment w:val="auto"/>
        <w:rPr>
          <w:rFonts w:hint="default" w:eastAsia="仿宋_GB2312" w:cs="Times New Roman"/>
          <w:sz w:val="32"/>
          <w:szCs w:val="32"/>
          <w:highlight w:val="none"/>
          <w:lang w:val="en-US" w:eastAsia="zh-CN"/>
        </w:rPr>
      </w:pPr>
      <w:r>
        <w:rPr>
          <w:rFonts w:hint="default" w:eastAsia="仿宋_GB2312" w:cs="Times New Roman"/>
          <w:sz w:val="32"/>
          <w:szCs w:val="32"/>
          <w:highlight w:val="none"/>
          <w:lang w:val="en-US" w:eastAsia="zh-CN"/>
        </w:rPr>
        <w:t>在评价指标体系的构建上，充分考虑了项目的性质、目标以及预期成果，选取了具有代表性和可衡量性的关键指标，涵盖了社会效益维度，力求全方位反映项目的绩效状况。同时，对于每个指标的评价标准和数据来源均进行了明确说明，确保评价结果的客观性和可追溯性。</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both"/>
        <w:textAlignment w:val="auto"/>
        <w:rPr>
          <w:rFonts w:hint="default" w:eastAsia="仿宋_GB2312" w:cs="Times New Roman"/>
          <w:sz w:val="32"/>
          <w:szCs w:val="32"/>
          <w:highlight w:val="none"/>
          <w:lang w:val="en-US" w:eastAsia="zh-CN"/>
        </w:rPr>
      </w:pPr>
      <w:r>
        <w:rPr>
          <w:rFonts w:hint="default" w:eastAsia="仿宋_GB2312" w:cs="Times New Roman"/>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both"/>
        <w:textAlignment w:val="auto"/>
        <w:rPr>
          <w:rFonts w:hint="default" w:eastAsia="仿宋_GB2312" w:cs="Times New Roman"/>
          <w:sz w:val="32"/>
          <w:szCs w:val="32"/>
          <w:highlight w:val="none"/>
          <w:lang w:val="en-US" w:eastAsia="zh-CN"/>
        </w:rPr>
      </w:pPr>
      <w:r>
        <w:rPr>
          <w:rFonts w:hint="default" w:eastAsia="仿宋_GB2312" w:cs="Times New Roman"/>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both"/>
        <w:textAlignment w:val="auto"/>
        <w:rPr>
          <w:rFonts w:hint="default" w:eastAsia="仿宋_GB2312" w:cs="Times New Roman"/>
          <w:sz w:val="32"/>
          <w:szCs w:val="32"/>
          <w:highlight w:val="none"/>
          <w:lang w:val="en-US" w:eastAsia="zh-CN"/>
        </w:rPr>
      </w:pPr>
      <w:r>
        <w:rPr>
          <w:rFonts w:hint="default" w:eastAsia="仿宋_GB2312" w:cs="Times New Roman"/>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lang w:val="en-US" w:eastAsia="zh-CN"/>
        </w:rPr>
        <w:t>2.</w:t>
      </w:r>
      <w:r>
        <w:rPr>
          <w:rFonts w:hint="default" w:ascii="Times New Roman" w:hAnsi="Times New Roman" w:eastAsia="仿宋_GB2312" w:cs="Times New Roman"/>
          <w:b/>
          <w:bCs/>
          <w:sz w:val="32"/>
          <w:szCs w:val="32"/>
        </w:rPr>
        <w:t>绩效评价的目的</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both"/>
        <w:textAlignment w:val="auto"/>
        <w:rPr>
          <w:rFonts w:hint="default" w:eastAsia="仿宋_GB2312" w:cs="Times New Roman"/>
          <w:sz w:val="32"/>
          <w:szCs w:val="32"/>
          <w:highlight w:val="none"/>
          <w:lang w:val="en-US" w:eastAsia="zh-CN"/>
        </w:rPr>
      </w:pPr>
      <w:r>
        <w:rPr>
          <w:rFonts w:hint="default" w:eastAsia="仿宋_GB2312" w:cs="Times New Roman"/>
          <w:sz w:val="32"/>
          <w:szCs w:val="32"/>
          <w:highlight w:val="none"/>
          <w:lang w:val="en-US" w:eastAsia="zh-CN"/>
        </w:rPr>
        <w:t>（1）评估项目实施效果</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both"/>
        <w:textAlignment w:val="auto"/>
        <w:rPr>
          <w:rFonts w:hint="default" w:eastAsia="仿宋_GB2312" w:cs="Times New Roman"/>
          <w:sz w:val="32"/>
          <w:szCs w:val="32"/>
          <w:highlight w:val="none"/>
          <w:lang w:val="en-US" w:eastAsia="zh-CN"/>
        </w:rPr>
      </w:pPr>
      <w:r>
        <w:rPr>
          <w:rFonts w:hint="default" w:eastAsia="仿宋_GB2312" w:cs="Times New Roman"/>
          <w:sz w:val="32"/>
          <w:szCs w:val="32"/>
          <w:highlight w:val="none"/>
          <w:lang w:val="en-US" w:eastAsia="zh-CN"/>
        </w:rPr>
        <w:t>通过对项目预算执行情况及各项绩效目标达成程度的系统性分析，全面、客观地评估项目在预定周期内的实施效果，包括社会效益维度指标，为项目后续的改进与优化提供科学依据。</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both"/>
        <w:textAlignment w:val="auto"/>
        <w:rPr>
          <w:rFonts w:hint="default" w:eastAsia="仿宋_GB2312" w:cs="Times New Roman"/>
          <w:sz w:val="32"/>
          <w:szCs w:val="32"/>
          <w:highlight w:val="none"/>
          <w:lang w:val="en-US" w:eastAsia="zh-CN"/>
        </w:rPr>
      </w:pPr>
      <w:r>
        <w:rPr>
          <w:rFonts w:hint="default" w:eastAsia="仿宋_GB2312" w:cs="Times New Roman"/>
          <w:sz w:val="32"/>
          <w:szCs w:val="32"/>
          <w:highlight w:val="none"/>
          <w:lang w:val="en-US" w:eastAsia="zh-CN"/>
        </w:rPr>
        <w:t>（2）提升资源利用效率</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both"/>
        <w:textAlignment w:val="auto"/>
        <w:rPr>
          <w:rFonts w:hint="default" w:eastAsia="仿宋_GB2312" w:cs="Times New Roman"/>
          <w:sz w:val="32"/>
          <w:szCs w:val="32"/>
          <w:highlight w:val="none"/>
          <w:lang w:val="en-US" w:eastAsia="zh-CN"/>
        </w:rPr>
      </w:pPr>
      <w:r>
        <w:rPr>
          <w:rFonts w:hint="default" w:eastAsia="仿宋_GB2312" w:cs="Times New Roman"/>
          <w:sz w:val="32"/>
          <w:szCs w:val="32"/>
          <w:highlight w:val="none"/>
          <w:lang w:val="en-US" w:eastAsia="zh-CN"/>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both"/>
        <w:textAlignment w:val="auto"/>
        <w:rPr>
          <w:rFonts w:hint="default" w:eastAsia="仿宋_GB2312" w:cs="Times New Roman"/>
          <w:sz w:val="32"/>
          <w:szCs w:val="32"/>
          <w:highlight w:val="none"/>
          <w:lang w:val="en-US" w:eastAsia="zh-CN"/>
        </w:rPr>
      </w:pPr>
      <w:r>
        <w:rPr>
          <w:rFonts w:hint="default" w:eastAsia="仿宋_GB2312" w:cs="Times New Roman"/>
          <w:sz w:val="32"/>
          <w:szCs w:val="32"/>
          <w:highlight w:val="none"/>
          <w:lang w:val="en-US" w:eastAsia="zh-CN"/>
        </w:rPr>
        <w:t>（3）强化项目管理责任</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both"/>
        <w:textAlignment w:val="auto"/>
        <w:rPr>
          <w:rFonts w:hint="default" w:eastAsia="仿宋_GB2312" w:cs="Times New Roman"/>
          <w:sz w:val="32"/>
          <w:szCs w:val="32"/>
          <w:highlight w:val="none"/>
          <w:lang w:val="en-US" w:eastAsia="zh-CN"/>
        </w:rPr>
      </w:pPr>
      <w:r>
        <w:rPr>
          <w:rFonts w:hint="default" w:eastAsia="仿宋_GB2312" w:cs="Times New Roman"/>
          <w:sz w:val="32"/>
          <w:szCs w:val="32"/>
          <w:highlight w:val="none"/>
          <w:lang w:val="en-US" w:eastAsia="zh-CN"/>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both"/>
        <w:textAlignment w:val="auto"/>
        <w:rPr>
          <w:rFonts w:hint="default" w:eastAsia="仿宋_GB2312" w:cs="Times New Roman"/>
          <w:sz w:val="32"/>
          <w:szCs w:val="32"/>
          <w:highlight w:val="none"/>
          <w:lang w:val="en-US" w:eastAsia="zh-CN"/>
        </w:rPr>
      </w:pPr>
      <w:r>
        <w:rPr>
          <w:rFonts w:hint="default" w:eastAsia="仿宋_GB2312" w:cs="Times New Roman"/>
          <w:sz w:val="32"/>
          <w:szCs w:val="32"/>
          <w:highlight w:val="none"/>
          <w:lang w:val="en-US" w:eastAsia="zh-CN"/>
        </w:rPr>
        <w:t>（4）为决策提供支持</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both"/>
        <w:textAlignment w:val="auto"/>
        <w:rPr>
          <w:rFonts w:hint="default" w:eastAsia="仿宋_GB2312" w:cs="Times New Roman"/>
          <w:sz w:val="32"/>
          <w:szCs w:val="32"/>
          <w:highlight w:val="none"/>
          <w:lang w:val="en-US" w:eastAsia="zh-CN"/>
        </w:rPr>
      </w:pPr>
      <w:r>
        <w:rPr>
          <w:rFonts w:hint="default" w:eastAsia="仿宋_GB2312" w:cs="Times New Roman"/>
          <w:sz w:val="32"/>
          <w:szCs w:val="32"/>
          <w:highlight w:val="none"/>
          <w:lang w:val="en-US" w:eastAsia="zh-CN"/>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both"/>
        <w:textAlignment w:val="auto"/>
        <w:rPr>
          <w:rFonts w:hint="default" w:eastAsia="仿宋_GB2312" w:cs="Times New Roman"/>
          <w:sz w:val="32"/>
          <w:szCs w:val="32"/>
          <w:highlight w:val="none"/>
          <w:lang w:val="en-US" w:eastAsia="zh-CN"/>
        </w:rPr>
      </w:pPr>
      <w:r>
        <w:rPr>
          <w:rFonts w:hint="default" w:eastAsia="仿宋_GB2312" w:cs="Times New Roman"/>
          <w:sz w:val="32"/>
          <w:szCs w:val="32"/>
          <w:highlight w:val="none"/>
          <w:lang w:val="en-US" w:eastAsia="zh-CN"/>
        </w:rPr>
        <w:t>（5）促进项目持续改进</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both"/>
        <w:textAlignment w:val="auto"/>
        <w:rPr>
          <w:rFonts w:hint="default" w:eastAsia="仿宋_GB2312" w:cs="Times New Roman"/>
          <w:sz w:val="32"/>
          <w:szCs w:val="32"/>
          <w:highlight w:val="none"/>
          <w:lang w:val="en-US" w:eastAsia="zh-CN"/>
        </w:rPr>
      </w:pPr>
      <w:r>
        <w:rPr>
          <w:rFonts w:hint="default" w:eastAsia="仿宋_GB2312" w:cs="Times New Roman"/>
          <w:sz w:val="32"/>
          <w:szCs w:val="32"/>
          <w:highlight w:val="none"/>
          <w:lang w:val="en-US" w:eastAsia="zh-CN"/>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both"/>
        <w:textAlignment w:val="auto"/>
        <w:rPr>
          <w:rFonts w:hint="default" w:eastAsia="仿宋_GB2312" w:cs="Times New Roman"/>
          <w:sz w:val="32"/>
          <w:szCs w:val="32"/>
          <w:highlight w:val="none"/>
          <w:lang w:val="en-US" w:eastAsia="zh-CN"/>
        </w:rPr>
      </w:pPr>
      <w:r>
        <w:rPr>
          <w:rFonts w:hint="default" w:eastAsia="仿宋_GB2312" w:cs="Times New Roman"/>
          <w:sz w:val="32"/>
          <w:szCs w:val="32"/>
          <w:highlight w:val="none"/>
          <w:lang w:val="en-US" w:eastAsia="zh-CN"/>
        </w:rPr>
        <w:t>本项目预算绩效评价报告的编制以提升项目绩效为核心，旨在通过科学、严谨的评价工作，为项目管理与决策提供全方位、深层次的支持，推动项目在预算约束下实现高质量、可持续发展，充分发挥财政资金社会效益。</w:t>
      </w:r>
    </w:p>
    <w:p>
      <w:pPr>
        <w:keepNext w:val="0"/>
        <w:keepLines w:val="0"/>
        <w:pageBreakBefore w:val="0"/>
        <w:widowControl w:val="0"/>
        <w:kinsoku/>
        <w:wordWrap/>
        <w:overflowPunct/>
        <w:topLinePunct w:val="0"/>
        <w:autoSpaceDE/>
        <w:autoSpaceDN/>
        <w:bidi w:val="0"/>
        <w:adjustRightInd/>
        <w:snapToGrid/>
        <w:spacing w:line="560" w:lineRule="exact"/>
        <w:ind w:left="0" w:firstLine="643" w:firstLineChars="200"/>
        <w:jc w:val="both"/>
        <w:textAlignment w:val="auto"/>
        <w:rPr>
          <w:rFonts w:hint="default" w:eastAsia="仿宋_GB2312" w:cs="Times New Roman"/>
          <w:b/>
          <w:bCs/>
          <w:sz w:val="32"/>
          <w:szCs w:val="32"/>
          <w:highlight w:val="none"/>
          <w:lang w:val="en-US" w:eastAsia="zh-CN"/>
        </w:rPr>
      </w:pPr>
      <w:r>
        <w:rPr>
          <w:rFonts w:hint="default" w:eastAsia="仿宋_GB2312" w:cs="Times New Roman"/>
          <w:b/>
          <w:bCs/>
          <w:sz w:val="32"/>
          <w:szCs w:val="32"/>
          <w:highlight w:val="none"/>
          <w:lang w:val="en-US" w:eastAsia="zh-CN"/>
        </w:rPr>
        <w:t>3.绩效评价的对象</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both"/>
        <w:textAlignment w:val="auto"/>
        <w:rPr>
          <w:rFonts w:hint="default" w:eastAsia="仿宋_GB2312" w:cs="Times New Roman"/>
          <w:sz w:val="32"/>
          <w:szCs w:val="32"/>
          <w:highlight w:val="none"/>
          <w:lang w:val="en-US" w:eastAsia="zh-CN"/>
        </w:rPr>
      </w:pPr>
      <w:r>
        <w:rPr>
          <w:rFonts w:hint="default" w:eastAsia="仿宋_GB2312" w:cs="Times New Roman"/>
          <w:sz w:val="32"/>
          <w:szCs w:val="32"/>
          <w:highlight w:val="none"/>
          <w:lang w:val="en-US" w:eastAsia="zh-CN"/>
        </w:rPr>
        <w:t>本项目预算绩效评价报告的评价对象是巴财行【2023】58号2024年宗教教职人员生活补贴资金及其预算执行情况。该项目由</w:t>
      </w:r>
      <w:r>
        <w:rPr>
          <w:rFonts w:hint="eastAsia" w:eastAsia="仿宋_GB2312" w:cs="Times New Roman"/>
          <w:sz w:val="32"/>
          <w:szCs w:val="32"/>
          <w:highlight w:val="none"/>
          <w:lang w:val="en-US" w:eastAsia="zh-CN"/>
        </w:rPr>
        <w:t>库尔勒市委统战部</w:t>
      </w:r>
      <w:r>
        <w:rPr>
          <w:rFonts w:hint="default" w:eastAsia="仿宋_GB2312" w:cs="Times New Roman"/>
          <w:sz w:val="32"/>
          <w:szCs w:val="32"/>
          <w:highlight w:val="none"/>
          <w:lang w:val="en-US" w:eastAsia="zh-CN"/>
        </w:rPr>
        <w:t>负责实施，旨在该项目及时发放了44名爱国宗教人士生活补助12次，提高爱国宗教人生活水平，使他们感受到党和政府的关心关怀。服务好宗教领域，引导维护社会稳定。项目预算涵盖从</w:t>
      </w:r>
      <w:r>
        <w:rPr>
          <w:rFonts w:hint="eastAsia" w:eastAsia="仿宋_GB2312" w:cs="Times New Roman"/>
          <w:sz w:val="32"/>
          <w:szCs w:val="32"/>
          <w:highlight w:val="none"/>
          <w:lang w:val="en-US" w:eastAsia="zh-CN"/>
        </w:rPr>
        <w:t>2024年1月1日</w:t>
      </w:r>
      <w:r>
        <w:rPr>
          <w:rFonts w:hint="default" w:eastAsia="仿宋_GB2312" w:cs="Times New Roman"/>
          <w:sz w:val="32"/>
          <w:szCs w:val="32"/>
          <w:highlight w:val="none"/>
          <w:lang w:val="en-US" w:eastAsia="zh-CN"/>
        </w:rPr>
        <w:t>至</w:t>
      </w:r>
      <w:r>
        <w:rPr>
          <w:rFonts w:hint="eastAsia" w:eastAsia="仿宋_GB2312" w:cs="Times New Roman"/>
          <w:sz w:val="32"/>
          <w:szCs w:val="32"/>
          <w:highlight w:val="none"/>
          <w:lang w:val="en-US" w:eastAsia="zh-CN"/>
        </w:rPr>
        <w:t>2024年12月31日</w:t>
      </w:r>
      <w:r>
        <w:rPr>
          <w:rFonts w:hint="default" w:eastAsia="仿宋_GB2312" w:cs="Times New Roman"/>
          <w:sz w:val="32"/>
          <w:szCs w:val="32"/>
          <w:highlight w:val="none"/>
          <w:lang w:val="en-US" w:eastAsia="zh-CN"/>
        </w:rPr>
        <w:t>的全部资金投入与支出，涉及资金总额为</w:t>
      </w:r>
      <w:r>
        <w:rPr>
          <w:rFonts w:hint="eastAsia" w:eastAsia="仿宋_GB2312" w:cs="Times New Roman"/>
          <w:sz w:val="32"/>
          <w:szCs w:val="32"/>
          <w:highlight w:val="none"/>
          <w:lang w:val="en-US" w:eastAsia="zh-CN"/>
        </w:rPr>
        <w:t>71.02</w:t>
      </w:r>
      <w:r>
        <w:rPr>
          <w:rFonts w:hint="default" w:eastAsia="仿宋_GB2312" w:cs="Times New Roman"/>
          <w:sz w:val="32"/>
          <w:szCs w:val="32"/>
          <w:highlight w:val="none"/>
          <w:lang w:val="en-US" w:eastAsia="zh-CN"/>
        </w:rPr>
        <w:t>万元。</w:t>
      </w:r>
    </w:p>
    <w:p>
      <w:pPr>
        <w:keepNext w:val="0"/>
        <w:keepLines w:val="0"/>
        <w:pageBreakBefore w:val="0"/>
        <w:widowControl w:val="0"/>
        <w:kinsoku/>
        <w:wordWrap/>
        <w:overflowPunct/>
        <w:topLinePunct w:val="0"/>
        <w:autoSpaceDE/>
        <w:autoSpaceDN/>
        <w:bidi w:val="0"/>
        <w:adjustRightInd/>
        <w:snapToGrid/>
        <w:spacing w:line="560" w:lineRule="exact"/>
        <w:ind w:left="0" w:firstLine="643" w:firstLineChars="200"/>
        <w:jc w:val="both"/>
        <w:textAlignment w:val="auto"/>
        <w:rPr>
          <w:rFonts w:hint="default" w:eastAsia="仿宋_GB2312" w:cs="Times New Roman"/>
          <w:b/>
          <w:bCs/>
          <w:sz w:val="32"/>
          <w:szCs w:val="32"/>
          <w:highlight w:val="none"/>
          <w:lang w:val="en-US" w:eastAsia="zh-CN"/>
        </w:rPr>
      </w:pPr>
      <w:r>
        <w:rPr>
          <w:rFonts w:hint="eastAsia" w:eastAsia="仿宋_GB2312" w:cs="Times New Roman"/>
          <w:b/>
          <w:bCs/>
          <w:sz w:val="32"/>
          <w:szCs w:val="32"/>
          <w:highlight w:val="none"/>
          <w:lang w:val="en-US" w:eastAsia="zh-CN"/>
        </w:rPr>
        <w:t>4.</w:t>
      </w:r>
      <w:r>
        <w:rPr>
          <w:rFonts w:hint="default" w:eastAsia="仿宋_GB2312" w:cs="Times New Roman"/>
          <w:b/>
          <w:bCs/>
          <w:sz w:val="32"/>
          <w:szCs w:val="32"/>
          <w:highlight w:val="none"/>
          <w:lang w:val="en-US" w:eastAsia="zh-CN"/>
        </w:rPr>
        <w:t>绩效评价的范围</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both"/>
        <w:textAlignment w:val="auto"/>
        <w:rPr>
          <w:rFonts w:hint="default" w:eastAsia="仿宋_GB2312" w:cs="Times New Roman"/>
          <w:sz w:val="32"/>
          <w:szCs w:val="32"/>
          <w:highlight w:val="none"/>
          <w:lang w:val="en-US" w:eastAsia="zh-CN"/>
        </w:rPr>
      </w:pPr>
      <w:r>
        <w:rPr>
          <w:rFonts w:hint="default" w:eastAsia="仿宋_GB2312" w:cs="Times New Roman"/>
          <w:sz w:val="32"/>
          <w:szCs w:val="32"/>
          <w:highlight w:val="none"/>
          <w:lang w:val="en-US" w:eastAsia="zh-CN"/>
        </w:rPr>
        <w:t>本项目预算绩效评价报告的评价范围广泛而全面，涵盖了从项目立项至评价时点期间的所有关键预算活动和财务流程。具体而言，评价范围包括但不限于以下几个方面：</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both"/>
        <w:textAlignment w:val="auto"/>
        <w:rPr>
          <w:rFonts w:hint="default" w:eastAsia="仿宋_GB2312" w:cs="Times New Roman"/>
          <w:sz w:val="32"/>
          <w:szCs w:val="32"/>
          <w:highlight w:val="none"/>
          <w:lang w:val="en-US" w:eastAsia="zh-CN"/>
        </w:rPr>
      </w:pPr>
      <w:r>
        <w:rPr>
          <w:rFonts w:hint="default" w:eastAsia="仿宋_GB2312" w:cs="Times New Roman"/>
          <w:sz w:val="32"/>
          <w:szCs w:val="32"/>
          <w:highlight w:val="none"/>
          <w:lang w:val="en-US" w:eastAsia="zh-CN"/>
        </w:rPr>
        <w:t>项目预算编制与执行：全面审视项目预算的编制依据、合理性、科学性以及实际执行情况，包括预算调整的原因和效果。</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both"/>
        <w:textAlignment w:val="auto"/>
        <w:rPr>
          <w:rFonts w:hint="default" w:eastAsia="仿宋_GB2312" w:cs="Times New Roman"/>
          <w:sz w:val="32"/>
          <w:szCs w:val="32"/>
          <w:highlight w:val="none"/>
          <w:lang w:val="en-US" w:eastAsia="zh-CN"/>
        </w:rPr>
      </w:pPr>
      <w:r>
        <w:rPr>
          <w:rFonts w:hint="default" w:eastAsia="仿宋_GB2312" w:cs="Times New Roman"/>
          <w:sz w:val="32"/>
          <w:szCs w:val="32"/>
          <w:highlight w:val="none"/>
          <w:lang w:val="en-US" w:eastAsia="zh-CN"/>
        </w:rPr>
        <w:t>资金管理：深入分析项目资金的分配、使用和监管情况，确保资金使用的合规性、高效性和透明度。</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both"/>
        <w:textAlignment w:val="auto"/>
        <w:rPr>
          <w:rFonts w:hint="default" w:eastAsia="仿宋_GB2312" w:cs="Times New Roman"/>
          <w:sz w:val="32"/>
          <w:szCs w:val="32"/>
          <w:highlight w:val="none"/>
          <w:lang w:val="en-US" w:eastAsia="zh-CN"/>
        </w:rPr>
      </w:pPr>
      <w:r>
        <w:rPr>
          <w:rFonts w:hint="default" w:eastAsia="仿宋_GB2312" w:cs="Times New Roman"/>
          <w:sz w:val="32"/>
          <w:szCs w:val="32"/>
          <w:highlight w:val="none"/>
          <w:lang w:val="en-US" w:eastAsia="zh-CN"/>
        </w:rPr>
        <w:t>项目实施进度与产出：评估项目是否按照既定计划顺利推进，各项任务是否按时完成，以及项目产出的数量、质量和时效性是否符合预期。</w:t>
      </w:r>
    </w:p>
    <w:p>
      <w:pPr>
        <w:pStyle w:val="11"/>
        <w:keepNext/>
        <w:keepLines w:val="0"/>
        <w:pageBreakBefore w:val="0"/>
        <w:widowControl w:val="0"/>
        <w:numPr>
          <w:ilvl w:val="0"/>
          <w:numId w:val="2"/>
        </w:numPr>
        <w:kinsoku/>
        <w:wordWrap/>
        <w:overflowPunct/>
        <w:topLinePunct w:val="0"/>
        <w:autoSpaceDE/>
        <w:autoSpaceDN/>
        <w:bidi w:val="0"/>
        <w:adjustRightInd/>
        <w:snapToGrid/>
        <w:spacing w:before="0" w:after="0" w:line="560" w:lineRule="exact"/>
        <w:ind w:firstLine="643" w:firstLineChars="200"/>
        <w:jc w:val="both"/>
        <w:outlineLvl w:val="9"/>
        <w:rPr>
          <w:rFonts w:hint="default" w:ascii="Times New Roman" w:hAnsi="Times New Roman" w:eastAsia="仿宋_GB2312" w:cs="Times New Roman"/>
          <w:b w:val="0"/>
          <w:bCs w:val="0"/>
          <w:spacing w:val="0"/>
          <w:highlight w:val="none"/>
          <w:lang w:eastAsia="zh-CN"/>
        </w:rPr>
      </w:pPr>
      <w:r>
        <w:rPr>
          <w:rFonts w:hint="default" w:eastAsia="仿宋_GB2312" w:cs="Times New Roman"/>
          <w:sz w:val="32"/>
          <w:szCs w:val="32"/>
          <w:highlight w:val="none"/>
          <w:lang w:val="en-US" w:eastAsia="zh-CN"/>
        </w:rPr>
        <w:t>社会</w:t>
      </w:r>
      <w:r>
        <w:rPr>
          <w:rFonts w:hint="eastAsia" w:eastAsia="仿宋_GB2312" w:cs="Times New Roman"/>
          <w:sz w:val="32"/>
          <w:szCs w:val="32"/>
          <w:highlight w:val="none"/>
          <w:lang w:val="en-US" w:eastAsia="zh-CN"/>
        </w:rPr>
        <w:t>效益</w:t>
      </w:r>
      <w:r>
        <w:rPr>
          <w:rFonts w:hint="default" w:eastAsia="仿宋_GB2312" w:cs="Times New Roman"/>
          <w:sz w:val="32"/>
          <w:szCs w:val="32"/>
          <w:highlight w:val="none"/>
          <w:lang w:val="en-US" w:eastAsia="zh-CN"/>
        </w:rPr>
        <w:t>影响：</w:t>
      </w:r>
      <w:r>
        <w:rPr>
          <w:rFonts w:hint="default" w:ascii="Times New Roman" w:hAnsi="Times New Roman" w:eastAsia="仿宋_GB2312" w:cs="Times New Roman"/>
          <w:b w:val="0"/>
          <w:bCs w:val="0"/>
          <w:spacing w:val="0"/>
          <w:highlight w:val="none"/>
        </w:rPr>
        <w:t>考察项目对</w:t>
      </w:r>
      <w:r>
        <w:rPr>
          <w:rFonts w:hint="eastAsia" w:ascii="Times New Roman" w:hAnsi="Times New Roman" w:eastAsia="仿宋_GB2312" w:cs="Times New Roman"/>
          <w:b w:val="0"/>
          <w:bCs w:val="0"/>
          <w:spacing w:val="0"/>
          <w:highlight w:val="none"/>
          <w:lang w:eastAsia="zh-CN"/>
        </w:rPr>
        <w:t>强化基层统战民宗工作、促进社会和谐稳定、推动基层统战民宗工作以及提升广大信教群众满意度等</w:t>
      </w:r>
      <w:r>
        <w:rPr>
          <w:rFonts w:hint="default" w:ascii="Times New Roman" w:hAnsi="Times New Roman" w:eastAsia="仿宋_GB2312" w:cs="Times New Roman"/>
          <w:b w:val="0"/>
          <w:bCs w:val="0"/>
          <w:spacing w:val="0"/>
          <w:highlight w:val="none"/>
        </w:rPr>
        <w:t>方面的综合影响。</w:t>
      </w:r>
    </w:p>
    <w:p>
      <w:pPr>
        <w:spacing w:line="560" w:lineRule="exact"/>
        <w:ind w:firstLine="643" w:firstLineChars="200"/>
        <w:rPr>
          <w:rFonts w:hint="default" w:ascii="Times New Roman" w:hAnsi="Times New Roman" w:cs="Times New Roman"/>
        </w:rPr>
      </w:pPr>
      <w:r>
        <w:rPr>
          <w:rFonts w:hint="default" w:ascii="Times New Roman" w:hAnsi="Times New Roman" w:eastAsia="楷体_GB2312" w:cs="Times New Roman"/>
          <w:b/>
          <w:bCs/>
          <w:sz w:val="32"/>
          <w:szCs w:val="32"/>
        </w:rPr>
        <w:t>（二）绩效评价原则、评价指标体系（详情见表1）、评价方法、评价标准。</w:t>
      </w:r>
    </w:p>
    <w:p>
      <w:pPr>
        <w:pStyle w:val="11"/>
        <w:widowControl w:val="0"/>
        <w:spacing w:before="0" w:after="0" w:line="560" w:lineRule="exact"/>
        <w:ind w:firstLine="643" w:firstLineChars="200"/>
        <w:jc w:val="both"/>
        <w:outlineLvl w:val="9"/>
        <w:rPr>
          <w:rFonts w:hint="default" w:ascii="Times New Roman" w:hAnsi="Times New Roman" w:eastAsia="仿宋_GB2312" w:cs="Times New Roman"/>
          <w:b/>
          <w:bCs/>
        </w:rPr>
      </w:pPr>
      <w:r>
        <w:rPr>
          <w:rFonts w:hint="default" w:ascii="Times New Roman" w:hAnsi="Times New Roman" w:eastAsia="仿宋_GB2312" w:cs="Times New Roman"/>
          <w:b/>
          <w:bCs/>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rPr>
        <w:t>绩效评价原则</w:t>
      </w:r>
    </w:p>
    <w:p>
      <w:pPr>
        <w:spacing w:line="56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本次项目绩效评价遵循以下基本原则：</w:t>
      </w:r>
    </w:p>
    <w:p>
      <w:pPr>
        <w:pStyle w:val="11"/>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（1）科学公正。绩效评价应当运用科学合理的方法，按照规范的程序，对项目绩效进行客观、公正的反映。</w:t>
      </w:r>
    </w:p>
    <w:p>
      <w:pPr>
        <w:pStyle w:val="11"/>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（2）统筹兼顾。单位自评、部门评价和财政评价应职责明确，各有侧重，相互衔接。单位自评应由项目单位自主实施，即“谁支出、谁自评”。部门评价和财政评价应在单位自评的基础上开展。</w:t>
      </w:r>
    </w:p>
    <w:p>
      <w:pPr>
        <w:pStyle w:val="11"/>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（3）激励约束。绩效评价结果应与预算安排、政策调整、改进管理实质性挂钩，体现奖优罚劣和激励相容导向，有效要安排、低效要压减、无效要问责。</w:t>
      </w:r>
    </w:p>
    <w:p>
      <w:pPr>
        <w:pStyle w:val="11"/>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（4）公开透明。绩效评价结果应依法依规公开，并自觉接受社会监督。</w:t>
      </w:r>
    </w:p>
    <w:p>
      <w:pPr>
        <w:pStyle w:val="11"/>
        <w:widowControl w:val="0"/>
        <w:spacing w:before="0" w:after="0" w:line="560" w:lineRule="exact"/>
        <w:ind w:firstLine="643" w:firstLineChars="200"/>
        <w:jc w:val="both"/>
        <w:outlineLvl w:val="9"/>
        <w:rPr>
          <w:rFonts w:hint="default" w:ascii="Times New Roman" w:hAnsi="Times New Roman" w:eastAsia="仿宋_GB2312" w:cs="Times New Roman"/>
          <w:b/>
          <w:bCs/>
        </w:rPr>
      </w:pPr>
      <w:r>
        <w:rPr>
          <w:rFonts w:hint="default" w:ascii="Times New Roman" w:hAnsi="Times New Roman" w:eastAsia="仿宋_GB2312" w:cs="Times New Roman"/>
          <w:b/>
          <w:bCs/>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rPr>
        <w:t>评价指标体系</w:t>
      </w:r>
    </w:p>
    <w:p>
      <w:pPr>
        <w:spacing w:line="560" w:lineRule="exact"/>
        <w:ind w:firstLine="708" w:firstLineChars="200"/>
        <w:rPr>
          <w:rFonts w:hint="default" w:ascii="Times New Roman" w:hAnsi="Times New Roman"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（1）确定评价指标</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（2）确定权重</w:t>
      </w:r>
    </w:p>
    <w:p>
      <w:pPr>
        <w:spacing w:line="560" w:lineRule="exact"/>
        <w:ind w:firstLine="708" w:firstLineChars="200"/>
        <w:rPr>
          <w:rFonts w:hint="default" w:ascii="Times New Roman" w:hAnsi="Times New Roman" w:eastAsia="仿宋_GB2312" w:cs="Times New Roman"/>
          <w:color w:val="000000"/>
          <w:spacing w:val="17"/>
          <w:sz w:val="32"/>
          <w:szCs w:val="32"/>
          <w:lang w:eastAsia="zh-CN"/>
        </w:rPr>
      </w:pPr>
      <w:r>
        <w:rPr>
          <w:rFonts w:hint="default" w:ascii="Times New Roman" w:hAnsi="Times New Roman" w:eastAsia="仿宋_GB2312" w:cs="Times New Roman"/>
          <w:color w:val="000000"/>
          <w:spacing w:val="17"/>
          <w:sz w:val="32"/>
          <w:szCs w:val="32"/>
        </w:rPr>
        <w:t>确定各个指标相对于项目总体绩效的权重分值。在绩效评价指标体系中，项目决策权重为20分，项目过程权重为20分，项目产出权重为40分，项目效益权重为20分。</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（3）确定指标标准值</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11"/>
        <w:spacing w:before="0" w:after="0" w:line="560" w:lineRule="exact"/>
        <w:ind w:firstLine="708" w:firstLineChars="200"/>
        <w:jc w:val="both"/>
        <w:rPr>
          <w:rFonts w:hint="default" w:ascii="Times New Roman" w:hAnsi="Times New Roman" w:eastAsia="仿宋_GB2312" w:cs="Times New Roman"/>
          <w:b w:val="0"/>
          <w:bCs w:val="0"/>
          <w:color w:val="000000"/>
          <w:spacing w:val="17"/>
          <w:kern w:val="2"/>
        </w:rPr>
      </w:pPr>
      <w:r>
        <w:rPr>
          <w:rFonts w:hint="default" w:ascii="Times New Roman" w:hAnsi="Times New Roman" w:eastAsia="仿宋_GB2312" w:cs="Times New Roman"/>
          <w:b w:val="0"/>
          <w:bCs w:val="0"/>
          <w:color w:val="000000"/>
          <w:spacing w:val="17"/>
          <w:kern w:val="2"/>
        </w:rPr>
        <w:t>绩效评价总分值100分，根据综合评分结果，90（含）-100分为优、80（含）-90分为良、60（含）-80分为中、60分以下为差。</w:t>
      </w:r>
    </w:p>
    <w:p>
      <w:pPr>
        <w:pStyle w:val="11"/>
        <w:widowControl w:val="0"/>
        <w:spacing w:before="0" w:after="0" w:line="560" w:lineRule="exact"/>
        <w:ind w:firstLine="708" w:firstLineChars="200"/>
        <w:jc w:val="both"/>
        <w:outlineLvl w:val="9"/>
        <w:rPr>
          <w:rFonts w:hint="default" w:ascii="Times New Roman" w:hAnsi="Times New Roman" w:eastAsia="仿宋_GB2312" w:cs="Times New Roman"/>
          <w:b w:val="0"/>
          <w:bCs w:val="0"/>
          <w:color w:val="000000"/>
          <w:spacing w:val="17"/>
        </w:rPr>
      </w:pPr>
      <w:r>
        <w:rPr>
          <w:rFonts w:hint="default" w:ascii="Times New Roman" w:hAnsi="Times New Roman" w:eastAsia="仿宋_GB2312" w:cs="Times New Roman"/>
          <w:b w:val="0"/>
          <w:bCs w:val="0"/>
          <w:color w:val="000000"/>
          <w:spacing w:val="17"/>
        </w:rPr>
        <w:t>具体评价指标体系详情见附件1</w:t>
      </w:r>
    </w:p>
    <w:p>
      <w:pPr>
        <w:pStyle w:val="11"/>
        <w:widowControl w:val="0"/>
        <w:spacing w:before="0" w:after="0" w:line="560" w:lineRule="exact"/>
        <w:ind w:firstLine="643" w:firstLineChars="200"/>
        <w:jc w:val="both"/>
        <w:outlineLvl w:val="9"/>
        <w:rPr>
          <w:rFonts w:hint="default" w:ascii="Times New Roman" w:hAnsi="Times New Roman" w:eastAsia="仿宋_GB2312" w:cs="Times New Roman"/>
          <w:b/>
          <w:bCs/>
        </w:rPr>
      </w:pPr>
      <w:r>
        <w:rPr>
          <w:rFonts w:hint="default" w:ascii="Times New Roman" w:hAnsi="Times New Roman" w:eastAsia="仿宋_GB2312" w:cs="Times New Roman"/>
          <w:b/>
          <w:bCs/>
        </w:rPr>
        <w:t>3</w:t>
      </w:r>
      <w:r>
        <w:rPr>
          <w:rFonts w:hint="default" w:ascii="Times New Roman" w:hAnsi="Times New Roman" w:eastAsia="仿宋_GB2312" w:cs="Times New Roman"/>
          <w:b/>
          <w:bCs/>
          <w:lang w:val="en-US" w:eastAsia="zh-CN"/>
        </w:rPr>
        <w:t>.</w:t>
      </w:r>
      <w:r>
        <w:rPr>
          <w:rFonts w:hint="default" w:ascii="Times New Roman" w:hAnsi="Times New Roman" w:eastAsia="仿宋_GB2312" w:cs="Times New Roman"/>
          <w:b/>
          <w:bCs/>
        </w:rPr>
        <w:t>绩效评价方法</w:t>
      </w:r>
    </w:p>
    <w:p>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绩效评价从项目决策、项目过程、项目产出、项目效益四个维度进行评价。评价对象为项目目标实施情况，  评价核心为资金的支出完成情况和项目的产出效益。</w:t>
      </w:r>
    </w:p>
    <w:p>
      <w:pPr>
        <w:spacing w:line="560" w:lineRule="exact"/>
        <w:ind w:firstLine="708" w:firstLineChars="200"/>
        <w:rPr>
          <w:rFonts w:eastAsia="仿宋_GB2312"/>
          <w:color w:val="000000"/>
          <w:spacing w:val="17"/>
          <w:sz w:val="32"/>
          <w:szCs w:val="32"/>
          <w:highlight w:val="none"/>
        </w:rPr>
      </w:pPr>
      <w:r>
        <w:rPr>
          <w:rFonts w:hint="eastAsia" w:eastAsia="仿宋_GB2312"/>
          <w:color w:val="000000"/>
          <w:spacing w:val="17"/>
          <w:sz w:val="32"/>
          <w:szCs w:val="32"/>
          <w:highlight w:val="none"/>
        </w:rPr>
        <w:t>本次项目支出绩效自评采用</w:t>
      </w:r>
      <w:r>
        <w:rPr>
          <w:rFonts w:hint="eastAsia" w:eastAsia="仿宋_GB2312"/>
          <w:color w:val="000000"/>
          <w:spacing w:val="17"/>
          <w:sz w:val="32"/>
          <w:szCs w:val="32"/>
          <w:highlight w:val="none"/>
          <w:lang w:eastAsia="zh-CN"/>
        </w:rPr>
        <w:t>公众评判</w:t>
      </w:r>
      <w:r>
        <w:rPr>
          <w:rFonts w:hint="eastAsia" w:eastAsia="仿宋_GB2312"/>
          <w:color w:val="000000"/>
          <w:spacing w:val="17"/>
          <w:sz w:val="32"/>
          <w:szCs w:val="32"/>
          <w:highlight w:val="none"/>
        </w:rPr>
        <w:t>方法，原因： 通过</w:t>
      </w:r>
      <w:r>
        <w:rPr>
          <w:rFonts w:hint="eastAsia" w:eastAsia="仿宋_GB2312"/>
          <w:color w:val="000000"/>
          <w:spacing w:val="17"/>
          <w:sz w:val="32"/>
          <w:szCs w:val="32"/>
          <w:highlight w:val="none"/>
          <w:lang w:eastAsia="zh-CN"/>
        </w:rPr>
        <w:t>对享受生活补助的宗教人士进</w:t>
      </w:r>
      <w:bookmarkStart w:id="42" w:name="_GoBack"/>
      <w:bookmarkEnd w:id="42"/>
      <w:r>
        <w:rPr>
          <w:rFonts w:hint="eastAsia" w:eastAsia="仿宋_GB2312"/>
          <w:color w:val="000000"/>
          <w:spacing w:val="17"/>
          <w:sz w:val="32"/>
          <w:szCs w:val="32"/>
          <w:highlight w:val="none"/>
          <w:lang w:eastAsia="zh-CN"/>
        </w:rPr>
        <w:t>行走谈</w:t>
      </w:r>
      <w:r>
        <w:rPr>
          <w:rFonts w:hint="eastAsia" w:eastAsia="仿宋_GB2312"/>
          <w:color w:val="000000"/>
          <w:spacing w:val="17"/>
          <w:sz w:val="32"/>
          <w:szCs w:val="32"/>
          <w:highlight w:val="none"/>
        </w:rPr>
        <w:t>方式，了解</w:t>
      </w:r>
      <w:r>
        <w:rPr>
          <w:rFonts w:hint="eastAsia" w:eastAsia="仿宋_GB2312"/>
          <w:color w:val="000000"/>
          <w:spacing w:val="17"/>
          <w:sz w:val="32"/>
          <w:szCs w:val="32"/>
          <w:highlight w:val="none"/>
          <w:lang w:eastAsia="zh-CN"/>
        </w:rPr>
        <w:t>教职人员</w:t>
      </w:r>
      <w:r>
        <w:rPr>
          <w:rFonts w:hint="eastAsia" w:eastAsia="仿宋_GB2312"/>
          <w:color w:val="000000"/>
          <w:spacing w:val="17"/>
          <w:sz w:val="32"/>
          <w:szCs w:val="32"/>
          <w:highlight w:val="none"/>
        </w:rPr>
        <w:t>对</w:t>
      </w:r>
      <w:r>
        <w:rPr>
          <w:rFonts w:hint="eastAsia" w:eastAsia="仿宋_GB2312"/>
          <w:color w:val="000000"/>
          <w:spacing w:val="17"/>
          <w:sz w:val="32"/>
          <w:szCs w:val="32"/>
          <w:highlight w:val="none"/>
          <w:lang w:eastAsia="zh-CN"/>
        </w:rPr>
        <w:t>生活补助</w:t>
      </w:r>
      <w:r>
        <w:rPr>
          <w:rFonts w:hint="eastAsia" w:eastAsia="仿宋_GB2312"/>
          <w:color w:val="000000"/>
          <w:spacing w:val="17"/>
          <w:sz w:val="32"/>
          <w:szCs w:val="32"/>
          <w:highlight w:val="none"/>
        </w:rPr>
        <w:t>的满意程度，查找存在的问题，加以改进和调整。</w:t>
      </w:r>
    </w:p>
    <w:p>
      <w:pPr>
        <w:pStyle w:val="11"/>
        <w:widowControl w:val="0"/>
        <w:spacing w:before="0" w:after="0" w:line="560" w:lineRule="exact"/>
        <w:ind w:firstLine="643" w:firstLineChars="200"/>
        <w:jc w:val="both"/>
        <w:outlineLvl w:val="9"/>
        <w:rPr>
          <w:rFonts w:hint="default" w:ascii="Times New Roman" w:hAnsi="Times New Roman" w:eastAsia="仿宋_GB2312" w:cs="Times New Roman"/>
          <w:b/>
          <w:bCs/>
        </w:rPr>
      </w:pPr>
      <w:r>
        <w:rPr>
          <w:rFonts w:hint="default" w:ascii="Times New Roman" w:hAnsi="Times New Roman" w:eastAsia="仿宋_GB2312" w:cs="Times New Roman"/>
          <w:b/>
          <w:bCs/>
        </w:rPr>
        <w:t>4</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rPr>
        <w:t>评价标准</w:t>
      </w:r>
    </w:p>
    <w:p>
      <w:pPr>
        <w:pStyle w:val="11"/>
        <w:keepNext/>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outlineLvl w:val="9"/>
        <w:rPr>
          <w:rFonts w:hint="eastAsia" w:ascii="Times New Roman" w:hAnsi="Times New Roman" w:eastAsia="仿宋_GB2312" w:cs="Times New Roman"/>
          <w:b w:val="0"/>
          <w:bCs w:val="0"/>
          <w:spacing w:val="0"/>
          <w:lang w:eastAsia="zh-CN"/>
        </w:rPr>
      </w:pPr>
      <w:r>
        <w:rPr>
          <w:rFonts w:hint="default" w:ascii="Times New Roman" w:hAnsi="Times New Roman" w:eastAsia="仿宋_GB2312" w:cs="Times New Roman"/>
          <w:b w:val="0"/>
          <w:bCs w:val="0"/>
          <w:spacing w:val="0"/>
        </w:rPr>
        <w:t>绩效评价标准通常包括计划标准、行业标准、历史标准等，用于对绩效指标完成情况进行比较、分析、评价。本次</w:t>
      </w:r>
      <w:r>
        <w:rPr>
          <w:rFonts w:hint="eastAsia" w:ascii="Times New Roman" w:hAnsi="Times New Roman" w:eastAsia="仿宋_GB2312" w:cs="Times New Roman"/>
          <w:b w:val="0"/>
          <w:bCs w:val="0"/>
          <w:spacing w:val="0"/>
          <w:lang w:val="en-US" w:eastAsia="zh-CN"/>
        </w:rPr>
        <w:t>项目</w:t>
      </w:r>
      <w:r>
        <w:rPr>
          <w:rFonts w:hint="default" w:ascii="Times New Roman" w:hAnsi="Times New Roman" w:eastAsia="仿宋_GB2312" w:cs="Times New Roman"/>
          <w:b w:val="0"/>
          <w:bCs w:val="0"/>
          <w:spacing w:val="0"/>
        </w:rPr>
        <w:t>评价主要采用了</w:t>
      </w:r>
      <w:r>
        <w:rPr>
          <w:rFonts w:hint="eastAsia" w:ascii="Times New Roman" w:hAnsi="Times New Roman" w:eastAsia="仿宋_GB2312" w:cs="Times New Roman"/>
          <w:b w:val="0"/>
          <w:bCs w:val="0"/>
          <w:spacing w:val="0"/>
          <w:highlight w:val="none"/>
          <w:lang w:val="en-US" w:eastAsia="zh-CN"/>
        </w:rPr>
        <w:t>计划</w:t>
      </w:r>
      <w:r>
        <w:rPr>
          <w:rFonts w:hint="default" w:ascii="Times New Roman" w:hAnsi="Times New Roman" w:eastAsia="仿宋_GB2312" w:cs="Times New Roman"/>
          <w:b w:val="0"/>
          <w:bCs w:val="0"/>
          <w:spacing w:val="0"/>
        </w:rPr>
        <w:t>标准</w:t>
      </w:r>
      <w:r>
        <w:rPr>
          <w:rFonts w:hint="eastAsia" w:ascii="Times New Roman" w:hAnsi="Times New Roman" w:eastAsia="仿宋_GB2312" w:cs="Times New Roman"/>
          <w:b w:val="0"/>
          <w:bCs w:val="0"/>
          <w:spacing w:val="0"/>
          <w:lang w:val="en-US" w:eastAsia="zh-CN"/>
        </w:rPr>
        <w:t>和历史标准</w:t>
      </w:r>
      <w:r>
        <w:rPr>
          <w:rFonts w:hint="default" w:ascii="Times New Roman" w:hAnsi="Times New Roman" w:eastAsia="仿宋_GB2312" w:cs="Times New Roman"/>
          <w:b w:val="0"/>
          <w:bCs w:val="0"/>
          <w:spacing w:val="0"/>
        </w:rPr>
        <w:t>。</w:t>
      </w:r>
      <w:r>
        <w:rPr>
          <w:rFonts w:hint="eastAsia" w:ascii="Times New Roman" w:hAnsi="Times New Roman" w:eastAsia="仿宋_GB2312" w:cs="Times New Roman"/>
          <w:b w:val="0"/>
          <w:bCs w:val="0"/>
          <w:spacing w:val="0"/>
          <w:lang w:eastAsia="zh-CN"/>
        </w:rPr>
        <w:t>原因是计划标准能确保标准既科学又实用，能够全面、准确的反映评价对象的实际情况；</w:t>
      </w:r>
      <w:r>
        <w:rPr>
          <w:rFonts w:hint="eastAsia" w:ascii="Times New Roman" w:hAnsi="Times New Roman" w:eastAsia="仿宋_GB2312" w:cs="Times New Roman"/>
          <w:b w:val="0"/>
          <w:bCs w:val="0"/>
          <w:spacing w:val="0"/>
          <w:lang w:val="en-US" w:eastAsia="zh-CN"/>
        </w:rPr>
        <w:t>历史标准</w:t>
      </w:r>
      <w:r>
        <w:rPr>
          <w:rFonts w:hint="eastAsia" w:ascii="Times New Roman" w:hAnsi="Times New Roman" w:eastAsia="仿宋_GB2312" w:cs="Times New Roman"/>
          <w:b w:val="0"/>
          <w:bCs w:val="0"/>
          <w:spacing w:val="0"/>
          <w:lang w:eastAsia="zh-CN"/>
        </w:rPr>
        <w:t>参照历史数据</w:t>
      </w:r>
      <w:r>
        <w:rPr>
          <w:rFonts w:hint="default" w:ascii="Times New Roman" w:hAnsi="Times New Roman" w:eastAsia="仿宋_GB2312" w:cs="Times New Roman"/>
          <w:b w:val="0"/>
          <w:bCs w:val="0"/>
        </w:rPr>
        <w:t>体</w:t>
      </w:r>
      <w:r>
        <w:rPr>
          <w:rFonts w:hint="eastAsia" w:ascii="Times New Roman" w:hAnsi="Times New Roman" w:eastAsia="仿宋_GB2312" w:cs="Times New Roman"/>
          <w:b w:val="0"/>
          <w:bCs w:val="0"/>
          <w:spacing w:val="0"/>
          <w:lang w:eastAsia="zh-CN"/>
        </w:rPr>
        <w:t>现绩效改进的原则，在可实现的条件下应当确定相对较高的评价标准。</w:t>
      </w:r>
    </w:p>
    <w:p>
      <w:pPr>
        <w:pStyle w:val="11"/>
        <w:numPr>
          <w:ilvl w:val="0"/>
          <w:numId w:val="3"/>
        </w:numPr>
        <w:spacing w:before="0" w:after="0" w:line="560" w:lineRule="exact"/>
        <w:ind w:firstLine="711" w:firstLineChars="200"/>
        <w:jc w:val="both"/>
        <w:rPr>
          <w:rFonts w:hint="default" w:ascii="Times New Roman" w:hAnsi="Times New Roman" w:eastAsia="楷体" w:cs="Times New Roman"/>
          <w:color w:val="000000"/>
          <w:spacing w:val="17"/>
        </w:rPr>
      </w:pPr>
      <w:r>
        <w:rPr>
          <w:rFonts w:hint="default" w:ascii="Times New Roman" w:hAnsi="Times New Roman" w:eastAsia="楷体" w:cs="Times New Roman"/>
          <w:color w:val="000000"/>
          <w:spacing w:val="17"/>
        </w:rPr>
        <w:t>绩效评价工作过程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kern w:val="28"/>
          <w:sz w:val="32"/>
          <w:szCs w:val="32"/>
          <w:lang w:val="en-US" w:eastAsia="zh-CN" w:bidi="ar-SA"/>
        </w:rPr>
      </w:pPr>
      <w:r>
        <w:rPr>
          <w:rFonts w:hint="default" w:ascii="Times New Roman" w:hAnsi="Times New Roman" w:eastAsia="仿宋_GB2312" w:cs="Times New Roman"/>
          <w:b w:val="0"/>
          <w:bCs w:val="0"/>
          <w:kern w:val="28"/>
          <w:sz w:val="32"/>
          <w:szCs w:val="32"/>
          <w:lang w:val="en-US" w:eastAsia="zh-CN" w:bidi="ar-SA"/>
        </w:rPr>
        <w:t>（1）前期准备与规划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kern w:val="28"/>
          <w:sz w:val="32"/>
          <w:szCs w:val="32"/>
          <w:lang w:val="en-US" w:eastAsia="zh-CN" w:bidi="ar-SA"/>
        </w:rPr>
      </w:pPr>
      <w:r>
        <w:rPr>
          <w:rFonts w:hint="default" w:ascii="Times New Roman" w:hAnsi="Times New Roman" w:eastAsia="仿宋_GB2312" w:cs="Times New Roman"/>
          <w:b w:val="0"/>
          <w:bCs w:val="0"/>
          <w:kern w:val="28"/>
          <w:sz w:val="32"/>
          <w:szCs w:val="32"/>
          <w:lang w:val="en-US" w:eastAsia="zh-CN" w:bidi="ar-SA"/>
        </w:rP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kern w:val="28"/>
          <w:sz w:val="32"/>
          <w:szCs w:val="32"/>
          <w:lang w:val="en-US" w:eastAsia="zh-CN" w:bidi="ar-SA"/>
        </w:rPr>
      </w:pPr>
      <w:r>
        <w:rPr>
          <w:rFonts w:hint="default" w:ascii="Times New Roman" w:hAnsi="Times New Roman" w:eastAsia="仿宋_GB2312" w:cs="Times New Roman"/>
          <w:b w:val="0"/>
          <w:bCs w:val="0"/>
          <w:kern w:val="28"/>
          <w:sz w:val="32"/>
          <w:szCs w:val="32"/>
          <w:lang w:val="en-US" w:eastAsia="zh-CN" w:bidi="ar-SA"/>
        </w:rPr>
        <w:t>（2）指标体系构建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kern w:val="28"/>
          <w:sz w:val="32"/>
          <w:szCs w:val="32"/>
          <w:lang w:val="en-US" w:eastAsia="zh-CN" w:bidi="ar-SA"/>
        </w:rPr>
      </w:pPr>
      <w:r>
        <w:rPr>
          <w:rFonts w:hint="default" w:ascii="Times New Roman" w:hAnsi="Times New Roman" w:eastAsia="仿宋_GB2312" w:cs="Times New Roman"/>
          <w:b w:val="0"/>
          <w:bCs w:val="0"/>
          <w:kern w:val="28"/>
          <w:sz w:val="32"/>
          <w:szCs w:val="32"/>
          <w:lang w:val="en-US" w:eastAsia="zh-CN" w:bidi="ar-SA"/>
        </w:rP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kern w:val="28"/>
          <w:sz w:val="32"/>
          <w:szCs w:val="32"/>
          <w:lang w:val="en-US" w:eastAsia="zh-CN" w:bidi="ar-SA"/>
        </w:rPr>
      </w:pPr>
      <w:r>
        <w:rPr>
          <w:rFonts w:hint="default" w:ascii="Times New Roman" w:hAnsi="Times New Roman" w:eastAsia="仿宋_GB2312" w:cs="Times New Roman"/>
          <w:b w:val="0"/>
          <w:bCs w:val="0"/>
          <w:kern w:val="28"/>
          <w:sz w:val="32"/>
          <w:szCs w:val="32"/>
          <w:lang w:val="en-US" w:eastAsia="zh-CN" w:bidi="ar-SA"/>
        </w:rPr>
        <w:t>（3）数据收集与整理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kern w:val="28"/>
          <w:sz w:val="32"/>
          <w:szCs w:val="32"/>
          <w:lang w:val="en-US" w:eastAsia="zh-CN" w:bidi="ar-SA"/>
        </w:rPr>
      </w:pPr>
      <w:r>
        <w:rPr>
          <w:rFonts w:hint="default" w:ascii="Times New Roman" w:hAnsi="Times New Roman" w:eastAsia="仿宋_GB2312" w:cs="Times New Roman"/>
          <w:b w:val="0"/>
          <w:bCs w:val="0"/>
          <w:kern w:val="28"/>
          <w:sz w:val="32"/>
          <w:szCs w:val="32"/>
          <w:lang w:val="en-US" w:eastAsia="zh-CN" w:bidi="ar-SA"/>
        </w:rP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kern w:val="28"/>
          <w:sz w:val="32"/>
          <w:szCs w:val="32"/>
          <w:lang w:val="en-US" w:eastAsia="zh-CN" w:bidi="ar-SA"/>
        </w:rPr>
      </w:pPr>
      <w:r>
        <w:rPr>
          <w:rFonts w:hint="default" w:ascii="Times New Roman" w:hAnsi="Times New Roman" w:eastAsia="仿宋_GB2312" w:cs="Times New Roman"/>
          <w:b w:val="0"/>
          <w:bCs w:val="0"/>
          <w:kern w:val="28"/>
          <w:sz w:val="32"/>
          <w:szCs w:val="32"/>
          <w:lang w:val="en-US" w:eastAsia="zh-CN" w:bidi="ar-SA"/>
        </w:rPr>
        <w:t>（4）数据分析与评估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kern w:val="28"/>
          <w:sz w:val="32"/>
          <w:szCs w:val="32"/>
          <w:lang w:val="en-US" w:eastAsia="zh-CN" w:bidi="ar-SA"/>
        </w:rPr>
      </w:pPr>
      <w:r>
        <w:rPr>
          <w:rFonts w:hint="default" w:ascii="Times New Roman" w:hAnsi="Times New Roman" w:eastAsia="仿宋_GB2312" w:cs="Times New Roman"/>
          <w:b w:val="0"/>
          <w:bCs w:val="0"/>
          <w:kern w:val="28"/>
          <w:sz w:val="32"/>
          <w:szCs w:val="32"/>
          <w:lang w:val="en-US" w:eastAsia="zh-CN" w:bidi="ar-SA"/>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kern w:val="28"/>
          <w:sz w:val="32"/>
          <w:szCs w:val="32"/>
          <w:lang w:val="en-US" w:eastAsia="zh-CN" w:bidi="ar-SA"/>
        </w:rPr>
      </w:pPr>
      <w:r>
        <w:rPr>
          <w:rFonts w:hint="default" w:ascii="Times New Roman" w:hAnsi="Times New Roman" w:eastAsia="仿宋_GB2312" w:cs="Times New Roman"/>
          <w:b w:val="0"/>
          <w:bCs w:val="0"/>
          <w:kern w:val="28"/>
          <w:sz w:val="32"/>
          <w:szCs w:val="32"/>
          <w:lang w:val="en-US" w:eastAsia="zh-CN" w:bidi="ar-SA"/>
        </w:rPr>
        <w:t>（5）报告撰写与反馈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kern w:val="28"/>
          <w:sz w:val="32"/>
          <w:szCs w:val="32"/>
          <w:lang w:val="en-US" w:eastAsia="zh-CN" w:bidi="ar-SA"/>
        </w:rPr>
      </w:pPr>
      <w:r>
        <w:rPr>
          <w:rFonts w:hint="default" w:ascii="Times New Roman" w:hAnsi="Times New Roman" w:eastAsia="仿宋_GB2312" w:cs="Times New Roman"/>
          <w:b w:val="0"/>
          <w:bCs w:val="0"/>
          <w:kern w:val="28"/>
          <w:sz w:val="32"/>
          <w:szCs w:val="32"/>
          <w:lang w:val="en-US" w:eastAsia="zh-CN" w:bidi="ar-SA"/>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kern w:val="28"/>
          <w:sz w:val="32"/>
          <w:szCs w:val="32"/>
          <w:lang w:val="en-US" w:eastAsia="zh-CN" w:bidi="ar-SA"/>
        </w:rPr>
      </w:pPr>
      <w:r>
        <w:rPr>
          <w:rFonts w:hint="default" w:ascii="Times New Roman" w:hAnsi="Times New Roman" w:eastAsia="仿宋_GB2312" w:cs="Times New Roman"/>
          <w:b w:val="0"/>
          <w:bCs w:val="0"/>
          <w:kern w:val="28"/>
          <w:sz w:val="32"/>
          <w:szCs w:val="32"/>
          <w:lang w:val="en-US" w:eastAsia="zh-CN" w:bidi="ar-SA"/>
        </w:rPr>
        <w:t>（6）后续跟踪与改进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kern w:val="28"/>
          <w:sz w:val="32"/>
          <w:szCs w:val="32"/>
          <w:lang w:val="en-US" w:eastAsia="zh-CN" w:bidi="ar-SA"/>
        </w:rPr>
      </w:pPr>
      <w:r>
        <w:rPr>
          <w:rFonts w:hint="default" w:ascii="Times New Roman" w:hAnsi="Times New Roman" w:eastAsia="仿宋_GB2312" w:cs="Times New Roman"/>
          <w:b w:val="0"/>
          <w:bCs w:val="0"/>
          <w:kern w:val="28"/>
          <w:sz w:val="32"/>
          <w:szCs w:val="32"/>
          <w:lang w:val="en-US" w:eastAsia="zh-CN" w:bidi="ar-SA"/>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numPr>
          <w:ilvl w:val="0"/>
          <w:numId w:val="4"/>
        </w:num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综合评价情况及评价结论（附相关评分表）</w:t>
      </w:r>
    </w:p>
    <w:p>
      <w:pPr>
        <w:pStyle w:val="11"/>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一</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评价情况</w:t>
      </w:r>
    </w:p>
    <w:p>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b w:val="0"/>
          <w:bCs w:val="0"/>
          <w:kern w:val="28"/>
          <w:sz w:val="32"/>
          <w:szCs w:val="32"/>
          <w:lang w:val="en-US" w:eastAsia="zh-CN" w:bidi="ar-SA"/>
        </w:rPr>
      </w:pPr>
      <w:r>
        <w:rPr>
          <w:rFonts w:hint="default" w:ascii="Times New Roman" w:hAnsi="Times New Roman" w:eastAsia="仿宋_GB2312" w:cs="Times New Roman"/>
          <w:b w:val="0"/>
          <w:bCs w:val="0"/>
          <w:kern w:val="28"/>
          <w:sz w:val="32"/>
          <w:szCs w:val="32"/>
          <w:lang w:val="en-US" w:eastAsia="zh-CN" w:bidi="ar-SA"/>
        </w:rPr>
        <w:t>本项目的综合评价基于对项目各方面绩效的深入分析与评估。从项目目标的达成情况来看，巴财行【2023】58号2024年宗教教职人员生活补贴资金在按时发放生活补助，提高爱国宗教人士生活水平，服务好宗教领域，引导社会稳定等方面表现出色，达到了预期的标准与要求。同时，项目也在</w:t>
      </w:r>
      <w:r>
        <w:rPr>
          <w:rFonts w:hint="eastAsia" w:ascii="Times New Roman" w:hAnsi="Times New Roman" w:eastAsia="仿宋_GB2312" w:cs="Times New Roman"/>
          <w:b w:val="0"/>
          <w:bCs w:val="0"/>
          <w:kern w:val="28"/>
          <w:sz w:val="32"/>
          <w:szCs w:val="32"/>
          <w:lang w:val="en-US" w:eastAsia="zh-CN" w:bidi="ar-SA"/>
        </w:rPr>
        <w:t>我市宗教领域</w:t>
      </w:r>
      <w:r>
        <w:rPr>
          <w:rFonts w:hint="default" w:ascii="Times New Roman" w:hAnsi="Times New Roman" w:eastAsia="仿宋_GB2312" w:cs="Times New Roman"/>
          <w:b w:val="0"/>
          <w:bCs w:val="0"/>
          <w:kern w:val="28"/>
          <w:sz w:val="32"/>
          <w:szCs w:val="32"/>
          <w:lang w:val="en-US" w:eastAsia="zh-CN" w:bidi="ar-SA"/>
        </w:rPr>
        <w:t>取得了显著的成效，</w:t>
      </w:r>
      <w:r>
        <w:rPr>
          <w:rFonts w:hint="eastAsia" w:ascii="Times New Roman" w:hAnsi="Times New Roman" w:eastAsia="仿宋_GB2312" w:cs="Times New Roman"/>
          <w:b w:val="0"/>
          <w:bCs w:val="0"/>
          <w:kern w:val="28"/>
          <w:sz w:val="32"/>
          <w:szCs w:val="32"/>
          <w:lang w:val="en-US" w:eastAsia="zh-CN" w:bidi="ar-SA"/>
        </w:rPr>
        <w:t>及时发放生活补助，提高爱国宗教人生活水平 ，使他们感受到党和政府的关心关怀</w:t>
      </w:r>
      <w:r>
        <w:rPr>
          <w:rFonts w:hint="eastAsia" w:eastAsia="仿宋_GB2312" w:cs="Times New Roman"/>
          <w:b w:val="0"/>
          <w:bCs w:val="0"/>
          <w:kern w:val="28"/>
          <w:sz w:val="32"/>
          <w:szCs w:val="32"/>
          <w:lang w:val="en-US" w:eastAsia="zh-CN" w:bidi="ar-SA"/>
        </w:rPr>
        <w:t>，</w:t>
      </w:r>
      <w:r>
        <w:rPr>
          <w:rFonts w:hint="eastAsia" w:ascii="Times New Roman" w:hAnsi="Times New Roman" w:eastAsia="仿宋_GB2312" w:cs="Times New Roman"/>
          <w:b w:val="0"/>
          <w:bCs w:val="0"/>
          <w:kern w:val="28"/>
          <w:sz w:val="32"/>
          <w:szCs w:val="32"/>
          <w:lang w:val="en-US" w:eastAsia="zh-CN" w:bidi="ar-SA"/>
        </w:rPr>
        <w:t>服务好宗教领域，引导维护社会稳定</w:t>
      </w:r>
      <w:r>
        <w:rPr>
          <w:rFonts w:hint="default" w:ascii="Times New Roman" w:hAnsi="Times New Roman" w:eastAsia="仿宋_GB2312" w:cs="Times New Roman"/>
          <w:b w:val="0"/>
          <w:bCs w:val="0"/>
          <w:kern w:val="28"/>
          <w:sz w:val="32"/>
          <w:szCs w:val="32"/>
          <w:lang w:val="en-US" w:eastAsia="zh-CN" w:bidi="ar-SA"/>
        </w:rPr>
        <w:t>等。</w:t>
      </w:r>
    </w:p>
    <w:p>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b w:val="0"/>
          <w:bCs w:val="0"/>
          <w:kern w:val="28"/>
          <w:sz w:val="32"/>
          <w:szCs w:val="32"/>
          <w:lang w:val="en-US" w:eastAsia="zh-CN" w:bidi="ar-SA"/>
        </w:rPr>
      </w:pPr>
      <w:r>
        <w:rPr>
          <w:rFonts w:hint="default" w:ascii="Times New Roman" w:hAnsi="Times New Roman" w:eastAsia="仿宋_GB2312" w:cs="Times New Roman"/>
          <w:b w:val="0"/>
          <w:bCs w:val="0"/>
          <w:kern w:val="28"/>
          <w:sz w:val="32"/>
          <w:szCs w:val="32"/>
          <w:lang w:val="en-US" w:eastAsia="zh-CN" w:bidi="ar-SA"/>
        </w:rPr>
        <w:t>在项目管理方面，</w:t>
      </w:r>
      <w:r>
        <w:rPr>
          <w:rFonts w:hint="eastAsia" w:ascii="Times New Roman" w:hAnsi="Times New Roman" w:eastAsia="仿宋_GB2312" w:cs="Times New Roman"/>
          <w:b w:val="0"/>
          <w:bCs w:val="0"/>
          <w:kern w:val="28"/>
          <w:sz w:val="32"/>
          <w:szCs w:val="32"/>
          <w:lang w:val="en-US" w:eastAsia="zh-CN" w:bidi="ar-SA"/>
        </w:rPr>
        <w:t>库尔勒市委统战部</w:t>
      </w:r>
      <w:r>
        <w:rPr>
          <w:rFonts w:hint="default" w:ascii="Times New Roman" w:hAnsi="Times New Roman" w:eastAsia="仿宋_GB2312" w:cs="Times New Roman"/>
          <w:b w:val="0"/>
          <w:bCs w:val="0"/>
          <w:kern w:val="28"/>
          <w:sz w:val="32"/>
          <w:szCs w:val="32"/>
          <w:lang w:val="en-US" w:eastAsia="zh-CN" w:bidi="ar-SA"/>
        </w:rPr>
        <w:t>通过有效的规划、组织与协调，项目得以顺利实施，并在预算与时间上保持了良好的控制。</w:t>
      </w:r>
    </w:p>
    <w:p>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b w:val="0"/>
          <w:bCs w:val="0"/>
          <w:kern w:val="28"/>
          <w:sz w:val="32"/>
          <w:szCs w:val="32"/>
          <w:lang w:val="en-US" w:eastAsia="zh-CN" w:bidi="ar-SA"/>
        </w:rPr>
      </w:pPr>
      <w:r>
        <w:rPr>
          <w:rFonts w:hint="default" w:ascii="Times New Roman" w:hAnsi="Times New Roman" w:eastAsia="仿宋_GB2312" w:cs="Times New Roman"/>
          <w:b w:val="0"/>
          <w:bCs w:val="0"/>
          <w:kern w:val="28"/>
          <w:sz w:val="32"/>
          <w:szCs w:val="32"/>
          <w:lang w:val="en-US" w:eastAsia="zh-CN" w:bidi="ar-SA"/>
        </w:rPr>
        <w:t>从项目效益的角度来看，本项目不仅实现了预期的社会效益等方面产生了积极的影响。具体而言，宗教人士服务能力提升率等方面的提升，为项目的利益相关者带来了实实在在的利益。</w:t>
      </w:r>
    </w:p>
    <w:p>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b w:val="0"/>
          <w:bCs w:val="0"/>
          <w:kern w:val="28"/>
          <w:sz w:val="32"/>
          <w:szCs w:val="32"/>
          <w:lang w:val="en-US" w:eastAsia="zh-CN" w:bidi="ar-SA"/>
        </w:rPr>
      </w:pPr>
      <w:r>
        <w:rPr>
          <w:rFonts w:hint="default" w:ascii="Times New Roman" w:hAnsi="Times New Roman" w:eastAsia="仿宋_GB2312" w:cs="Times New Roman"/>
          <w:b w:val="0"/>
          <w:bCs w:val="0"/>
          <w:kern w:val="28"/>
          <w:sz w:val="32"/>
          <w:szCs w:val="32"/>
          <w:lang w:val="en-US" w:eastAsia="zh-CN" w:bidi="ar-SA"/>
        </w:rPr>
        <w:t>综上所述，巴财行【2023】58号2024年宗教教职人员生活补贴资金在绩效评价中表现出色，达到了项目的预期目标，并在多个方面取得了显著的成效。</w:t>
      </w:r>
    </w:p>
    <w:p>
      <w:pPr>
        <w:pStyle w:val="11"/>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二</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评价结论</w:t>
      </w:r>
    </w:p>
    <w:p>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lang w:eastAsia="zh-CN"/>
        </w:rPr>
      </w:pPr>
      <w:r>
        <w:rPr>
          <w:rFonts w:hint="default" w:ascii="Times New Roman" w:hAnsi="Times New Roman" w:eastAsia="仿宋_GB2312" w:cs="Times New Roman"/>
          <w:b w:val="0"/>
          <w:bCs w:val="0"/>
        </w:rPr>
        <w:t xml:space="preserve">运用绩效评价组制定的评价指标体系以及财政部《项目支出绩效评价管理办法》（财预〔2020〕10号）文件的评分标准，通过数据采集、问卷调查及访谈等方式，对本项目进行客观评价，最终评分结果：总得分为 </w:t>
      </w:r>
      <w:r>
        <w:rPr>
          <w:rFonts w:hint="eastAsia" w:ascii="Times New Roman" w:hAnsi="Times New Roman" w:eastAsia="仿宋_GB2312" w:cs="Times New Roman"/>
          <w:b w:val="0"/>
          <w:bCs w:val="0"/>
          <w:lang w:val="en-US" w:eastAsia="zh-CN"/>
        </w:rPr>
        <w:t>100</w:t>
      </w:r>
      <w:r>
        <w:rPr>
          <w:rFonts w:hint="default" w:ascii="Times New Roman" w:hAnsi="Times New Roman" w:eastAsia="仿宋_GB2312" w:cs="Times New Roman"/>
          <w:b w:val="0"/>
          <w:bCs w:val="0"/>
        </w:rPr>
        <w:t xml:space="preserve">分，属于“优”。其中，项目决策类指标权重为20分，得分为 </w:t>
      </w:r>
      <w:r>
        <w:rPr>
          <w:rFonts w:hint="eastAsia" w:ascii="Times New Roman" w:hAnsi="Times New Roman" w:eastAsia="仿宋_GB2312" w:cs="Times New Roman"/>
          <w:b w:val="0"/>
          <w:bCs w:val="0"/>
          <w:lang w:val="en-US" w:eastAsia="zh-CN"/>
        </w:rPr>
        <w:t>20</w:t>
      </w:r>
      <w:r>
        <w:rPr>
          <w:rFonts w:hint="default" w:ascii="Times New Roman" w:hAnsi="Times New Roman" w:eastAsia="仿宋_GB2312" w:cs="Times New Roman"/>
          <w:b w:val="0"/>
          <w:bCs w:val="0"/>
        </w:rPr>
        <w:t xml:space="preserve">分，得分率为 </w:t>
      </w:r>
      <w:r>
        <w:rPr>
          <w:rFonts w:hint="eastAsia" w:ascii="Times New Roman" w:hAnsi="Times New Roman" w:eastAsia="仿宋_GB2312" w:cs="Times New Roman"/>
          <w:b w:val="0"/>
          <w:bCs w:val="0"/>
          <w:lang w:val="en-US" w:eastAsia="zh-CN"/>
        </w:rPr>
        <w:t>100</w:t>
      </w:r>
      <w:r>
        <w:rPr>
          <w:rFonts w:hint="default" w:ascii="Times New Roman" w:hAnsi="Times New Roman" w:eastAsia="仿宋_GB2312" w:cs="Times New Roman"/>
          <w:b w:val="0"/>
          <w:bCs w:val="0"/>
        </w:rPr>
        <w:t>%。项目过程类指标权重为20分，得分为</w:t>
      </w:r>
      <w:r>
        <w:rPr>
          <w:rFonts w:hint="eastAsia" w:ascii="Times New Roman" w:hAnsi="Times New Roman" w:eastAsia="仿宋_GB2312" w:cs="Times New Roman"/>
          <w:b w:val="0"/>
          <w:bCs w:val="0"/>
          <w:lang w:val="en-US" w:eastAsia="zh-CN"/>
        </w:rPr>
        <w:t>20</w:t>
      </w:r>
      <w:r>
        <w:rPr>
          <w:rFonts w:hint="default" w:ascii="Times New Roman" w:hAnsi="Times New Roman" w:eastAsia="仿宋_GB2312" w:cs="Times New Roman"/>
          <w:b w:val="0"/>
          <w:bCs w:val="0"/>
        </w:rPr>
        <w:t>分，得分率为</w:t>
      </w:r>
      <w:r>
        <w:rPr>
          <w:rFonts w:hint="eastAsia" w:ascii="Times New Roman" w:hAnsi="Times New Roman" w:eastAsia="仿宋_GB2312" w:cs="Times New Roman"/>
          <w:b w:val="0"/>
          <w:bCs w:val="0"/>
          <w:lang w:val="en-US" w:eastAsia="zh-CN"/>
        </w:rPr>
        <w:t>100</w:t>
      </w:r>
      <w:r>
        <w:rPr>
          <w:rFonts w:hint="default" w:ascii="Times New Roman" w:hAnsi="Times New Roman" w:eastAsia="仿宋_GB2312" w:cs="Times New Roman"/>
          <w:b w:val="0"/>
          <w:bCs w:val="0"/>
        </w:rPr>
        <w:t>%。项目产出类指标权重为40分，得分为</w:t>
      </w:r>
      <w:r>
        <w:rPr>
          <w:rFonts w:hint="eastAsia" w:ascii="Times New Roman" w:hAnsi="Times New Roman" w:eastAsia="仿宋_GB2312" w:cs="Times New Roman"/>
          <w:b w:val="0"/>
          <w:bCs w:val="0"/>
          <w:lang w:val="en-US" w:eastAsia="zh-CN"/>
        </w:rPr>
        <w:t>40</w:t>
      </w:r>
      <w:r>
        <w:rPr>
          <w:rFonts w:hint="default" w:ascii="Times New Roman" w:hAnsi="Times New Roman" w:eastAsia="仿宋_GB2312" w:cs="Times New Roman"/>
          <w:b w:val="0"/>
          <w:bCs w:val="0"/>
        </w:rPr>
        <w:t>分，得分率为</w:t>
      </w:r>
      <w:r>
        <w:rPr>
          <w:rFonts w:hint="eastAsia" w:ascii="Times New Roman" w:hAnsi="Times New Roman" w:eastAsia="仿宋_GB2312" w:cs="Times New Roman"/>
          <w:b w:val="0"/>
          <w:bCs w:val="0"/>
          <w:lang w:val="en-US" w:eastAsia="zh-CN"/>
        </w:rPr>
        <w:t>100</w:t>
      </w:r>
      <w:r>
        <w:rPr>
          <w:rFonts w:hint="default" w:ascii="Times New Roman" w:hAnsi="Times New Roman" w:eastAsia="仿宋_GB2312" w:cs="Times New Roman"/>
          <w:b w:val="0"/>
          <w:bCs w:val="0"/>
        </w:rPr>
        <w:t>%。项目效益类指标权重为20分，得分为</w:t>
      </w:r>
      <w:r>
        <w:rPr>
          <w:rFonts w:hint="eastAsia" w:ascii="Times New Roman" w:hAnsi="Times New Roman" w:eastAsia="仿宋_GB2312" w:cs="Times New Roman"/>
          <w:b w:val="0"/>
          <w:bCs w:val="0"/>
          <w:lang w:val="en-US" w:eastAsia="zh-CN"/>
        </w:rPr>
        <w:t>20</w:t>
      </w:r>
      <w:r>
        <w:rPr>
          <w:rFonts w:hint="default" w:ascii="Times New Roman" w:hAnsi="Times New Roman" w:eastAsia="仿宋_GB2312" w:cs="Times New Roman"/>
          <w:b w:val="0"/>
          <w:bCs w:val="0"/>
        </w:rPr>
        <w:t>分，得分率为</w:t>
      </w:r>
      <w:r>
        <w:rPr>
          <w:rFonts w:hint="eastAsia" w:ascii="Times New Roman" w:hAnsi="Times New Roman" w:eastAsia="仿宋_GB2312" w:cs="Times New Roman"/>
          <w:b w:val="0"/>
          <w:bCs w:val="0"/>
          <w:lang w:val="en-US" w:eastAsia="zh-CN"/>
        </w:rPr>
        <w:t>100</w:t>
      </w:r>
      <w:r>
        <w:rPr>
          <w:rFonts w:hint="default" w:ascii="Times New Roman" w:hAnsi="Times New Roman" w:eastAsia="仿宋_GB2312" w:cs="Times New Roman"/>
          <w:b w:val="0"/>
          <w:bCs w:val="0"/>
        </w:rPr>
        <w:t>%。具体打分情况详见：附件1综合评分表</w:t>
      </w:r>
      <w:r>
        <w:rPr>
          <w:rFonts w:hint="default" w:ascii="Times New Roman" w:hAnsi="Times New Roman" w:eastAsia="仿宋_GB2312" w:cs="Times New Roman"/>
          <w:b w:val="0"/>
          <w:bCs w:val="0"/>
          <w:lang w:eastAsia="zh-CN"/>
        </w:rPr>
        <w:t>。</w:t>
      </w:r>
    </w:p>
    <w:p>
      <w:pPr>
        <w:pStyle w:val="11"/>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表1综合评分表</w:t>
      </w:r>
    </w:p>
    <w:tbl>
      <w:tblPr>
        <w:tblStyle w:val="15"/>
        <w:tblW w:w="7583" w:type="dxa"/>
        <w:jc w:val="center"/>
        <w:tblLayout w:type="fixed"/>
        <w:tblCellMar>
          <w:top w:w="0" w:type="dxa"/>
          <w:left w:w="108" w:type="dxa"/>
          <w:bottom w:w="0" w:type="dxa"/>
          <w:right w:w="108" w:type="dxa"/>
        </w:tblCellMar>
      </w:tblPr>
      <w:tblGrid>
        <w:gridCol w:w="3137"/>
        <w:gridCol w:w="2168"/>
        <w:gridCol w:w="2278"/>
      </w:tblGrid>
      <w:tr>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得分</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项目决策</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项目过程</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项目产出</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40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项目效益</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合计</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lang w:val="en-US" w:eastAsia="zh-CN"/>
              </w:rPr>
            </w:pPr>
            <w:r>
              <w:rPr>
                <w:rFonts w:hint="default" w:ascii="Times New Roman" w:hAnsi="Times New Roman" w:eastAsia="仿宋_GB2312" w:cs="Times New Roman"/>
                <w:b/>
                <w:bCs/>
                <w:color w:val="000000"/>
                <w:sz w:val="21"/>
                <w:szCs w:val="21"/>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lang w:val="en-US" w:eastAsia="zh-CN"/>
              </w:rPr>
            </w:pPr>
            <w:r>
              <w:rPr>
                <w:rFonts w:hint="eastAsia" w:eastAsia="仿宋_GB2312" w:cs="Times New Roman"/>
                <w:b/>
                <w:bCs/>
                <w:color w:val="000000"/>
                <w:sz w:val="21"/>
                <w:szCs w:val="21"/>
                <w:lang w:val="en-US" w:eastAsia="zh-CN"/>
              </w:rPr>
              <w:t>100</w:t>
            </w:r>
          </w:p>
        </w:tc>
      </w:tr>
    </w:tbl>
    <w:p>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四、绩效评价指标分析</w:t>
      </w:r>
    </w:p>
    <w:p>
      <w:pPr>
        <w:pStyle w:val="11"/>
        <w:spacing w:before="0" w:after="0" w:line="560" w:lineRule="exact"/>
        <w:ind w:firstLine="643" w:firstLineChars="200"/>
        <w:jc w:val="both"/>
        <w:rPr>
          <w:rFonts w:hint="default" w:ascii="Times New Roman" w:hAnsi="Times New Roman" w:eastAsia="楷体_GB2312" w:cs="Times New Roman"/>
        </w:rPr>
      </w:pPr>
      <w:r>
        <w:rPr>
          <w:rFonts w:hint="default" w:ascii="Times New Roman" w:hAnsi="Times New Roman" w:eastAsia="楷体_GB2312" w:cs="Times New Roman"/>
        </w:rPr>
        <w:t>（一）项目决策情况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项目决策类指标包括项目立项、绩效目标和资金投入三方面的内容，由</w:t>
      </w:r>
      <w:r>
        <w:rPr>
          <w:rFonts w:hint="eastAsia"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val="en-US" w:eastAsia="zh-CN"/>
        </w:rPr>
        <w:t>个三级指标构成，权重分值为</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分，实际得分</w:t>
      </w:r>
      <w:r>
        <w:rPr>
          <w:rFonts w:hint="eastAsia" w:ascii="Times New Roman" w:hAnsi="Times New Roman"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1.项目立项</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（1）立项依据充分性</w:t>
      </w:r>
    </w:p>
    <w:p>
      <w:pPr>
        <w:keepNext/>
        <w:keepLines w:val="0"/>
        <w:pageBreakBefore w:val="0"/>
        <w:widowControl w:val="0"/>
        <w:shd w:val="clear"/>
        <w:kinsoku/>
        <w:wordWrap/>
        <w:overflowPunct/>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pacing w:val="0"/>
          <w:sz w:val="32"/>
          <w:szCs w:val="32"/>
          <w:lang w:val="en-US" w:eastAsia="zh-CN"/>
        </w:rPr>
      </w:pPr>
      <w:r>
        <w:rPr>
          <w:rFonts w:hint="default" w:ascii="Times New Roman" w:hAnsi="Times New Roman" w:eastAsia="仿宋_GB2312" w:cs="Times New Roman"/>
          <w:spacing w:val="0"/>
          <w:sz w:val="32"/>
          <w:szCs w:val="32"/>
          <w:lang w:val="en-US" w:eastAsia="zh-CN"/>
        </w:rPr>
        <w:t>该项目立项符合</w:t>
      </w:r>
      <w:r>
        <w:rPr>
          <w:rFonts w:hint="eastAsia" w:eastAsia="仿宋_GB2312" w:cs="Times New Roman"/>
          <w:spacing w:val="0"/>
          <w:sz w:val="32"/>
          <w:szCs w:val="32"/>
          <w:lang w:val="en-US" w:eastAsia="zh-CN"/>
        </w:rPr>
        <w:t>《中国共产党党和国家机关基层组织工作条例》和《中央和国家机关基层党组织党建活动经费管理办法》等国家相关法律法规及发展政策，</w:t>
      </w:r>
      <w:r>
        <w:rPr>
          <w:rFonts w:hint="default" w:ascii="Times New Roman" w:hAnsi="Times New Roman" w:eastAsia="仿宋_GB2312" w:cs="Times New Roman"/>
          <w:spacing w:val="0"/>
          <w:sz w:val="32"/>
          <w:szCs w:val="32"/>
          <w:lang w:val="en-US" w:eastAsia="zh-CN"/>
        </w:rPr>
        <w:t>符合行业规划要求，围绕本年度</w:t>
      </w:r>
      <w:r>
        <w:rPr>
          <w:rFonts w:hint="eastAsia" w:ascii="Times New Roman" w:hAnsi="Times New Roman" w:eastAsia="仿宋_GB2312" w:cs="Times New Roman"/>
          <w:b w:val="0"/>
          <w:bCs w:val="0"/>
          <w:spacing w:val="0"/>
          <w:sz w:val="32"/>
          <w:szCs w:val="32"/>
          <w:highlight w:val="none"/>
          <w:lang w:eastAsia="zh-CN"/>
        </w:rPr>
        <w:t>强化</w:t>
      </w:r>
      <w:r>
        <w:rPr>
          <w:rFonts w:hint="eastAsia" w:eastAsia="仿宋_GB2312" w:cs="Times New Roman"/>
          <w:b w:val="0"/>
          <w:bCs w:val="0"/>
          <w:spacing w:val="0"/>
          <w:sz w:val="32"/>
          <w:szCs w:val="32"/>
          <w:highlight w:val="none"/>
          <w:lang w:eastAsia="zh-CN"/>
        </w:rPr>
        <w:t>社会稳定</w:t>
      </w:r>
      <w:r>
        <w:rPr>
          <w:rFonts w:hint="eastAsia" w:ascii="Times New Roman" w:hAnsi="Times New Roman" w:eastAsia="仿宋_GB2312" w:cs="Times New Roman"/>
          <w:b w:val="0"/>
          <w:bCs w:val="0"/>
          <w:spacing w:val="0"/>
          <w:sz w:val="32"/>
          <w:szCs w:val="32"/>
          <w:highlight w:val="none"/>
          <w:lang w:eastAsia="zh-CN"/>
        </w:rPr>
        <w:t>建设、推动</w:t>
      </w:r>
      <w:r>
        <w:rPr>
          <w:rFonts w:hint="eastAsia" w:eastAsia="仿宋_GB2312" w:cs="Times New Roman"/>
          <w:b w:val="0"/>
          <w:bCs w:val="0"/>
          <w:spacing w:val="0"/>
          <w:sz w:val="32"/>
          <w:szCs w:val="32"/>
          <w:highlight w:val="none"/>
          <w:lang w:eastAsia="zh-CN"/>
        </w:rPr>
        <w:t>基层宗教事务等</w:t>
      </w:r>
      <w:r>
        <w:rPr>
          <w:rFonts w:hint="default" w:ascii="Times New Roman" w:hAnsi="Times New Roman" w:eastAsia="仿宋_GB2312" w:cs="Times New Roman"/>
          <w:spacing w:val="0"/>
          <w:sz w:val="32"/>
          <w:szCs w:val="32"/>
          <w:lang w:val="en-US" w:eastAsia="zh-CN"/>
        </w:rPr>
        <w:t>工作重点和</w:t>
      </w:r>
      <w:r>
        <w:rPr>
          <w:rFonts w:hint="eastAsia" w:ascii="Times New Roman" w:hAnsi="Times New Roman" w:eastAsia="仿宋_GB2312" w:cs="Times New Roman"/>
          <w:b w:val="0"/>
          <w:bCs w:val="0"/>
          <w:spacing w:val="0"/>
          <w:sz w:val="32"/>
          <w:szCs w:val="32"/>
          <w:highlight w:val="none"/>
          <w:lang w:eastAsia="zh-CN"/>
        </w:rPr>
        <w:t>促进</w:t>
      </w:r>
      <w:r>
        <w:rPr>
          <w:rFonts w:hint="eastAsia" w:eastAsia="仿宋_GB2312" w:cs="Times New Roman"/>
          <w:b w:val="0"/>
          <w:bCs w:val="0"/>
          <w:spacing w:val="0"/>
          <w:sz w:val="32"/>
          <w:szCs w:val="32"/>
          <w:highlight w:val="none"/>
          <w:lang w:eastAsia="zh-CN"/>
        </w:rPr>
        <w:t>社会</w:t>
      </w:r>
      <w:r>
        <w:rPr>
          <w:rFonts w:hint="eastAsia" w:ascii="Times New Roman" w:hAnsi="Times New Roman" w:eastAsia="仿宋_GB2312" w:cs="Times New Roman"/>
          <w:b w:val="0"/>
          <w:bCs w:val="0"/>
          <w:spacing w:val="0"/>
          <w:sz w:val="32"/>
          <w:szCs w:val="32"/>
          <w:highlight w:val="none"/>
          <w:lang w:eastAsia="zh-CN"/>
        </w:rPr>
        <w:t>和谐稳定、</w:t>
      </w:r>
      <w:r>
        <w:rPr>
          <w:rFonts w:hint="eastAsia" w:eastAsia="仿宋_GB2312" w:cs="Times New Roman"/>
          <w:b w:val="0"/>
          <w:bCs w:val="0"/>
          <w:spacing w:val="0"/>
          <w:sz w:val="32"/>
          <w:szCs w:val="32"/>
          <w:highlight w:val="none"/>
          <w:lang w:eastAsia="zh-CN"/>
        </w:rPr>
        <w:t>提升满意度等</w:t>
      </w:r>
      <w:r>
        <w:rPr>
          <w:rFonts w:hint="default" w:ascii="Times New Roman" w:hAnsi="Times New Roman" w:eastAsia="仿宋_GB2312" w:cs="Times New Roman"/>
          <w:spacing w:val="0"/>
          <w:sz w:val="32"/>
          <w:szCs w:val="32"/>
          <w:lang w:val="en-US" w:eastAsia="zh-CN"/>
        </w:rPr>
        <w:t>工作计划制定经费预算，属于公共财政支持范围。本项目与部门内部其他相关项目不重复。部门发展规划及职能文件等归档完整。</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此项权重分值为3分，得分为3分。</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（2）立项程序规范性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项目申请、设立过程符合相关要求，</w:t>
      </w:r>
      <w:r>
        <w:rPr>
          <w:rFonts w:hint="default" w:ascii="Times New Roman" w:hAnsi="Times New Roman" w:eastAsia="仿宋_GB2312" w:cs="Times New Roman"/>
          <w:sz w:val="32"/>
          <w:szCs w:val="32"/>
          <w:lang w:eastAsia="zh-Hans"/>
        </w:rPr>
        <w:t>严格按照审批流程准备符合要求的文件、材料；</w:t>
      </w:r>
      <w:r>
        <w:rPr>
          <w:rFonts w:hint="default" w:ascii="Times New Roman" w:hAnsi="Times New Roman" w:eastAsia="仿宋_GB2312" w:cs="Times New Roman"/>
          <w:sz w:val="32"/>
          <w:szCs w:val="32"/>
          <w:lang w:val="en-US" w:eastAsia="zh-CN"/>
        </w:rPr>
        <w:t>根据决算依据编制工作计划和经费预算，经过与部门项目分管领导沟通、筛选确定经费预算计划，确定最终预算方案。项目的审批文件、材料符合相关要求，项目事前经过必要的集体决策，保障了程序的规范性。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此项权重分值为3分，得分为3分。</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2.绩效目标</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（1）绩效目标合理性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Hans"/>
        </w:rPr>
        <w:t>年初结合实际工作内容</w:t>
      </w:r>
      <w:r>
        <w:rPr>
          <w:rFonts w:hint="default" w:ascii="Times New Roman" w:hAnsi="Times New Roman" w:eastAsia="仿宋_GB2312" w:cs="Times New Roman"/>
          <w:sz w:val="32"/>
          <w:szCs w:val="32"/>
          <w:lang w:val="en-US" w:eastAsia="zh-CN"/>
        </w:rPr>
        <w:t>设定绩效目标</w:t>
      </w:r>
      <w:r>
        <w:rPr>
          <w:rFonts w:hint="default" w:ascii="Times New Roman" w:hAnsi="Times New Roman" w:eastAsia="仿宋_GB2312" w:cs="Times New Roman"/>
          <w:sz w:val="32"/>
          <w:szCs w:val="32"/>
          <w:lang w:val="en-US" w:eastAsia="zh-Hans"/>
        </w:rPr>
        <w:t>，绩效目标</w:t>
      </w:r>
      <w:r>
        <w:rPr>
          <w:rFonts w:hint="default" w:ascii="Times New Roman" w:hAnsi="Times New Roman" w:eastAsia="仿宋_GB2312" w:cs="Times New Roman"/>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此项权重分值为4分，得分为4分。</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（2）绩效指标明确性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项目设置了明确的预期产出效益和效果，将绩效目标细化分解为具体的绩效指标，绩效目标与项目目标任务数相对应，绩效目标设定的绩效指标清晰、细化、可衡量。</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此项权重分值为4分，得分为4分。</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3.资金投入</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（1）预算编制科学性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此项权重分值为</w:t>
      </w:r>
      <w:r>
        <w:rPr>
          <w:rFonts w:hint="eastAsia" w:eastAsia="仿宋_GB2312" w:cs="Times New Roman"/>
          <w:sz w:val="32"/>
          <w:szCs w:val="32"/>
          <w:lang w:val="en-US" w:eastAsia="zh-CN"/>
        </w:rPr>
        <w:t>3</w:t>
      </w:r>
      <w:r>
        <w:rPr>
          <w:rFonts w:hint="eastAsia" w:ascii="Times New Roman" w:hAnsi="Times New Roman" w:eastAsia="仿宋_GB2312" w:cs="Times New Roman"/>
          <w:sz w:val="32"/>
          <w:szCs w:val="32"/>
          <w:lang w:val="en-US" w:eastAsia="zh-CN"/>
        </w:rPr>
        <w:t>分，得分为</w:t>
      </w:r>
      <w:r>
        <w:rPr>
          <w:rFonts w:hint="eastAsia" w:eastAsia="仿宋_GB2312" w:cs="Times New Roman"/>
          <w:sz w:val="32"/>
          <w:szCs w:val="32"/>
          <w:lang w:val="en-US" w:eastAsia="zh-CN"/>
        </w:rPr>
        <w:t>3</w:t>
      </w:r>
      <w:r>
        <w:rPr>
          <w:rFonts w:hint="eastAsia" w:ascii="Times New Roman" w:hAnsi="Times New Roman" w:eastAsia="仿宋_GB2312" w:cs="Times New Roman"/>
          <w:sz w:val="32"/>
          <w:szCs w:val="32"/>
          <w:lang w:val="en-US" w:eastAsia="zh-CN"/>
        </w:rPr>
        <w:t>分。</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（2）资金分配合理性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本项目的资金分配遵循了公平、公正、透明的原则，确保了项目资源的合理配置与高效利用。在资金分配过程中，我们充分考虑了项目的实际需求与目标，对不同阶段、不同任务的资金进行了科学的规划与安排。</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green"/>
          <w:lang w:eastAsia="zh-CN"/>
        </w:rPr>
      </w:pPr>
      <w:r>
        <w:rPr>
          <w:rFonts w:hint="eastAsia" w:eastAsia="仿宋_GB2312" w:cs="Times New Roman"/>
          <w:sz w:val="32"/>
          <w:szCs w:val="32"/>
          <w:lang w:val="en-US" w:eastAsia="zh-CN"/>
        </w:rPr>
        <w:t>此项权重分值为3分，得分为3分。</w:t>
      </w:r>
    </w:p>
    <w:p>
      <w:pPr>
        <w:pStyle w:val="11"/>
        <w:numPr>
          <w:ilvl w:val="0"/>
          <w:numId w:val="5"/>
        </w:numPr>
        <w:spacing w:before="0" w:after="0" w:line="560" w:lineRule="exact"/>
        <w:ind w:firstLine="643" w:firstLineChars="200"/>
        <w:jc w:val="both"/>
        <w:rPr>
          <w:rFonts w:hint="default" w:ascii="Times New Roman" w:hAnsi="Times New Roman" w:eastAsia="楷体" w:cs="Times New Roman"/>
        </w:rPr>
      </w:pPr>
      <w:r>
        <w:rPr>
          <w:rFonts w:hint="default" w:ascii="Times New Roman" w:hAnsi="Times New Roman" w:eastAsia="楷体" w:cs="Times New Roman"/>
        </w:rPr>
        <w:t>项目过程情况</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项目过程类指标包括资金管理和组织实施两方面的内容，由</w:t>
      </w:r>
      <w:r>
        <w:rPr>
          <w:rFonts w:hint="default" w:ascii="Times New Roman" w:hAnsi="Times New Roman" w:eastAsia="仿宋_GB2312" w:cs="Times New Roman"/>
          <w:sz w:val="32"/>
          <w:szCs w:val="32"/>
          <w:highlight w:val="none"/>
          <w:lang w:val="en-US" w:eastAsia="zh-CN"/>
        </w:rPr>
        <w:t>5个</w:t>
      </w:r>
      <w:r>
        <w:rPr>
          <w:rFonts w:hint="default" w:ascii="Times New Roman" w:hAnsi="Times New Roman" w:eastAsia="仿宋_GB2312" w:cs="Times New Roman"/>
          <w:sz w:val="32"/>
          <w:szCs w:val="32"/>
          <w:lang w:val="en-US" w:eastAsia="zh-CN"/>
        </w:rPr>
        <w:t>三级指标构成，权重分值为20分，实际得分</w:t>
      </w:r>
      <w:r>
        <w:rPr>
          <w:rFonts w:hint="eastAsia" w:ascii="Times New Roman" w:hAnsi="Times New Roman" w:eastAsia="仿宋_GB2312" w:cs="Times New Roman"/>
          <w:sz w:val="32"/>
          <w:szCs w:val="32"/>
          <w:lang w:val="en-US" w:eastAsia="zh-CN"/>
        </w:rPr>
        <w:t>20</w:t>
      </w:r>
      <w:r>
        <w:rPr>
          <w:rFonts w:hint="default" w:ascii="Times New Roman" w:hAnsi="Times New Roman" w:eastAsia="仿宋_GB2312" w:cs="Times New Roman"/>
          <w:sz w:val="32"/>
          <w:szCs w:val="32"/>
          <w:lang w:val="en-US" w:eastAsia="zh-CN"/>
        </w:rPr>
        <w:t>分，得分率为</w:t>
      </w:r>
      <w:r>
        <w:rPr>
          <w:rFonts w:hint="eastAsia"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lang w:val="en-US" w:eastAsia="zh-CN"/>
        </w:rPr>
        <w:t>%。</w:t>
      </w:r>
    </w:p>
    <w:p>
      <w:pPr>
        <w:pStyle w:val="11"/>
        <w:numPr>
          <w:ilvl w:val="0"/>
          <w:numId w:val="0"/>
        </w:numPr>
        <w:spacing w:before="0" w:after="0" w:line="560" w:lineRule="exact"/>
        <w:ind w:firstLine="964" w:firstLineChars="300"/>
        <w:jc w:val="both"/>
        <w:rPr>
          <w:rFonts w:hint="default" w:ascii="Times New Roman" w:hAnsi="Times New Roman" w:eastAsia="楷体" w:cs="Times New Roman"/>
          <w:lang w:val="en-US" w:eastAsia="zh-CN"/>
        </w:rPr>
      </w:pPr>
      <w:r>
        <w:rPr>
          <w:rFonts w:hint="default" w:ascii="Times New Roman" w:hAnsi="Times New Roman" w:eastAsia="楷体" w:cs="Times New Roman"/>
          <w:lang w:val="en-US" w:eastAsia="zh-CN"/>
        </w:rPr>
        <w:t>1.资金管理</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（1）资金到位率</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本项目总投资</w:t>
      </w:r>
      <w:r>
        <w:rPr>
          <w:rFonts w:hint="eastAsia" w:ascii="Times New Roman" w:hAnsi="Times New Roman" w:eastAsia="仿宋_GB2312" w:cs="Times New Roman"/>
          <w:sz w:val="32"/>
          <w:szCs w:val="32"/>
          <w:lang w:val="en-US" w:eastAsia="zh-CN"/>
        </w:rPr>
        <w:t>71.02</w:t>
      </w:r>
      <w:r>
        <w:rPr>
          <w:rFonts w:hint="default" w:ascii="Times New Roman" w:hAnsi="Times New Roman" w:eastAsia="仿宋_GB2312" w:cs="Times New Roman"/>
          <w:sz w:val="32"/>
          <w:szCs w:val="32"/>
          <w:lang w:val="en-US" w:eastAsia="zh-CN"/>
        </w:rPr>
        <w:t>万元，财政资金及时足额到位，到位率</w:t>
      </w:r>
      <w:r>
        <w:rPr>
          <w:rFonts w:hint="eastAsia"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lang w:val="en-US" w:eastAsia="zh-CN"/>
        </w:rPr>
        <w:t>%，预算资金按计划进度执行。</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此项权重分值为4分，得分为4分。</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（2）预算执行率</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预算编制较为详细，项目资金支出总体能够按照预算执行，预算资金支出</w:t>
      </w:r>
      <w:r>
        <w:rPr>
          <w:rFonts w:hint="eastAsia" w:ascii="Times New Roman" w:hAnsi="Times New Roman" w:eastAsia="仿宋_GB2312" w:cs="Times New Roman"/>
          <w:sz w:val="32"/>
          <w:szCs w:val="32"/>
          <w:lang w:val="en-US" w:eastAsia="zh-CN"/>
        </w:rPr>
        <w:t>71.02</w:t>
      </w:r>
      <w:r>
        <w:rPr>
          <w:rFonts w:hint="default" w:ascii="Times New Roman" w:hAnsi="Times New Roman" w:eastAsia="仿宋_GB2312" w:cs="Times New Roman"/>
          <w:sz w:val="32"/>
          <w:szCs w:val="32"/>
          <w:lang w:val="en-US" w:eastAsia="zh-CN"/>
        </w:rPr>
        <w:t>万元，预算执行率为</w:t>
      </w:r>
      <w:r>
        <w:rPr>
          <w:rFonts w:hint="eastAsia"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lang w:val="en-US"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此项权重分值</w:t>
      </w:r>
      <w:bookmarkStart w:id="5" w:name="OLE_LINK1"/>
      <w:r>
        <w:rPr>
          <w:rFonts w:hint="eastAsia" w:eastAsia="仿宋_GB2312" w:cs="Times New Roman"/>
          <w:sz w:val="32"/>
          <w:szCs w:val="32"/>
          <w:lang w:val="en-US" w:eastAsia="zh-CN"/>
        </w:rPr>
        <w:t>为</w:t>
      </w:r>
      <w:bookmarkEnd w:id="5"/>
      <w:r>
        <w:rPr>
          <w:rFonts w:hint="eastAsia" w:eastAsia="仿宋_GB2312" w:cs="Times New Roman"/>
          <w:sz w:val="32"/>
          <w:szCs w:val="32"/>
          <w:lang w:val="en-US" w:eastAsia="zh-CN"/>
        </w:rPr>
        <w:t>4分，得分为4分。</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（3）资金使用合规性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本项目的资金使用严格遵循了国家相关法律法规与财务制度，确保了资金的合规性与安全性。在资金使用过程中，我们建立了完善的财务管理体系，对资金的流动进行了全程监控与记录。</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green"/>
          <w:lang w:eastAsia="zh-CN"/>
        </w:rPr>
      </w:pPr>
      <w:r>
        <w:rPr>
          <w:rFonts w:hint="eastAsia" w:eastAsia="仿宋_GB2312" w:cs="Times New Roman"/>
          <w:sz w:val="32"/>
          <w:szCs w:val="32"/>
          <w:lang w:val="en-US" w:eastAsia="zh-CN"/>
        </w:rPr>
        <w:t>此项权重分值为4分，得分为4分。</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2.组织实施</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（1）管理制度健全性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本项目拥有一套完善、健全的管理制度体系，为项目的成功实施提供了坚实的制度保障。项目管理制度的制定紧密结合了项目的特点与实际情况，涵盖了项目的策划、组织、实施、监控与收尾等各个环节。</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在制度设计上，我们注重了制度的科学性与可操作性，确保制度能够切实指导项目的执行与管理。</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pPr>
        <w:shd w:val="clear"/>
        <w:spacing w:line="600" w:lineRule="exact"/>
        <w:ind w:firstLine="640" w:firstLineChars="200"/>
        <w:outlineLvl w:val="0"/>
        <w:rPr>
          <w:rFonts w:hint="default" w:ascii="Times New Roman" w:hAnsi="Times New Roman" w:eastAsia="仿宋_GB2312" w:cs="Times New Roman"/>
          <w:sz w:val="32"/>
          <w:szCs w:val="32"/>
          <w:highlight w:val="green"/>
          <w:lang w:eastAsia="zh-CN"/>
        </w:rPr>
      </w:pPr>
      <w:r>
        <w:rPr>
          <w:rFonts w:hint="default" w:ascii="Times New Roman" w:hAnsi="Times New Roman" w:eastAsia="仿宋_GB2312" w:cs="Times New Roman"/>
          <w:sz w:val="32"/>
          <w:szCs w:val="32"/>
          <w:lang w:val="en-US" w:eastAsia="zh-CN"/>
        </w:rPr>
        <w:t>综上所述，本项目的管理制度是健全的、有效的，既符合项目的实际情况，又满足了项目管理的需要。管理制度的健全性为项目的成功实施提供了有力的保障，也为项目的绩效评价奠定了坚实的基础。</w:t>
      </w:r>
    </w:p>
    <w:p>
      <w:pPr>
        <w:shd w:val="clear"/>
        <w:spacing w:line="600" w:lineRule="exact"/>
        <w:ind w:firstLine="640" w:firstLineChars="200"/>
        <w:outlineLvl w:val="0"/>
        <w:rPr>
          <w:rFonts w:hint="default" w:ascii="Times New Roman" w:hAnsi="Times New Roman" w:eastAsia="仿宋_GB2312" w:cs="Times New Roman"/>
          <w:sz w:val="32"/>
          <w:szCs w:val="32"/>
          <w:highlight w:val="green"/>
          <w:lang w:eastAsia="zh-CN"/>
        </w:rPr>
      </w:pPr>
      <w:r>
        <w:rPr>
          <w:rFonts w:hint="eastAsia" w:eastAsia="仿宋_GB2312" w:cs="Times New Roman"/>
          <w:sz w:val="32"/>
          <w:szCs w:val="32"/>
          <w:lang w:val="en-US" w:eastAsia="zh-CN"/>
        </w:rPr>
        <w:t>此项权重分值为4分，得分为4分。</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本项目在执行过程中，管理制度得到了全面、有效的落实，为确保项目的顺利实施与目标实现提供了坚实的保障。项目</w:t>
      </w:r>
      <w:r>
        <w:rPr>
          <w:rFonts w:hint="default" w:ascii="Times New Roman" w:hAnsi="Times New Roman" w:eastAsia="仿宋_GB2312" w:cs="Times New Roman"/>
          <w:sz w:val="32"/>
          <w:szCs w:val="32"/>
          <w:lang w:val="en-US" w:eastAsia="zh-CN"/>
        </w:rPr>
        <w:t>单位</w:t>
      </w:r>
      <w:r>
        <w:rPr>
          <w:rFonts w:hint="default" w:ascii="Times New Roman" w:hAnsi="Times New Roman" w:eastAsia="仿宋_GB2312" w:cs="Times New Roman"/>
          <w:sz w:val="32"/>
          <w:szCs w:val="32"/>
          <w:lang w:eastAsia="zh-CN"/>
        </w:rPr>
        <w:t>重视制度执行的重要性，通过明确责任分工、制定详细执行计划、加强监督考核等措施，确保了各项管理制度能够得到有效执行。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在具体执行过程中，项目团队成员严格按照制度要求进行操作。同时，我们还建立了有效的沟通机制与反馈机制，确保项目信息的及时传递与问题的及时解决，进一步提高了制度执行的效率与效果。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综上所述，本项目的管理制度在执行过程中表现出了高度的有效性，既确保了项目的顺利进行，又实现了项目目标的有效达成。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此项权重分值为4分，得分为4分。</w:t>
      </w:r>
    </w:p>
    <w:p>
      <w:pPr>
        <w:pStyle w:val="13"/>
        <w:numPr>
          <w:ilvl w:val="0"/>
          <w:numId w:val="5"/>
        </w:numPr>
        <w:spacing w:line="560" w:lineRule="exact"/>
        <w:ind w:firstLine="643"/>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项目产出</w:t>
      </w:r>
      <w:r>
        <w:rPr>
          <w:rFonts w:hint="default" w:ascii="Times New Roman" w:hAnsi="Times New Roman" w:eastAsia="楷体_GB2312" w:cs="Times New Roman"/>
          <w:b/>
          <w:bCs/>
          <w:sz w:val="32"/>
          <w:szCs w:val="32"/>
          <w:lang w:val="en-US" w:eastAsia="zh-CN"/>
        </w:rPr>
        <w:t>情况</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项目产出类指标包括产出数量、产出质量、产出时效、产出成本四方面的内容，由</w:t>
      </w:r>
      <w:r>
        <w:rPr>
          <w:rFonts w:hint="eastAsia" w:ascii="Times New Roman" w:hAnsi="Times New Roman" w:eastAsia="仿宋_GB2312" w:cs="Times New Roman"/>
          <w:sz w:val="32"/>
          <w:szCs w:val="32"/>
          <w:lang w:val="en-US" w:eastAsia="zh-CN"/>
        </w:rPr>
        <w:t>7</w:t>
      </w:r>
      <w:r>
        <w:rPr>
          <w:rFonts w:hint="default" w:ascii="Times New Roman" w:hAnsi="Times New Roman" w:eastAsia="仿宋_GB2312" w:cs="Times New Roman"/>
          <w:sz w:val="32"/>
          <w:szCs w:val="32"/>
          <w:lang w:val="en-US" w:eastAsia="zh-CN"/>
        </w:rPr>
        <w:t>个三级指标构成，权重分为</w:t>
      </w:r>
      <w:r>
        <w:rPr>
          <w:rFonts w:hint="eastAsia" w:eastAsia="仿宋_GB2312" w:cs="Times New Roman"/>
          <w:sz w:val="32"/>
          <w:szCs w:val="32"/>
          <w:lang w:val="en-US" w:eastAsia="zh-CN"/>
        </w:rPr>
        <w:t>40</w:t>
      </w:r>
      <w:r>
        <w:rPr>
          <w:rFonts w:hint="default" w:ascii="Times New Roman" w:hAnsi="Times New Roman" w:eastAsia="仿宋_GB2312" w:cs="Times New Roman"/>
          <w:sz w:val="32"/>
          <w:szCs w:val="32"/>
          <w:lang w:val="en-US" w:eastAsia="zh-CN"/>
        </w:rPr>
        <w:t>分，实际得分</w:t>
      </w:r>
      <w:r>
        <w:rPr>
          <w:rFonts w:hint="eastAsia" w:eastAsia="仿宋_GB2312" w:cs="Times New Roman"/>
          <w:sz w:val="32"/>
          <w:szCs w:val="32"/>
          <w:lang w:val="en-US" w:eastAsia="zh-CN"/>
        </w:rPr>
        <w:t>40</w:t>
      </w:r>
      <w:r>
        <w:rPr>
          <w:rFonts w:hint="default" w:ascii="Times New Roman" w:hAnsi="Times New Roman" w:eastAsia="仿宋_GB2312" w:cs="Times New Roman"/>
          <w:sz w:val="32"/>
          <w:szCs w:val="32"/>
          <w:lang w:val="en-US" w:eastAsia="zh-CN"/>
        </w:rPr>
        <w:t>分，得分率为</w:t>
      </w:r>
      <w:r>
        <w:rPr>
          <w:rFonts w:hint="eastAsia"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lang w:val="en-US" w:eastAsia="zh-CN"/>
        </w:rPr>
        <w:t>%。具体产出指标完成情况如下：</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1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①</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数量指标：</w:t>
      </w:r>
    </w:p>
    <w:p>
      <w:pPr>
        <w:shd w:val="clear"/>
        <w:spacing w:line="600" w:lineRule="exact"/>
        <w:ind w:firstLine="640" w:firstLineChars="200"/>
        <w:outlineLvl w:val="0"/>
        <w:rPr>
          <w:rFonts w:hint="eastAsia" w:ascii="Times New Roman" w:hAnsi="Times New Roman" w:eastAsia="仿宋_GB2312" w:cs="Times New Roman"/>
          <w:sz w:val="32"/>
          <w:szCs w:val="32"/>
          <w:highlight w:val="none"/>
          <w:lang w:eastAsia="zh-CN"/>
        </w:rPr>
      </w:pPr>
      <w:bookmarkStart w:id="6" w:name="OLE_LINK3"/>
      <w:bookmarkStart w:id="7" w:name="OLE_LINK5"/>
      <w:r>
        <w:rPr>
          <w:rFonts w:hint="default" w:ascii="Times New Roman" w:hAnsi="Times New Roman" w:eastAsia="仿宋_GB2312" w:cs="Times New Roman"/>
          <w:sz w:val="32"/>
          <w:szCs w:val="32"/>
          <w:highlight w:val="none"/>
        </w:rPr>
        <w:t>指标1：</w:t>
      </w:r>
      <w:bookmarkEnd w:id="6"/>
      <w:r>
        <w:rPr>
          <w:rFonts w:hint="default" w:ascii="Times New Roman" w:hAnsi="Times New Roman" w:eastAsia="仿宋_GB2312" w:cs="Times New Roman"/>
          <w:sz w:val="32"/>
          <w:szCs w:val="32"/>
          <w:highlight w:val="none"/>
        </w:rPr>
        <w:t>补助在职宗教人士数量 ，</w:t>
      </w:r>
      <w:bookmarkStart w:id="8" w:name="OLE_LINK4"/>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rPr>
        <w:t>28人，实际完成值：</w:t>
      </w:r>
      <w:r>
        <w:rPr>
          <w:rFonts w:hint="eastAsia" w:eastAsia="仿宋_GB2312" w:cs="Times New Roman"/>
          <w:sz w:val="32"/>
          <w:szCs w:val="32"/>
          <w:highlight w:val="none"/>
          <w:lang w:val="en-US" w:eastAsia="zh-CN"/>
        </w:rPr>
        <w:t>28人</w:t>
      </w:r>
      <w:r>
        <w:rPr>
          <w:rFonts w:hint="default" w:ascii="Times New Roman" w:hAnsi="Times New Roman" w:eastAsia="仿宋_GB2312" w:cs="Times New Roman"/>
          <w:sz w:val="32"/>
          <w:szCs w:val="32"/>
          <w:highlight w:val="none"/>
        </w:rPr>
        <w:t xml:space="preserve"> ，指标完成率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bookmarkEnd w:id="7"/>
      <w:bookmarkEnd w:id="8"/>
      <w:r>
        <w:rPr>
          <w:rFonts w:hint="eastAsia" w:eastAsia="仿宋_GB2312" w:cs="Times New Roman"/>
          <w:sz w:val="32"/>
          <w:szCs w:val="32"/>
          <w:highlight w:val="none"/>
          <w:lang w:eastAsia="zh-CN"/>
        </w:rPr>
        <w:t>；</w:t>
      </w:r>
    </w:p>
    <w:p>
      <w:pPr>
        <w:shd w:val="clear"/>
        <w:spacing w:line="600" w:lineRule="exact"/>
        <w:ind w:firstLine="640" w:firstLineChars="200"/>
        <w:outlineLvl w:val="0"/>
        <w:rPr>
          <w:rFonts w:hint="eastAsia"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w:t>
      </w:r>
      <w:bookmarkStart w:id="9" w:name="OLE_LINK6"/>
      <w:r>
        <w:rPr>
          <w:rFonts w:hint="default" w:ascii="Times New Roman" w:hAnsi="Times New Roman" w:eastAsia="仿宋_GB2312" w:cs="Times New Roman"/>
          <w:sz w:val="32"/>
          <w:szCs w:val="32"/>
          <w:highlight w:val="none"/>
        </w:rPr>
        <w:t>补助退居二线宗教人士数量</w:t>
      </w:r>
      <w:bookmarkEnd w:id="9"/>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=16</w:t>
      </w:r>
      <w:r>
        <w:rPr>
          <w:rFonts w:hint="default" w:ascii="Times New Roman" w:hAnsi="Times New Roman" w:eastAsia="仿宋_GB2312" w:cs="Times New Roman"/>
          <w:sz w:val="32"/>
          <w:szCs w:val="32"/>
          <w:highlight w:val="none"/>
        </w:rPr>
        <w:t>人，实际完成值：</w:t>
      </w:r>
      <w:r>
        <w:rPr>
          <w:rFonts w:hint="eastAsia" w:eastAsia="仿宋_GB2312" w:cs="Times New Roman"/>
          <w:sz w:val="32"/>
          <w:szCs w:val="32"/>
          <w:highlight w:val="none"/>
          <w:lang w:val="en-US" w:eastAsia="zh-CN"/>
        </w:rPr>
        <w:t>16人</w:t>
      </w:r>
      <w:r>
        <w:rPr>
          <w:rFonts w:hint="default" w:ascii="Times New Roman" w:hAnsi="Times New Roman" w:eastAsia="仿宋_GB2312" w:cs="Times New Roman"/>
          <w:sz w:val="32"/>
          <w:szCs w:val="32"/>
          <w:highlight w:val="none"/>
        </w:rPr>
        <w:t xml:space="preserve"> ，指标完成率</w:t>
      </w:r>
      <w:bookmarkStart w:id="10" w:name="OLE_LINK7"/>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bookmarkEnd w:id="10"/>
      <w:r>
        <w:rPr>
          <w:rFonts w:hint="eastAsia" w:eastAsia="仿宋_GB2312" w:cs="Times New Roman"/>
          <w:sz w:val="32"/>
          <w:szCs w:val="32"/>
          <w:highlight w:val="none"/>
          <w:lang w:eastAsia="zh-CN"/>
        </w:rPr>
        <w:t>。</w:t>
      </w:r>
    </w:p>
    <w:p>
      <w:pPr>
        <w:shd w:val="clear"/>
        <w:spacing w:line="600" w:lineRule="exact"/>
        <w:ind w:firstLine="640" w:firstLineChars="200"/>
        <w:outlineLvl w:val="0"/>
        <w:rPr>
          <w:rFonts w:hint="eastAsia" w:ascii="Times New Roman" w:hAnsi="Times New Roman" w:eastAsia="仿宋_GB2312" w:cs="Times New Roman"/>
          <w:sz w:val="32"/>
          <w:szCs w:val="32"/>
          <w:highlight w:val="none"/>
          <w:lang w:val="en-US" w:eastAsia="zh-CN"/>
        </w:rPr>
      </w:pPr>
      <w:r>
        <w:rPr>
          <w:rFonts w:hint="eastAsia" w:eastAsia="仿宋_GB2312" w:cs="Times New Roman"/>
          <w:sz w:val="32"/>
          <w:szCs w:val="32"/>
          <w:lang w:val="en-US" w:eastAsia="zh-CN"/>
        </w:rPr>
        <w:t>此项权重分值为10分，得分为10分</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2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②</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质量指标：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bookmarkStart w:id="11" w:name="OLE_LINK8"/>
      <w:r>
        <w:rPr>
          <w:rFonts w:hint="default" w:ascii="Times New Roman" w:hAnsi="Times New Roman" w:eastAsia="仿宋_GB2312" w:cs="Times New Roman"/>
          <w:sz w:val="32"/>
          <w:szCs w:val="32"/>
          <w:highlight w:val="none"/>
        </w:rPr>
        <w:t>指标1：补助发放覆盖率 ，指标值：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 ，指标完成率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bookmarkEnd w:id="11"/>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lang w:val="en-US" w:eastAsia="zh-CN"/>
        </w:rPr>
        <w:t>此项权重分值为10分，得分为10分</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3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③</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时效指标：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bookmarkStart w:id="12" w:name="OLE_LINK10"/>
      <w:r>
        <w:rPr>
          <w:rFonts w:hint="default" w:ascii="Times New Roman" w:hAnsi="Times New Roman" w:eastAsia="仿宋_GB2312" w:cs="Times New Roman"/>
          <w:sz w:val="32"/>
          <w:szCs w:val="32"/>
          <w:highlight w:val="none"/>
        </w:rPr>
        <w:t>指标1：资金发放及时率 ，指标值：</w:t>
      </w:r>
      <w:bookmarkStart w:id="13" w:name="OLE_LINK9"/>
      <w:r>
        <w:rPr>
          <w:rFonts w:hint="eastAsia" w:ascii="宋体" w:hAnsi="宋体" w:eastAsia="宋体" w:cs="宋体"/>
          <w:sz w:val="32"/>
          <w:szCs w:val="32"/>
          <w:highlight w:val="none"/>
          <w:lang w:val="en-US" w:eastAsia="zh-CN"/>
        </w:rPr>
        <w:t>≧</w:t>
      </w:r>
      <w:r>
        <w:rPr>
          <w:rFonts w:hint="eastAsia" w:eastAsia="仿宋_GB2312" w:cs="Times New Roman"/>
          <w:sz w:val="32"/>
          <w:szCs w:val="32"/>
          <w:highlight w:val="none"/>
          <w:lang w:val="en-US" w:eastAsia="zh-CN"/>
        </w:rPr>
        <w:t>95</w:t>
      </w:r>
      <w:bookmarkEnd w:id="13"/>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95</w:t>
      </w:r>
      <w:r>
        <w:rPr>
          <w:rFonts w:hint="default" w:ascii="Times New Roman" w:hAnsi="Times New Roman" w:eastAsia="仿宋_GB2312" w:cs="Times New Roman"/>
          <w:sz w:val="32"/>
          <w:szCs w:val="32"/>
          <w:highlight w:val="none"/>
        </w:rPr>
        <w:t>% ，指标完成率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lang w:val="en-US" w:eastAsia="zh-CN"/>
        </w:rPr>
        <w:t>此项权重分值为10分，得分为10分</w:t>
      </w:r>
    </w:p>
    <w:bookmarkEnd w:id="12"/>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4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④</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成本指标：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bookmarkStart w:id="14" w:name="OLE_LINK12"/>
      <w:r>
        <w:rPr>
          <w:rFonts w:hint="default" w:ascii="Times New Roman" w:hAnsi="Times New Roman" w:eastAsia="仿宋_GB2312" w:cs="Times New Roman"/>
          <w:sz w:val="32"/>
          <w:szCs w:val="32"/>
          <w:highlight w:val="none"/>
        </w:rPr>
        <w:t>指标1：在职人员补助标准 ，指标值：</w:t>
      </w:r>
      <w:bookmarkStart w:id="15" w:name="OLE_LINK37"/>
      <w:bookmarkStart w:id="16" w:name="OLE_LINK11"/>
      <w:r>
        <w:rPr>
          <w:rFonts w:hint="eastAsia" w:ascii="宋体" w:hAnsi="宋体" w:eastAsia="宋体" w:cs="宋体"/>
          <w:sz w:val="32"/>
          <w:szCs w:val="32"/>
          <w:highlight w:val="none"/>
        </w:rPr>
        <w:t>≦</w:t>
      </w:r>
      <w:bookmarkEnd w:id="15"/>
      <w:r>
        <w:rPr>
          <w:rFonts w:hint="eastAsia" w:eastAsia="仿宋_GB2312" w:cs="Times New Roman"/>
          <w:sz w:val="32"/>
          <w:szCs w:val="32"/>
          <w:highlight w:val="none"/>
          <w:lang w:val="en-US" w:eastAsia="zh-CN"/>
        </w:rPr>
        <w:t>1800元/人/月</w:t>
      </w:r>
      <w:bookmarkEnd w:id="16"/>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1800元/人/月</w:t>
      </w:r>
      <w:r>
        <w:rPr>
          <w:rFonts w:hint="default" w:ascii="Times New Roman" w:hAnsi="Times New Roman" w:eastAsia="仿宋_GB2312" w:cs="Times New Roman"/>
          <w:sz w:val="32"/>
          <w:szCs w:val="32"/>
          <w:highlight w:val="none"/>
        </w:rPr>
        <w:t xml:space="preserve"> ，指标完成率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bookmarkEnd w:id="14"/>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bookmarkStart w:id="17" w:name="OLE_LINK14"/>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：退二线补助标准 ，指标值：</w:t>
      </w:r>
      <w:bookmarkStart w:id="18" w:name="OLE_LINK13"/>
      <w:r>
        <w:rPr>
          <w:rFonts w:hint="eastAsia" w:ascii="宋体" w:hAnsi="宋体" w:eastAsia="宋体" w:cs="宋体"/>
          <w:sz w:val="32"/>
          <w:szCs w:val="32"/>
          <w:highlight w:val="none"/>
        </w:rPr>
        <w:t>≦</w:t>
      </w:r>
      <w:r>
        <w:rPr>
          <w:rFonts w:hint="eastAsia" w:eastAsia="仿宋_GB2312" w:cs="Times New Roman"/>
          <w:sz w:val="32"/>
          <w:szCs w:val="32"/>
          <w:highlight w:val="none"/>
          <w:lang w:val="en-US" w:eastAsia="zh-CN"/>
        </w:rPr>
        <w:t>549元/人/月</w:t>
      </w:r>
      <w:bookmarkEnd w:id="18"/>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549元/人/月</w:t>
      </w:r>
      <w:r>
        <w:rPr>
          <w:rFonts w:hint="default" w:ascii="Times New Roman" w:hAnsi="Times New Roman" w:eastAsia="仿宋_GB2312" w:cs="Times New Roman"/>
          <w:sz w:val="32"/>
          <w:szCs w:val="32"/>
          <w:highlight w:val="none"/>
        </w:rPr>
        <w:t xml:space="preserve"> ，指标完成率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bookmarkEnd w:id="17"/>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bookmarkStart w:id="19" w:name="OLE_LINK15"/>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rPr>
        <w:t>：本次项目补助费用 ，指标值：</w:t>
      </w:r>
      <w:r>
        <w:rPr>
          <w:rFonts w:hint="eastAsia" w:ascii="宋体" w:hAnsi="宋体" w:eastAsia="宋体" w:cs="宋体"/>
          <w:sz w:val="32"/>
          <w:szCs w:val="32"/>
          <w:highlight w:val="none"/>
        </w:rPr>
        <w:t>≦</w:t>
      </w:r>
      <w:r>
        <w:rPr>
          <w:rFonts w:hint="eastAsia" w:eastAsia="仿宋_GB2312" w:cs="Times New Roman"/>
          <w:sz w:val="32"/>
          <w:szCs w:val="32"/>
          <w:highlight w:val="none"/>
          <w:lang w:val="en-US" w:eastAsia="zh-CN"/>
        </w:rPr>
        <w:t>71.02万元</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71.02万元</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bookmarkEnd w:id="19"/>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bookmarkStart w:id="20" w:name="OLE_LINK2"/>
      <w:bookmarkStart w:id="21" w:name="OLE_LINK38"/>
      <w:r>
        <w:rPr>
          <w:rFonts w:hint="eastAsia" w:eastAsia="仿宋_GB2312" w:cs="Times New Roman"/>
          <w:sz w:val="32"/>
          <w:szCs w:val="32"/>
          <w:lang w:val="en-US" w:eastAsia="zh-CN"/>
        </w:rPr>
        <w:t>此项权重分值为10分，得分为10分</w:t>
      </w:r>
      <w:bookmarkEnd w:id="20"/>
      <w:r>
        <w:rPr>
          <w:rFonts w:hint="eastAsia" w:eastAsia="仿宋_GB2312" w:cs="Times New Roman"/>
          <w:sz w:val="32"/>
          <w:szCs w:val="32"/>
          <w:lang w:val="en-US" w:eastAsia="zh-CN"/>
        </w:rPr>
        <w:t>。</w:t>
      </w:r>
    </w:p>
    <w:bookmarkEnd w:id="21"/>
    <w:p>
      <w:pPr>
        <w:pStyle w:val="13"/>
        <w:numPr>
          <w:ilvl w:val="0"/>
          <w:numId w:val="5"/>
        </w:numPr>
        <w:spacing w:line="560" w:lineRule="exact"/>
        <w:ind w:firstLine="643"/>
        <w:rPr>
          <w:rFonts w:hint="default" w:ascii="Times New Roman" w:hAnsi="Times New Roman" w:eastAsia="楷体_GB2312" w:cs="Times New Roman"/>
          <w:b/>
          <w:bCs/>
          <w:sz w:val="32"/>
          <w:szCs w:val="32"/>
          <w:lang w:val="en-US" w:eastAsia="zh-CN"/>
        </w:rPr>
      </w:pPr>
      <w:r>
        <w:rPr>
          <w:rFonts w:hint="default" w:ascii="Times New Roman" w:hAnsi="Times New Roman" w:eastAsia="楷体_GB2312" w:cs="Times New Roman"/>
          <w:b/>
          <w:bCs/>
          <w:sz w:val="32"/>
          <w:szCs w:val="32"/>
          <w:lang w:val="en-US" w:eastAsia="zh-CN"/>
        </w:rPr>
        <w:t>项目效益情况</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项目效益类指标包括项目实施效益和满意度两方面的内容，由</w:t>
      </w:r>
      <w:r>
        <w:rPr>
          <w:rFonts w:hint="eastAsia"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lang w:val="en-US" w:eastAsia="zh-CN"/>
        </w:rPr>
        <w:t>个三级指标构成，权重分为</w:t>
      </w:r>
      <w:r>
        <w:rPr>
          <w:rFonts w:hint="eastAsia" w:eastAsia="仿宋_GB2312" w:cs="Times New Roman"/>
          <w:sz w:val="32"/>
          <w:szCs w:val="32"/>
          <w:lang w:val="en-US" w:eastAsia="zh-CN"/>
        </w:rPr>
        <w:t>2</w:t>
      </w:r>
      <w:r>
        <w:rPr>
          <w:rFonts w:hint="eastAsia"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lang w:val="en-US" w:eastAsia="zh-CN"/>
        </w:rPr>
        <w:t>分，实际得分</w:t>
      </w:r>
      <w:r>
        <w:rPr>
          <w:rFonts w:hint="eastAsia" w:eastAsia="仿宋_GB2312" w:cs="Times New Roman"/>
          <w:sz w:val="32"/>
          <w:szCs w:val="32"/>
          <w:lang w:val="en-US" w:eastAsia="zh-CN"/>
        </w:rPr>
        <w:t>2</w:t>
      </w:r>
      <w:r>
        <w:rPr>
          <w:rFonts w:hint="eastAsia"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lang w:val="en-US" w:eastAsia="zh-CN"/>
        </w:rPr>
        <w:t>分，得分率为</w:t>
      </w:r>
      <w:r>
        <w:rPr>
          <w:rFonts w:hint="eastAsia"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lang w:val="en-US" w:eastAsia="zh-CN"/>
        </w:rPr>
        <w:t>%。具体效益指标及满意度指标完成情况如下：</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社会效益指标：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bookmarkStart w:id="22" w:name="OLE_LINK16"/>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：宗教人士服务能力提升率 ，指标值：</w:t>
      </w:r>
      <w:bookmarkStart w:id="23" w:name="OLE_LINK39"/>
      <w:r>
        <w:rPr>
          <w:rFonts w:hint="eastAsia" w:ascii="宋体" w:hAnsi="宋体" w:eastAsia="宋体" w:cs="宋体"/>
          <w:sz w:val="32"/>
          <w:szCs w:val="32"/>
          <w:highlight w:val="none"/>
        </w:rPr>
        <w:t>≧</w:t>
      </w:r>
      <w:bookmarkEnd w:id="23"/>
      <w:r>
        <w:rPr>
          <w:rFonts w:hint="eastAsia" w:eastAsia="仿宋_GB2312" w:cs="Times New Roman"/>
          <w:sz w:val="32"/>
          <w:szCs w:val="32"/>
          <w:highlight w:val="none"/>
          <w:lang w:val="en-US" w:eastAsia="zh-CN"/>
        </w:rPr>
        <w:t>95%</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95%</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bookmarkEnd w:id="22"/>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bookmarkStart w:id="24" w:name="OLE_LINK40"/>
      <w:r>
        <w:rPr>
          <w:rFonts w:hint="eastAsia" w:eastAsia="仿宋_GB2312" w:cs="Times New Roman"/>
          <w:sz w:val="32"/>
          <w:szCs w:val="32"/>
          <w:lang w:val="en-US" w:eastAsia="zh-CN"/>
        </w:rPr>
        <w:t>此项权重分值为10分，得分为10分。</w:t>
      </w:r>
    </w:p>
    <w:bookmarkEnd w:id="24"/>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2.满意度</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：宗教人士服务能力提升率 ，指标值：</w:t>
      </w:r>
      <w:r>
        <w:rPr>
          <w:rFonts w:hint="eastAsia" w:ascii="宋体" w:hAnsi="宋体" w:eastAsia="宋体" w:cs="宋体"/>
          <w:sz w:val="32"/>
          <w:szCs w:val="32"/>
          <w:highlight w:val="none"/>
        </w:rPr>
        <w:t>≧</w:t>
      </w:r>
      <w:r>
        <w:rPr>
          <w:rFonts w:hint="eastAsia" w:eastAsia="仿宋_GB2312" w:cs="Times New Roman"/>
          <w:sz w:val="32"/>
          <w:szCs w:val="32"/>
          <w:highlight w:val="none"/>
          <w:lang w:val="en-US" w:eastAsia="zh-CN"/>
        </w:rPr>
        <w:t>95%</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95%</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pPr>
        <w:shd w:val="clear"/>
        <w:spacing w:line="600" w:lineRule="exact"/>
        <w:ind w:firstLine="640" w:firstLineChars="200"/>
        <w:outlineLvl w:val="0"/>
        <w:rPr>
          <w:rFonts w:hint="default" w:eastAsia="仿宋_GB2312" w:cs="Times New Roman"/>
          <w:sz w:val="32"/>
          <w:szCs w:val="32"/>
          <w:lang w:val="en-US" w:eastAsia="zh-CN"/>
        </w:rPr>
      </w:pPr>
      <w:r>
        <w:rPr>
          <w:rFonts w:hint="eastAsia" w:eastAsia="仿宋_GB2312" w:cs="Times New Roman"/>
          <w:sz w:val="32"/>
          <w:szCs w:val="32"/>
          <w:lang w:val="en-US" w:eastAsia="zh-CN"/>
        </w:rPr>
        <w:t>此项权重分值为10分，得分为10分。</w:t>
      </w:r>
    </w:p>
    <w:p>
      <w:pPr>
        <w:spacing w:line="560" w:lineRule="exact"/>
        <w:ind w:firstLine="643" w:firstLineChars="200"/>
        <w:rPr>
          <w:rFonts w:hint="default" w:ascii="Times New Roman" w:hAnsi="Times New Roman" w:eastAsia="楷体_GB2312" w:cs="Times New Roman"/>
          <w:b/>
          <w:bCs/>
          <w:sz w:val="32"/>
          <w:szCs w:val="32"/>
          <w:lang w:val="en-US" w:eastAsia="zh-Hans"/>
        </w:rPr>
      </w:pPr>
      <w:r>
        <w:rPr>
          <w:rFonts w:hint="default" w:ascii="Times New Roman" w:hAnsi="Times New Roman" w:eastAsia="楷体_GB2312" w:cs="Times New Roman"/>
          <w:b/>
          <w:bCs/>
          <w:sz w:val="32"/>
          <w:szCs w:val="32"/>
          <w:lang w:val="en-US" w:eastAsia="zh-CN"/>
        </w:rPr>
        <w:t>（五）</w:t>
      </w:r>
      <w:r>
        <w:rPr>
          <w:rFonts w:hint="default" w:ascii="Times New Roman" w:hAnsi="Times New Roman" w:eastAsia="楷体_GB2312" w:cs="Times New Roman"/>
          <w:b/>
          <w:bCs/>
          <w:sz w:val="32"/>
          <w:szCs w:val="32"/>
          <w:lang w:val="en-US" w:eastAsia="zh-Hans"/>
        </w:rPr>
        <w:t>预算执行进度与绩效指标总体完成率偏差</w:t>
      </w:r>
    </w:p>
    <w:p>
      <w:pPr>
        <w:pStyle w:val="20"/>
        <w:spacing w:line="560" w:lineRule="exact"/>
        <w:ind w:firstLine="640"/>
        <w:rPr>
          <w:rFonts w:hint="eastAsia" w:ascii="Times New Roman" w:hAnsi="Times New Roman" w:eastAsia="仿宋_GB2312" w:cs="Times New Roman"/>
          <w:kern w:val="2"/>
          <w:sz w:val="32"/>
          <w:szCs w:val="32"/>
          <w:highlight w:val="none"/>
          <w:lang w:val="en-US" w:eastAsia="zh-CN" w:bidi="ar-SA"/>
        </w:rPr>
      </w:pPr>
      <w:r>
        <w:rPr>
          <w:rFonts w:hint="default" w:ascii="Times New Roman" w:hAnsi="Times New Roman" w:eastAsia="仿宋_GB2312" w:cs="Times New Roman"/>
          <w:kern w:val="2"/>
          <w:sz w:val="32"/>
          <w:szCs w:val="32"/>
          <w:highlight w:val="none"/>
          <w:lang w:val="en-US" w:eastAsia="zh-CN" w:bidi="ar-SA"/>
        </w:rPr>
        <w:t>巴财行【2023】58号2024年宗教教职人员生活补贴资金项目年初预算</w:t>
      </w:r>
      <w:bookmarkStart w:id="25" w:name="OLE_LINK17"/>
      <w:r>
        <w:rPr>
          <w:rFonts w:hint="eastAsia" w:ascii="Times New Roman" w:hAnsi="Times New Roman" w:eastAsia="仿宋_GB2312" w:cs="Times New Roman"/>
          <w:kern w:val="2"/>
          <w:sz w:val="32"/>
          <w:szCs w:val="32"/>
          <w:highlight w:val="none"/>
          <w:lang w:val="en-US" w:eastAsia="zh-CN" w:bidi="ar-SA"/>
        </w:rPr>
        <w:t>71.02</w:t>
      </w:r>
      <w:bookmarkEnd w:id="25"/>
      <w:r>
        <w:rPr>
          <w:rFonts w:hint="default" w:ascii="Times New Roman" w:hAnsi="Times New Roman" w:eastAsia="仿宋_GB2312" w:cs="Times New Roman"/>
          <w:kern w:val="2"/>
          <w:sz w:val="32"/>
          <w:szCs w:val="32"/>
          <w:highlight w:val="none"/>
          <w:lang w:val="en-US" w:eastAsia="zh-CN" w:bidi="ar-SA"/>
        </w:rPr>
        <w:t>万元，全年预算</w:t>
      </w:r>
      <w:r>
        <w:rPr>
          <w:rFonts w:hint="eastAsia" w:ascii="Times New Roman" w:hAnsi="Times New Roman" w:eastAsia="仿宋_GB2312" w:cs="Times New Roman"/>
          <w:kern w:val="2"/>
          <w:sz w:val="32"/>
          <w:szCs w:val="32"/>
          <w:highlight w:val="none"/>
          <w:lang w:val="en-US" w:eastAsia="zh-CN" w:bidi="ar-SA"/>
        </w:rPr>
        <w:t>71.02</w:t>
      </w:r>
      <w:r>
        <w:rPr>
          <w:rFonts w:hint="default" w:ascii="Times New Roman" w:hAnsi="Times New Roman" w:eastAsia="仿宋_GB2312" w:cs="Times New Roman"/>
          <w:kern w:val="2"/>
          <w:sz w:val="32"/>
          <w:szCs w:val="32"/>
          <w:highlight w:val="none"/>
          <w:lang w:val="en-US" w:eastAsia="zh-CN" w:bidi="ar-SA"/>
        </w:rPr>
        <w:t>万元，实际支出</w:t>
      </w:r>
      <w:r>
        <w:rPr>
          <w:rFonts w:hint="eastAsia" w:ascii="Times New Roman" w:hAnsi="Times New Roman" w:eastAsia="仿宋_GB2312" w:cs="Times New Roman"/>
          <w:kern w:val="2"/>
          <w:sz w:val="32"/>
          <w:szCs w:val="32"/>
          <w:highlight w:val="none"/>
          <w:lang w:val="en-US" w:eastAsia="zh-CN" w:bidi="ar-SA"/>
        </w:rPr>
        <w:t>71.02</w:t>
      </w:r>
      <w:r>
        <w:rPr>
          <w:rFonts w:hint="default" w:ascii="Times New Roman" w:hAnsi="Times New Roman" w:eastAsia="仿宋_GB2312" w:cs="Times New Roman"/>
          <w:kern w:val="2"/>
          <w:sz w:val="32"/>
          <w:szCs w:val="32"/>
          <w:highlight w:val="none"/>
          <w:lang w:val="en-US" w:eastAsia="zh-CN" w:bidi="ar-SA"/>
        </w:rPr>
        <w:t>万元，预算执行率为</w:t>
      </w:r>
      <w:r>
        <w:rPr>
          <w:rFonts w:hint="eastAsia" w:ascii="Times New Roman" w:hAnsi="Times New Roman" w:eastAsia="仿宋_GB2312" w:cs="Times New Roman"/>
          <w:kern w:val="2"/>
          <w:sz w:val="32"/>
          <w:szCs w:val="32"/>
          <w:highlight w:val="none"/>
          <w:lang w:val="en-US" w:eastAsia="zh-CN" w:bidi="ar-SA"/>
        </w:rPr>
        <w:t>100</w:t>
      </w:r>
      <w:r>
        <w:rPr>
          <w:rFonts w:hint="default" w:ascii="Times New Roman" w:hAnsi="Times New Roman" w:eastAsia="仿宋_GB2312" w:cs="Times New Roman"/>
          <w:kern w:val="2"/>
          <w:sz w:val="32"/>
          <w:szCs w:val="32"/>
          <w:highlight w:val="none"/>
          <w:lang w:val="en-US" w:eastAsia="zh-CN" w:bidi="ar-SA"/>
        </w:rPr>
        <w:t>%，项目绩效指标总体完成率为</w:t>
      </w:r>
      <w:r>
        <w:rPr>
          <w:rFonts w:hint="eastAsia" w:ascii="Times New Roman" w:hAnsi="Times New Roman" w:eastAsia="仿宋_GB2312" w:cs="Times New Roman"/>
          <w:kern w:val="2"/>
          <w:sz w:val="32"/>
          <w:szCs w:val="32"/>
          <w:highlight w:val="none"/>
          <w:lang w:val="en-US" w:eastAsia="zh-CN" w:bidi="ar-SA"/>
        </w:rPr>
        <w:t>100</w:t>
      </w:r>
      <w:r>
        <w:rPr>
          <w:rFonts w:hint="default" w:ascii="Times New Roman" w:hAnsi="Times New Roman" w:eastAsia="仿宋_GB2312" w:cs="Times New Roman"/>
          <w:kern w:val="2"/>
          <w:sz w:val="32"/>
          <w:szCs w:val="32"/>
          <w:highlight w:val="none"/>
          <w:lang w:val="en-US" w:eastAsia="zh-CN" w:bidi="ar-SA"/>
        </w:rPr>
        <w:t>%，</w:t>
      </w:r>
      <w:r>
        <w:rPr>
          <w:rFonts w:hint="default" w:ascii="Times New Roman" w:hAnsi="Times New Roman" w:eastAsia="仿宋_GB2312" w:cs="Times New Roman"/>
          <w:kern w:val="2"/>
          <w:sz w:val="32"/>
          <w:szCs w:val="32"/>
          <w:highlight w:val="none"/>
          <w:lang w:val="en-US" w:eastAsia="zh-Hans" w:bidi="ar-SA"/>
        </w:rPr>
        <w:t>总体</w:t>
      </w:r>
      <w:r>
        <w:rPr>
          <w:rFonts w:hint="default" w:ascii="Times New Roman" w:hAnsi="Times New Roman" w:eastAsia="仿宋_GB2312" w:cs="Times New Roman"/>
          <w:kern w:val="2"/>
          <w:sz w:val="32"/>
          <w:szCs w:val="32"/>
          <w:highlight w:val="none"/>
          <w:lang w:val="en-US" w:eastAsia="zh-CN" w:bidi="ar-SA"/>
        </w:rPr>
        <w:t>偏差率为</w:t>
      </w:r>
      <w:r>
        <w:rPr>
          <w:rFonts w:hint="eastAsia" w:ascii="Times New Roman" w:hAnsi="Times New Roman" w:eastAsia="仿宋_GB2312" w:cs="Times New Roman"/>
          <w:kern w:val="2"/>
          <w:sz w:val="32"/>
          <w:szCs w:val="32"/>
          <w:highlight w:val="none"/>
          <w:lang w:val="en-US" w:eastAsia="zh-CN" w:bidi="ar-SA"/>
        </w:rPr>
        <w:t>0</w:t>
      </w:r>
      <w:r>
        <w:rPr>
          <w:rFonts w:hint="default" w:ascii="Times New Roman" w:hAnsi="Times New Roman" w:eastAsia="仿宋_GB2312" w:cs="Times New Roman"/>
          <w:kern w:val="2"/>
          <w:sz w:val="32"/>
          <w:szCs w:val="32"/>
          <w:highlight w:val="none"/>
          <w:lang w:val="en-US" w:eastAsia="zh-CN" w:bidi="ar-SA"/>
        </w:rPr>
        <w:t>%</w:t>
      </w:r>
      <w:r>
        <w:rPr>
          <w:rFonts w:hint="eastAsia" w:ascii="Times New Roman" w:hAnsi="Times New Roman" w:eastAsia="仿宋_GB2312" w:cs="Times New Roman"/>
          <w:kern w:val="2"/>
          <w:sz w:val="32"/>
          <w:szCs w:val="32"/>
          <w:highlight w:val="none"/>
          <w:lang w:val="en-US" w:eastAsia="zh-CN" w:bidi="ar-SA"/>
        </w:rPr>
        <w:t>，</w:t>
      </w:r>
      <w:r>
        <w:rPr>
          <w:rFonts w:hint="eastAsia" w:eastAsia="仿宋_GB2312" w:cs="Times New Roman"/>
          <w:kern w:val="2"/>
          <w:sz w:val="32"/>
          <w:szCs w:val="32"/>
          <w:highlight w:val="none"/>
          <w:lang w:val="en-US" w:eastAsia="zh-CN" w:bidi="ar-SA"/>
        </w:rPr>
        <w:t>该项目预算执行进度与绩效指标总体完成率无偏差。</w:t>
      </w:r>
    </w:p>
    <w:p>
      <w:pPr>
        <w:spacing w:line="560" w:lineRule="exact"/>
        <w:ind w:firstLine="640" w:firstLineChars="200"/>
        <w:rPr>
          <w:rStyle w:val="19"/>
          <w:rFonts w:hint="default" w:ascii="Times New Roman" w:hAnsi="Times New Roman" w:cs="Times New Roman"/>
          <w:color w:val="auto"/>
        </w:rPr>
      </w:pPr>
      <w:r>
        <w:rPr>
          <w:rFonts w:hint="eastAsia" w:eastAsia="黑体" w:cs="Times New Roman"/>
          <w:sz w:val="32"/>
          <w:szCs w:val="32"/>
          <w:lang w:val="en-US" w:eastAsia="zh-CN"/>
        </w:rPr>
        <w:t>五</w:t>
      </w:r>
      <w:r>
        <w:rPr>
          <w:rFonts w:hint="default" w:ascii="Times New Roman" w:hAnsi="Times New Roman" w:eastAsia="仿宋_GB2312" w:cs="Times New Roman"/>
          <w:b/>
          <w:bCs/>
          <w:sz w:val="32"/>
          <w:szCs w:val="32"/>
          <w:lang w:val="en-US" w:eastAsia="zh-CN"/>
        </w:rPr>
        <w:t>.</w:t>
      </w:r>
      <w:r>
        <w:rPr>
          <w:rFonts w:hint="default" w:ascii="Times New Roman" w:hAnsi="Times New Roman" w:eastAsia="黑体" w:cs="Times New Roman"/>
          <w:sz w:val="32"/>
          <w:szCs w:val="32"/>
        </w:rPr>
        <w:t>主要经验及做法、存在的问题及原因分析</w:t>
      </w:r>
    </w:p>
    <w:p>
      <w:pPr>
        <w:spacing w:line="560" w:lineRule="exact"/>
        <w:ind w:firstLine="627" w:firstLineChars="200"/>
        <w:rPr>
          <w:rFonts w:hint="eastAsia" w:eastAsia="楷体" w:cs="Times New Roman"/>
          <w:b/>
          <w:spacing w:val="-4"/>
          <w:sz w:val="32"/>
          <w:szCs w:val="32"/>
          <w:lang w:eastAsia="zh-CN"/>
        </w:rPr>
      </w:pPr>
      <w:r>
        <w:rPr>
          <w:rFonts w:hint="default" w:ascii="Times New Roman" w:hAnsi="Times New Roman" w:eastAsia="楷体" w:cs="Times New Roman"/>
          <w:b/>
          <w:spacing w:val="-4"/>
          <w:sz w:val="32"/>
          <w:szCs w:val="32"/>
        </w:rPr>
        <w:t>（一）主要经验及做法</w:t>
      </w:r>
      <w:r>
        <w:rPr>
          <w:rFonts w:hint="eastAsia" w:eastAsia="楷体" w:cs="Times New Roman"/>
          <w:b/>
          <w:spacing w:val="-4"/>
          <w:sz w:val="32"/>
          <w:szCs w:val="32"/>
          <w:lang w:eastAsia="zh-CN"/>
        </w:rPr>
        <w:t>：</w:t>
      </w:r>
    </w:p>
    <w:p>
      <w:pPr>
        <w:spacing w:line="560" w:lineRule="exact"/>
        <w:ind w:firstLine="643" w:firstLineChars="200"/>
        <w:rPr>
          <w:rFonts w:hint="eastAsia" w:ascii="Times New Roman" w:hAnsi="Times New Roman" w:eastAsia="仿宋_GB2312" w:cs="Times New Roman"/>
          <w:sz w:val="32"/>
          <w:szCs w:val="32"/>
          <w:highlight w:val="none"/>
        </w:rPr>
      </w:pPr>
      <w:r>
        <w:rPr>
          <w:rFonts w:hint="eastAsia" w:ascii="Times New Roman" w:hAnsi="Times New Roman" w:eastAsia="仿宋_GB2312" w:cs="Times New Roman"/>
          <w:b/>
          <w:bCs/>
          <w:sz w:val="32"/>
          <w:szCs w:val="32"/>
          <w:highlight w:val="none"/>
        </w:rPr>
        <w:t>一是</w:t>
      </w:r>
      <w:r>
        <w:rPr>
          <w:rFonts w:hint="eastAsia" w:ascii="Times New Roman" w:hAnsi="Times New Roman" w:eastAsia="仿宋_GB2312" w:cs="Times New Roman"/>
          <w:sz w:val="32"/>
          <w:szCs w:val="32"/>
          <w:highlight w:val="none"/>
        </w:rPr>
        <w:t>高度重视。高度重视中央财政绩效评价工作，积极加强部门之间沟通协调，在总结以往工作经验的基础上，按照财政局通知要求，认真开展绩效自评工作。</w:t>
      </w:r>
      <w:r>
        <w:rPr>
          <w:rFonts w:hint="eastAsia" w:ascii="Times New Roman" w:hAnsi="Times New Roman" w:eastAsia="仿宋_GB2312" w:cs="Times New Roman"/>
          <w:sz w:val="32"/>
          <w:szCs w:val="32"/>
          <w:highlight w:val="none"/>
        </w:rPr>
        <w:br w:type="textWrapping"/>
      </w:r>
      <w:r>
        <w:rPr>
          <w:rFonts w:hint="eastAsia" w:eastAsia="仿宋_GB2312" w:cs="Times New Roman"/>
          <w:sz w:val="32"/>
          <w:szCs w:val="32"/>
          <w:highlight w:val="none"/>
          <w:lang w:val="en-US" w:eastAsia="zh-CN"/>
        </w:rPr>
        <w:t xml:space="preserve">   </w:t>
      </w:r>
      <w:r>
        <w:rPr>
          <w:rFonts w:hint="eastAsia" w:ascii="Times New Roman" w:hAnsi="Times New Roman" w:eastAsia="仿宋_GB2312" w:cs="Times New Roman"/>
          <w:b/>
          <w:bCs/>
          <w:sz w:val="32"/>
          <w:szCs w:val="32"/>
          <w:highlight w:val="none"/>
        </w:rPr>
        <w:t>二是</w:t>
      </w:r>
      <w:r>
        <w:rPr>
          <w:rFonts w:hint="eastAsia" w:ascii="Times New Roman" w:hAnsi="Times New Roman" w:eastAsia="仿宋_GB2312" w:cs="Times New Roman"/>
          <w:sz w:val="32"/>
          <w:szCs w:val="32"/>
          <w:highlight w:val="none"/>
        </w:rPr>
        <w:t>明确责任。明确了绩效自评工作责任分工和完成时限，并提出了具体要求。</w:t>
      </w:r>
      <w:r>
        <w:rPr>
          <w:rFonts w:hint="eastAsia" w:ascii="Times New Roman" w:hAnsi="Times New Roman" w:eastAsia="仿宋_GB2312" w:cs="Times New Roman"/>
          <w:sz w:val="32"/>
          <w:szCs w:val="32"/>
          <w:highlight w:val="none"/>
        </w:rPr>
        <w:br w:type="textWrapping"/>
      </w:r>
      <w:r>
        <w:rPr>
          <w:rFonts w:hint="eastAsia" w:eastAsia="仿宋_GB2312" w:cs="Times New Roman"/>
          <w:sz w:val="32"/>
          <w:szCs w:val="32"/>
          <w:highlight w:val="none"/>
          <w:lang w:val="en-US" w:eastAsia="zh-CN"/>
        </w:rPr>
        <w:t xml:space="preserve">   </w:t>
      </w:r>
      <w:r>
        <w:rPr>
          <w:rFonts w:hint="eastAsia" w:ascii="Times New Roman" w:hAnsi="Times New Roman" w:eastAsia="仿宋_GB2312" w:cs="Times New Roman"/>
          <w:b/>
          <w:bCs/>
          <w:sz w:val="32"/>
          <w:szCs w:val="32"/>
          <w:highlight w:val="none"/>
        </w:rPr>
        <w:t>三是</w:t>
      </w:r>
      <w:r>
        <w:rPr>
          <w:rFonts w:hint="eastAsia" w:ascii="Times New Roman" w:hAnsi="Times New Roman" w:eastAsia="仿宋_GB2312" w:cs="Times New Roman"/>
          <w:sz w:val="32"/>
          <w:szCs w:val="32"/>
          <w:highlight w:val="none"/>
        </w:rPr>
        <w:t>严格监督和管理项目资金。严格按照合同约定和工程建设进度支付资金，每笔工程款的支付均按照施工单位申请、监理审核、项目管理部门确认、财务部门审查、领导审批等程序进行。</w:t>
      </w:r>
    </w:p>
    <w:p>
      <w:pPr>
        <w:spacing w:line="560" w:lineRule="exact"/>
        <w:ind w:firstLine="640" w:firstLineChars="200"/>
        <w:rPr>
          <w:rFonts w:hint="eastAsia" w:ascii="方正仿宋_GBK" w:hAnsi="方正仿宋_GBK" w:eastAsia="方正仿宋_GBK" w:cs="方正仿宋_GBK"/>
          <w:b w:val="0"/>
          <w:bCs w:val="0"/>
          <w:spacing w:val="0"/>
          <w:sz w:val="32"/>
          <w:szCs w:val="32"/>
        </w:rPr>
      </w:pPr>
      <w:r>
        <w:rPr>
          <w:rFonts w:hint="eastAsia" w:ascii="方正仿宋_GBK" w:hAnsi="方正仿宋_GBK" w:eastAsia="方正仿宋_GBK" w:cs="方正仿宋_GBK"/>
          <w:b w:val="0"/>
          <w:bCs w:val="0"/>
          <w:spacing w:val="0"/>
          <w:sz w:val="32"/>
          <w:szCs w:val="32"/>
        </w:rPr>
        <w:t>通过以上做法，我们有效提升了</w:t>
      </w:r>
      <w:r>
        <w:rPr>
          <w:rFonts w:hint="eastAsia" w:ascii="方正仿宋_GBK" w:hAnsi="方正仿宋_GBK" w:eastAsia="方正仿宋_GBK" w:cs="方正仿宋_GBK"/>
          <w:b w:val="0"/>
          <w:bCs w:val="0"/>
          <w:spacing w:val="0"/>
          <w:sz w:val="32"/>
          <w:szCs w:val="32"/>
          <w:lang w:eastAsia="zh-CN"/>
        </w:rPr>
        <w:t>项目</w:t>
      </w:r>
      <w:r>
        <w:rPr>
          <w:rFonts w:hint="eastAsia" w:ascii="方正仿宋_GBK" w:hAnsi="方正仿宋_GBK" w:eastAsia="方正仿宋_GBK" w:cs="方正仿宋_GBK"/>
          <w:b w:val="0"/>
          <w:bCs w:val="0"/>
          <w:spacing w:val="0"/>
          <w:sz w:val="32"/>
          <w:szCs w:val="32"/>
        </w:rPr>
        <w:t>经费的使用效益，为</w:t>
      </w:r>
      <w:r>
        <w:rPr>
          <w:rFonts w:hint="eastAsia" w:ascii="方正仿宋_GBK" w:hAnsi="方正仿宋_GBK" w:eastAsia="方正仿宋_GBK" w:cs="方正仿宋_GBK"/>
          <w:b w:val="0"/>
          <w:bCs w:val="0"/>
          <w:spacing w:val="0"/>
          <w:sz w:val="32"/>
          <w:szCs w:val="32"/>
          <w:lang w:eastAsia="zh-CN"/>
        </w:rPr>
        <w:t>宗教领域友好</w:t>
      </w:r>
      <w:r>
        <w:rPr>
          <w:rFonts w:hint="eastAsia" w:ascii="方正仿宋_GBK" w:hAnsi="方正仿宋_GBK" w:eastAsia="方正仿宋_GBK" w:cs="方正仿宋_GBK"/>
          <w:b w:val="0"/>
          <w:bCs w:val="0"/>
          <w:spacing w:val="0"/>
          <w:sz w:val="32"/>
          <w:szCs w:val="32"/>
        </w:rPr>
        <w:t>服务，促进</w:t>
      </w:r>
      <w:r>
        <w:rPr>
          <w:rFonts w:hint="eastAsia" w:ascii="方正仿宋_GBK" w:hAnsi="方正仿宋_GBK" w:eastAsia="方正仿宋_GBK" w:cs="方正仿宋_GBK"/>
          <w:b w:val="0"/>
          <w:bCs w:val="0"/>
          <w:spacing w:val="0"/>
          <w:sz w:val="32"/>
          <w:szCs w:val="32"/>
          <w:lang w:eastAsia="zh-CN"/>
        </w:rPr>
        <w:t>我市宗教</w:t>
      </w:r>
      <w:r>
        <w:rPr>
          <w:rFonts w:hint="eastAsia" w:ascii="方正仿宋_GBK" w:hAnsi="方正仿宋_GBK" w:eastAsia="方正仿宋_GBK" w:cs="方正仿宋_GBK"/>
          <w:b w:val="0"/>
          <w:bCs w:val="0"/>
          <w:spacing w:val="0"/>
          <w:sz w:val="32"/>
          <w:szCs w:val="32"/>
        </w:rPr>
        <w:t>工作高质量发展提供了有力保障。</w:t>
      </w:r>
    </w:p>
    <w:p>
      <w:pPr>
        <w:spacing w:line="560" w:lineRule="exact"/>
        <w:ind w:firstLine="640" w:firstLineChars="200"/>
        <w:rPr>
          <w:rFonts w:hint="eastAsia" w:ascii="方正仿宋_GBK" w:hAnsi="方正仿宋_GBK" w:eastAsia="方正仿宋_GBK" w:cs="方正仿宋_GBK"/>
          <w:b w:val="0"/>
          <w:bCs w:val="0"/>
          <w:spacing w:val="0"/>
          <w:sz w:val="32"/>
          <w:szCs w:val="32"/>
          <w:lang w:eastAsia="zh-CN"/>
        </w:rPr>
      </w:pPr>
    </w:p>
    <w:p>
      <w:pPr>
        <w:keepNext/>
        <w:keepLines/>
        <w:numPr>
          <w:ilvl w:val="0"/>
          <w:numId w:val="6"/>
        </w:num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存在的问题及原因分析</w:t>
      </w:r>
    </w:p>
    <w:p>
      <w:pPr>
        <w:keepNext/>
        <w:keepLines w:val="0"/>
        <w:pageBreakBefore w:val="0"/>
        <w:widowControl w:val="0"/>
        <w:shd w:val="clear"/>
        <w:kinsoku/>
        <w:wordWrap/>
        <w:overflowPunct/>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pacing w:val="0"/>
          <w:sz w:val="32"/>
          <w:szCs w:val="32"/>
          <w:highlight w:val="none"/>
          <w:lang w:val="en-US" w:eastAsia="zh-CN"/>
        </w:rPr>
      </w:pPr>
      <w:r>
        <w:rPr>
          <w:rFonts w:hint="eastAsia" w:eastAsia="仿宋_GB2312" w:cs="Times New Roman"/>
          <w:spacing w:val="0"/>
          <w:sz w:val="32"/>
          <w:szCs w:val="32"/>
          <w:highlight w:val="none"/>
          <w:lang w:val="en-US" w:eastAsia="zh-CN"/>
        </w:rPr>
        <w:t>1.</w:t>
      </w:r>
      <w:r>
        <w:rPr>
          <w:rFonts w:hint="default" w:ascii="Times New Roman" w:hAnsi="Times New Roman" w:eastAsia="仿宋_GB2312" w:cs="Times New Roman"/>
          <w:spacing w:val="0"/>
          <w:sz w:val="32"/>
          <w:szCs w:val="32"/>
          <w:highlight w:val="none"/>
          <w:lang w:val="en-US" w:eastAsia="zh-CN"/>
        </w:rPr>
        <w:t>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pPr>
        <w:keepNext/>
        <w:keepLines w:val="0"/>
        <w:pageBreakBefore w:val="0"/>
        <w:widowControl w:val="0"/>
        <w:shd w:val="clear"/>
        <w:kinsoku/>
        <w:wordWrap/>
        <w:overflowPunct/>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pacing w:val="0"/>
          <w:sz w:val="32"/>
          <w:szCs w:val="32"/>
          <w:highlight w:val="none"/>
          <w:lang w:val="en-US" w:eastAsia="zh-CN"/>
        </w:rPr>
      </w:pPr>
      <w:r>
        <w:rPr>
          <w:rFonts w:hint="eastAsia" w:eastAsia="仿宋_GB2312" w:cs="Times New Roman"/>
          <w:spacing w:val="0"/>
          <w:sz w:val="32"/>
          <w:szCs w:val="32"/>
          <w:highlight w:val="none"/>
          <w:lang w:val="en-US" w:eastAsia="zh-CN"/>
        </w:rPr>
        <w:t>2.</w:t>
      </w:r>
      <w:r>
        <w:rPr>
          <w:rFonts w:hint="default" w:ascii="Times New Roman" w:hAnsi="Times New Roman" w:eastAsia="仿宋_GB2312" w:cs="Times New Roman"/>
          <w:spacing w:val="0"/>
          <w:sz w:val="32"/>
          <w:szCs w:val="32"/>
          <w:highlight w:val="none"/>
          <w:lang w:val="en-US" w:eastAsia="zh-CN"/>
        </w:rPr>
        <w:t>人员专业能力欠缺</w:t>
      </w:r>
      <w:r>
        <w:rPr>
          <w:rFonts w:hint="eastAsia" w:eastAsia="仿宋_GB2312" w:cs="Times New Roman"/>
          <w:spacing w:val="0"/>
          <w:sz w:val="32"/>
          <w:szCs w:val="32"/>
          <w:highlight w:val="none"/>
          <w:lang w:val="en-US" w:eastAsia="zh-CN"/>
        </w:rPr>
        <w:t>。</w:t>
      </w:r>
      <w:r>
        <w:rPr>
          <w:rFonts w:hint="eastAsia" w:eastAsia="仿宋_GB2312" w:cs="Times New Roman"/>
          <w:spacing w:val="-6"/>
          <w:sz w:val="32"/>
          <w:szCs w:val="32"/>
          <w:highlight w:val="none"/>
          <w:lang w:val="en-US" w:eastAsia="zh-CN"/>
        </w:rPr>
        <w:t>统战部</w:t>
      </w:r>
      <w:r>
        <w:rPr>
          <w:rFonts w:hint="default" w:ascii="Times New Roman" w:hAnsi="Times New Roman" w:eastAsia="仿宋_GB2312" w:cs="Times New Roman"/>
          <w:spacing w:val="-6"/>
          <w:sz w:val="32"/>
          <w:szCs w:val="32"/>
          <w:highlight w:val="none"/>
          <w:lang w:val="en-US" w:eastAsia="zh-CN"/>
        </w:rPr>
        <w:t>经费管理和项目运作的专业知识不足，导致项目策划和执行水平不高，影响整体成效。</w:t>
      </w:r>
    </w:p>
    <w:p>
      <w:pPr>
        <w:keepNext/>
        <w:keepLines w:val="0"/>
        <w:pageBreakBefore w:val="0"/>
        <w:widowControl w:val="0"/>
        <w:shd w:val="clear"/>
        <w:kinsoku/>
        <w:wordWrap/>
        <w:overflowPunct/>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pacing w:val="0"/>
          <w:sz w:val="32"/>
          <w:szCs w:val="32"/>
          <w:highlight w:val="none"/>
          <w:lang w:val="en-US" w:eastAsia="zh-CN"/>
        </w:rPr>
      </w:pPr>
      <w:r>
        <w:rPr>
          <w:rFonts w:hint="eastAsia" w:eastAsia="仿宋_GB2312" w:cs="Times New Roman"/>
          <w:spacing w:val="0"/>
          <w:sz w:val="32"/>
          <w:szCs w:val="32"/>
          <w:highlight w:val="none"/>
          <w:lang w:val="en-US" w:eastAsia="zh-CN"/>
        </w:rPr>
        <w:t>3.</w:t>
      </w:r>
      <w:r>
        <w:rPr>
          <w:rFonts w:hint="default" w:ascii="Times New Roman" w:hAnsi="Times New Roman" w:eastAsia="仿宋_GB2312" w:cs="Times New Roman"/>
          <w:spacing w:val="0"/>
          <w:sz w:val="32"/>
          <w:szCs w:val="32"/>
          <w:highlight w:val="none"/>
          <w:lang w:val="en-US" w:eastAsia="zh-CN"/>
        </w:rPr>
        <w:t>因轮岗、调动</w:t>
      </w:r>
      <w:r>
        <w:rPr>
          <w:rFonts w:hint="eastAsia" w:ascii="Times New Roman" w:hAnsi="Times New Roman" w:eastAsia="仿宋_GB2312" w:cs="Times New Roman"/>
          <w:spacing w:val="0"/>
          <w:sz w:val="32"/>
          <w:szCs w:val="32"/>
          <w:highlight w:val="none"/>
          <w:lang w:val="en-US" w:eastAsia="zh-CN"/>
        </w:rPr>
        <w:t>等</w:t>
      </w:r>
      <w:r>
        <w:rPr>
          <w:rFonts w:hint="default" w:ascii="Times New Roman" w:hAnsi="Times New Roman" w:eastAsia="仿宋_GB2312" w:cs="Times New Roman"/>
          <w:spacing w:val="0"/>
          <w:sz w:val="32"/>
          <w:szCs w:val="32"/>
          <w:highlight w:val="none"/>
          <w:lang w:val="en-US" w:eastAsia="zh-CN"/>
        </w:rPr>
        <w:t>因素使我单位绩效工作人员流动频繁，</w:t>
      </w:r>
      <w:r>
        <w:rPr>
          <w:rFonts w:hint="eastAsia" w:ascii="Times New Roman" w:hAnsi="Times New Roman" w:eastAsia="仿宋_GB2312" w:cs="Times New Roman"/>
          <w:spacing w:val="0"/>
          <w:sz w:val="32"/>
          <w:szCs w:val="32"/>
          <w:highlight w:val="none"/>
          <w:lang w:val="en-US" w:eastAsia="zh-CN"/>
        </w:rPr>
        <w:t>造成</w:t>
      </w:r>
      <w:r>
        <w:rPr>
          <w:rFonts w:hint="default" w:ascii="Times New Roman" w:hAnsi="Times New Roman" w:eastAsia="仿宋_GB2312" w:cs="Times New Roman"/>
          <w:spacing w:val="0"/>
          <w:sz w:val="32"/>
          <w:szCs w:val="32"/>
          <w:highlight w:val="none"/>
          <w:lang w:val="en-US" w:eastAsia="zh-CN"/>
        </w:rPr>
        <w:t>工作衔接不到位的情况。</w:t>
      </w:r>
    </w:p>
    <w:p>
      <w:pPr>
        <w:keepNext/>
        <w:keepLines w:val="0"/>
        <w:pageBreakBefore w:val="0"/>
        <w:widowControl w:val="0"/>
        <w:shd w:val="clear"/>
        <w:kinsoku/>
        <w:wordWrap/>
        <w:overflowPunct/>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pacing w:val="0"/>
          <w:sz w:val="32"/>
          <w:szCs w:val="32"/>
          <w:highlight w:val="none"/>
          <w:lang w:val="en-US" w:eastAsia="zh-CN"/>
        </w:rPr>
      </w:pPr>
      <w:r>
        <w:rPr>
          <w:rFonts w:hint="default" w:ascii="Times New Roman" w:hAnsi="Times New Roman" w:eastAsia="仿宋_GB2312" w:cs="Times New Roman"/>
          <w:spacing w:val="0"/>
          <w:sz w:val="32"/>
          <w:szCs w:val="32"/>
          <w:highlight w:val="none"/>
          <w:lang w:val="en-US" w:eastAsia="zh-CN"/>
        </w:rPr>
        <w:t>以上问题主要源于制度落实不到位、监督机制不健全以及人员培训不足，需通过加强规范化管理、创新工作方式和提升人员素质加以解决。</w:t>
      </w:r>
    </w:p>
    <w:p>
      <w:pPr>
        <w:spacing w:line="560" w:lineRule="exact"/>
        <w:ind w:firstLine="640" w:firstLineChars="200"/>
        <w:rPr>
          <w:rFonts w:hint="default" w:ascii="Times New Roman" w:hAnsi="Times New Roman" w:eastAsia="黑体" w:cs="Times New Roman"/>
          <w:sz w:val="32"/>
          <w:szCs w:val="32"/>
        </w:rPr>
      </w:pPr>
      <w:r>
        <w:rPr>
          <w:rFonts w:hint="eastAsia" w:ascii="Times New Roman" w:hAnsi="Times New Roman" w:eastAsia="黑体" w:cs="Times New Roman"/>
          <w:sz w:val="32"/>
          <w:szCs w:val="32"/>
          <w:lang w:val="en-US" w:eastAsia="zh-CN"/>
        </w:rPr>
        <w:t>六</w:t>
      </w:r>
      <w:r>
        <w:rPr>
          <w:rFonts w:hint="default" w:ascii="Times New Roman" w:hAnsi="Times New Roman" w:eastAsia="黑体" w:cs="Times New Roman"/>
          <w:sz w:val="32"/>
          <w:szCs w:val="32"/>
          <w:lang w:val="en-US" w:eastAsia="zh-CN"/>
        </w:rPr>
        <w:t>.</w:t>
      </w:r>
      <w:r>
        <w:rPr>
          <w:rFonts w:hint="default" w:ascii="Times New Roman" w:hAnsi="Times New Roman" w:eastAsia="黑体" w:cs="Times New Roman"/>
          <w:sz w:val="32"/>
          <w:szCs w:val="32"/>
        </w:rPr>
        <w:t>有关建议</w:t>
      </w:r>
    </w:p>
    <w:p>
      <w:pPr>
        <w:keepNext/>
        <w:keepLines w:val="0"/>
        <w:pageBreakBefore w:val="0"/>
        <w:widowControl w:val="0"/>
        <w:shd w:val="clear"/>
        <w:kinsoku/>
        <w:wordWrap/>
        <w:overflowPunct/>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pacing w:val="0"/>
          <w:sz w:val="32"/>
          <w:szCs w:val="32"/>
          <w:highlight w:val="none"/>
          <w:lang w:val="en-US" w:eastAsia="zh-CN"/>
        </w:rPr>
      </w:pPr>
      <w:r>
        <w:rPr>
          <w:rFonts w:hint="default" w:ascii="Times New Roman" w:hAnsi="Times New Roman" w:eastAsia="仿宋_GB2312" w:cs="Times New Roman"/>
          <w:spacing w:val="0"/>
          <w:sz w:val="32"/>
          <w:szCs w:val="32"/>
          <w:highlight w:val="none"/>
          <w:lang w:val="en-US" w:eastAsia="zh-CN"/>
        </w:rPr>
        <w:t>1.多进行有关绩效管理工作方面的培训。积极组织第三方开展绩效管理工作培训，进一步夯实业务基础，提高我单位绩效人员水平。</w:t>
      </w:r>
    </w:p>
    <w:p>
      <w:pPr>
        <w:keepNext/>
        <w:keepLines w:val="0"/>
        <w:pageBreakBefore w:val="0"/>
        <w:widowControl w:val="0"/>
        <w:shd w:val="clear"/>
        <w:kinsoku/>
        <w:wordWrap/>
        <w:overflowPunct/>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pacing w:val="0"/>
          <w:sz w:val="32"/>
          <w:szCs w:val="32"/>
          <w:highlight w:val="none"/>
          <w:lang w:val="en-US" w:eastAsia="zh-CN"/>
        </w:rPr>
      </w:pPr>
      <w:r>
        <w:rPr>
          <w:rFonts w:hint="eastAsia" w:eastAsia="仿宋_GB2312" w:cs="Times New Roman"/>
          <w:spacing w:val="0"/>
          <w:sz w:val="32"/>
          <w:szCs w:val="32"/>
          <w:highlight w:val="none"/>
          <w:lang w:val="en-US" w:eastAsia="zh-CN"/>
        </w:rPr>
        <w:t>2</w:t>
      </w:r>
      <w:r>
        <w:rPr>
          <w:rFonts w:hint="default" w:ascii="Times New Roman" w:hAnsi="Times New Roman" w:eastAsia="仿宋_GB2312" w:cs="Times New Roman"/>
          <w:spacing w:val="0"/>
          <w:sz w:val="32"/>
          <w:szCs w:val="32"/>
          <w:highlight w:val="none"/>
          <w:lang w:val="en-US" w:eastAsia="zh-CN"/>
        </w:rPr>
        <w:t>.进一步加强对绩效管理工作的组织领导，提高对预算绩效管理工作重要性的认识，总结经验查找问题，抓紧研究制定更全面更完善的绩效评价管理办法。</w:t>
      </w:r>
    </w:p>
    <w:p>
      <w:pPr>
        <w:keepNext/>
        <w:keepLines w:val="0"/>
        <w:pageBreakBefore w:val="0"/>
        <w:widowControl w:val="0"/>
        <w:shd w:val="clear"/>
        <w:kinsoku/>
        <w:wordWrap/>
        <w:overflowPunct/>
        <w:topLinePunct w:val="0"/>
        <w:autoSpaceDE/>
        <w:autoSpaceDN/>
        <w:bidi w:val="0"/>
        <w:adjustRightInd/>
        <w:snapToGrid/>
        <w:spacing w:line="600" w:lineRule="exact"/>
        <w:ind w:firstLine="640" w:firstLineChars="200"/>
        <w:outlineLvl w:val="0"/>
        <w:rPr>
          <w:rFonts w:hint="default" w:ascii="Times New Roman" w:hAnsi="Times New Roman" w:eastAsia="仿宋_GB2312" w:cs="Times New Roman"/>
          <w:spacing w:val="0"/>
          <w:sz w:val="32"/>
          <w:szCs w:val="32"/>
          <w:highlight w:val="none"/>
          <w:lang w:val="en-US" w:eastAsia="zh-CN"/>
        </w:rPr>
      </w:pPr>
      <w:r>
        <w:rPr>
          <w:rFonts w:hint="eastAsia" w:eastAsia="仿宋_GB2312" w:cs="Times New Roman"/>
          <w:spacing w:val="0"/>
          <w:sz w:val="32"/>
          <w:szCs w:val="32"/>
          <w:highlight w:val="none"/>
          <w:lang w:val="en-US" w:eastAsia="zh-CN"/>
        </w:rPr>
        <w:t>3.</w:t>
      </w:r>
      <w:r>
        <w:rPr>
          <w:rFonts w:hint="default" w:ascii="Times New Roman" w:hAnsi="Times New Roman" w:eastAsia="仿宋_GB2312" w:cs="Times New Roman"/>
          <w:spacing w:val="0"/>
          <w:sz w:val="32"/>
          <w:szCs w:val="32"/>
          <w:highlight w:val="none"/>
          <w:lang w:val="en-US" w:eastAsia="zh-CN"/>
        </w:rPr>
        <w:t>专门设定对绩效工作人员定职、定岗、定责等相关制度措施，进一步提升我单位绩效管理工作业务水平，扎实做好绩效管理工作。</w:t>
      </w:r>
    </w:p>
    <w:p>
      <w:pPr>
        <w:spacing w:line="560" w:lineRule="exact"/>
        <w:ind w:firstLine="640" w:firstLineChars="200"/>
        <w:rPr>
          <w:rFonts w:hint="default" w:ascii="Times New Roman" w:hAnsi="Times New Roman" w:eastAsia="仿宋_GB2312" w:cs="Times New Roman"/>
          <w:spacing w:val="0"/>
          <w:sz w:val="32"/>
          <w:szCs w:val="32"/>
          <w:highlight w:val="none"/>
          <w:lang w:val="en-US" w:eastAsia="zh-CN"/>
        </w:rPr>
      </w:pPr>
      <w:r>
        <w:rPr>
          <w:rFonts w:hint="default" w:ascii="Times New Roman" w:hAnsi="Times New Roman" w:eastAsia="仿宋_GB2312" w:cs="Times New Roman"/>
          <w:spacing w:val="0"/>
          <w:sz w:val="32"/>
          <w:szCs w:val="32"/>
          <w:highlight w:val="none"/>
          <w:lang w:val="en-US" w:eastAsia="zh-CN"/>
        </w:rPr>
        <w:t>结合</w:t>
      </w:r>
      <w:r>
        <w:rPr>
          <w:rFonts w:hint="eastAsia" w:eastAsia="仿宋_GB2312" w:cs="Times New Roman"/>
          <w:spacing w:val="0"/>
          <w:sz w:val="32"/>
          <w:szCs w:val="32"/>
          <w:highlight w:val="none"/>
          <w:lang w:val="en-US" w:eastAsia="zh-CN"/>
        </w:rPr>
        <w:t>年终</w:t>
      </w:r>
      <w:r>
        <w:rPr>
          <w:rFonts w:hint="default" w:ascii="Times New Roman" w:hAnsi="Times New Roman" w:eastAsia="仿宋_GB2312" w:cs="Times New Roman"/>
          <w:spacing w:val="0"/>
          <w:sz w:val="32"/>
          <w:szCs w:val="32"/>
          <w:highlight w:val="none"/>
          <w:lang w:val="en-US" w:eastAsia="zh-CN"/>
        </w:rPr>
        <w:t>考核建立绩效工作考核制度，加大全局对全面实施预算绩效管理和绩效管理工作的学习力度，让“花钱必</w:t>
      </w:r>
      <w:r>
        <w:rPr>
          <w:rFonts w:hint="eastAsia" w:eastAsia="仿宋_GB2312" w:cs="Times New Roman"/>
          <w:spacing w:val="0"/>
          <w:sz w:val="32"/>
          <w:szCs w:val="32"/>
          <w:highlight w:val="none"/>
          <w:lang w:val="en-US" w:eastAsia="zh-CN"/>
        </w:rPr>
        <w:t>有</w:t>
      </w:r>
      <w:r>
        <w:rPr>
          <w:rFonts w:hint="default" w:ascii="Times New Roman" w:hAnsi="Times New Roman" w:eastAsia="仿宋_GB2312" w:cs="Times New Roman"/>
          <w:spacing w:val="0"/>
          <w:sz w:val="32"/>
          <w:szCs w:val="32"/>
          <w:highlight w:val="none"/>
          <w:lang w:val="en-US" w:eastAsia="zh-CN"/>
        </w:rPr>
        <w:t>效，无效必问责”的理念深入工作每个环节</w:t>
      </w:r>
      <w:r>
        <w:rPr>
          <w:rFonts w:hint="eastAsia" w:eastAsia="仿宋_GB2312" w:cs="Times New Roman"/>
          <w:spacing w:val="0"/>
          <w:sz w:val="32"/>
          <w:szCs w:val="32"/>
          <w:highlight w:val="none"/>
          <w:lang w:val="en-US" w:eastAsia="zh-CN"/>
        </w:rPr>
        <w:t xml:space="preserve"> </w:t>
      </w:r>
      <w:r>
        <w:rPr>
          <w:rFonts w:hint="default" w:ascii="Times New Roman" w:hAnsi="Times New Roman" w:eastAsia="仿宋_GB2312" w:cs="Times New Roman"/>
          <w:spacing w:val="0"/>
          <w:sz w:val="32"/>
          <w:szCs w:val="32"/>
          <w:highlight w:val="none"/>
          <w:lang w:val="en-US" w:eastAsia="zh-CN"/>
        </w:rPr>
        <w:t>。</w:t>
      </w:r>
    </w:p>
    <w:p>
      <w:pPr>
        <w:spacing w:line="560" w:lineRule="exact"/>
        <w:ind w:firstLine="640" w:firstLineChars="200"/>
        <w:rPr>
          <w:rFonts w:hint="default" w:ascii="Times New Roman" w:hAnsi="Times New Roman" w:eastAsia="黑体" w:cs="Times New Roman"/>
          <w:sz w:val="32"/>
          <w:szCs w:val="32"/>
        </w:rPr>
      </w:pPr>
      <w:r>
        <w:rPr>
          <w:rFonts w:hint="eastAsia" w:eastAsia="黑体" w:cs="Times New Roman"/>
          <w:sz w:val="32"/>
          <w:szCs w:val="32"/>
          <w:lang w:val="en-US" w:eastAsia="zh-CN"/>
        </w:rPr>
        <w:t>七</w:t>
      </w:r>
      <w:r>
        <w:rPr>
          <w:rFonts w:hint="default" w:ascii="Times New Roman" w:hAnsi="Times New Roman" w:eastAsia="仿宋_GB2312" w:cs="Times New Roman"/>
          <w:b/>
          <w:bCs/>
          <w:sz w:val="32"/>
          <w:szCs w:val="32"/>
          <w:lang w:val="en-US" w:eastAsia="zh-CN"/>
        </w:rPr>
        <w:t>.</w:t>
      </w:r>
      <w:r>
        <w:rPr>
          <w:rFonts w:hint="default" w:ascii="Times New Roman" w:hAnsi="Times New Roman" w:eastAsia="黑体" w:cs="Times New Roman"/>
          <w:sz w:val="32"/>
          <w:szCs w:val="32"/>
        </w:rPr>
        <w:t>其他需要说</w:t>
      </w:r>
      <w:bookmarkStart w:id="26" w:name="page8"/>
      <w:bookmarkEnd w:id="26"/>
      <w:r>
        <w:rPr>
          <w:rFonts w:hint="default" w:ascii="Times New Roman" w:hAnsi="Times New Roman" w:eastAsia="黑体" w:cs="Times New Roman"/>
          <w:sz w:val="32"/>
          <w:szCs w:val="32"/>
        </w:rPr>
        <w:t>明的问题</w:t>
      </w:r>
    </w:p>
    <w:p>
      <w:pPr>
        <w:pStyle w:val="14"/>
        <w:spacing w:after="0" w:line="560" w:lineRule="exact"/>
        <w:ind w:left="0" w:leftChars="0" w:firstLine="640"/>
        <w:rPr>
          <w:rFonts w:hint="default" w:ascii="Times New Roman" w:hAnsi="Times New Roman" w:eastAsia="仿宋_GB2312" w:cs="Times New Roman"/>
          <w:sz w:val="32"/>
          <w:szCs w:val="32"/>
          <w:lang w:eastAsia="zh-Hans"/>
        </w:rPr>
      </w:pPr>
      <w:r>
        <w:rPr>
          <w:rFonts w:hint="default" w:ascii="Times New Roman" w:hAnsi="Times New Roman" w:eastAsia="仿宋_GB2312" w:cs="Times New Roman"/>
          <w:sz w:val="32"/>
          <w:szCs w:val="32"/>
          <w:lang w:eastAsia="zh-Hans"/>
        </w:rPr>
        <w:t>本项目无其他需说明的问题。</w:t>
      </w:r>
    </w:p>
    <w:p>
      <w:pPr>
        <w:spacing w:line="600" w:lineRule="exact"/>
        <w:rPr>
          <w:rFonts w:hint="eastAsia" w:ascii="Times New Roman" w:hAnsi="Times New Roman" w:eastAsia="黑体" w:cs="Times New Roman"/>
          <w:sz w:val="32"/>
          <w:szCs w:val="32"/>
          <w:lang w:val="en-US" w:eastAsia="zh-CN"/>
        </w:rPr>
        <w:sectPr>
          <w:footerReference r:id="rId3" w:type="default"/>
          <w:pgSz w:w="11906" w:h="16838"/>
          <w:pgMar w:top="1440" w:right="1558" w:bottom="1440" w:left="1800" w:header="851" w:footer="992" w:gutter="0"/>
          <w:pgNumType w:start="1"/>
          <w:cols w:space="425" w:num="1"/>
          <w:docGrid w:type="lines" w:linePitch="312" w:charSpace="0"/>
        </w:sectPr>
      </w:pPr>
    </w:p>
    <w:p>
      <w:pPr>
        <w:spacing w:line="600" w:lineRule="exact"/>
        <w:rPr>
          <w:rFonts w:hint="eastAsia" w:eastAsia="黑体" w:cs="Times New Roman"/>
          <w:sz w:val="32"/>
          <w:szCs w:val="32"/>
          <w:lang w:val="en-US" w:eastAsia="zh-CN"/>
        </w:rPr>
      </w:pPr>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1</w:t>
      </w:r>
    </w:p>
    <w:p>
      <w:pPr>
        <w:pStyle w:val="20"/>
        <w:ind w:firstLine="562"/>
        <w:jc w:val="center"/>
        <w:rPr>
          <w:rFonts w:hint="eastAsia" w:ascii="仿宋_GB2312" w:hAnsi="仿宋_GB2312" w:eastAsia="仿宋_GB2312" w:cs="仿宋_GB2312"/>
          <w:sz w:val="28"/>
          <w:szCs w:val="40"/>
        </w:rPr>
      </w:pPr>
      <w:bookmarkStart w:id="27" w:name="_Toc30064_WPSOffice_Level1"/>
      <w:bookmarkStart w:id="28" w:name="_Toc26499_WPSOffice_Level2"/>
      <w:r>
        <w:rPr>
          <w:rFonts w:hint="eastAsia" w:ascii="仿宋_GB2312" w:hAnsi="仿宋_GB2312" w:eastAsia="仿宋_GB2312" w:cs="仿宋_GB2312"/>
          <w:b/>
          <w:bCs/>
          <w:sz w:val="28"/>
          <w:szCs w:val="40"/>
          <w:lang w:val="en-US" w:eastAsia="zh-CN"/>
        </w:rPr>
        <w:t>巴财行【2023】58号2024年宗教教职人员生活补贴资金</w:t>
      </w:r>
      <w:r>
        <w:rPr>
          <w:rFonts w:hint="eastAsia" w:ascii="仿宋_GB2312" w:hAnsi="仿宋_GB2312" w:eastAsia="仿宋_GB2312" w:cs="仿宋_GB2312"/>
          <w:b/>
          <w:bCs/>
          <w:sz w:val="28"/>
          <w:szCs w:val="40"/>
        </w:rPr>
        <w:t>项目绩效评价指标体系及综合评分表</w:t>
      </w:r>
      <w:bookmarkEnd w:id="27"/>
      <w:bookmarkEnd w:id="28"/>
    </w:p>
    <w:tbl>
      <w:tblPr>
        <w:tblStyle w:val="15"/>
        <w:tblW w:w="4474"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1004"/>
        <w:gridCol w:w="1000"/>
        <w:gridCol w:w="1071"/>
        <w:gridCol w:w="1726"/>
        <w:gridCol w:w="5216"/>
        <w:gridCol w:w="1300"/>
        <w:gridCol w:w="136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2" w:hRule="atLeast"/>
          <w:tblHeader/>
          <w:jc w:val="center"/>
        </w:trPr>
        <w:tc>
          <w:tcPr>
            <w:tcW w:w="396"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一级指标</w:t>
            </w: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二级指标</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三级指标</w:t>
            </w:r>
          </w:p>
        </w:tc>
        <w:tc>
          <w:tcPr>
            <w:tcW w:w="680"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指标解释</w:t>
            </w:r>
          </w:p>
        </w:tc>
        <w:tc>
          <w:tcPr>
            <w:tcW w:w="2055"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指标说明</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权重</w:t>
            </w:r>
          </w:p>
        </w:tc>
        <w:tc>
          <w:tcPr>
            <w:tcW w:w="538"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396"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决策　</w:t>
            </w: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项目立项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立项依据</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充分性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项目立项是否符合法律法规、相关政策、发展规划以及部门职责，用以反映和考核项目立项依据情况。</w:t>
            </w:r>
          </w:p>
        </w:tc>
        <w:tc>
          <w:tcPr>
            <w:tcW w:w="2055" w:type="pct"/>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①项目立项是否符合国家法律法规、国民经济发展规划和相关政策；</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②项目立项是否符合行业发展规划和政策要求；</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③项目立项是否与部门职责范围相符，属于部门履职所需；</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④项目是否属于公共财政支持范围，是否符合中央、地方事权支出责任划分原则；</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⑤项目是否与相关部门同类项目或部门内部相关项目重复。</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lang w:eastAsia="zh-CN"/>
              </w:rPr>
            </w:pPr>
            <w:r>
              <w:rPr>
                <w:rFonts w:hint="eastAsia" w:eastAsia="仿宋_GB2312" w:cs="Times New Roman"/>
                <w:b/>
                <w:bCs/>
                <w:color w:val="000000"/>
                <w:kern w:val="0"/>
                <w:sz w:val="18"/>
                <w:szCs w:val="18"/>
                <w:highlight w:val="yellow"/>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立项程序</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规范性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项目申请、设立过程是否符合相关要求，用以反映和考核项目立项的规范情况。</w:t>
            </w:r>
          </w:p>
        </w:tc>
        <w:tc>
          <w:tcPr>
            <w:tcW w:w="2055" w:type="pct"/>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①项目是否按照规定的程序申请设立；</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②审批文件、材料是否符合相关要求；</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③事前是否已经过必要的可行性研究、专家论证、风险评估、绩效评估、集体决策。</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lang w:eastAsia="zh-CN"/>
              </w:rPr>
            </w:pPr>
            <w:r>
              <w:rPr>
                <w:rFonts w:hint="eastAsia" w:eastAsia="仿宋_GB2312" w:cs="Times New Roman"/>
                <w:b/>
                <w:bCs/>
                <w:color w:val="000000"/>
                <w:kern w:val="0"/>
                <w:sz w:val="18"/>
                <w:szCs w:val="18"/>
                <w:highlight w:val="yellow"/>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绩效目标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绩效目标</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合理性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项目所设定的绩效目标是否依据充分，是否符合客观实际，用以反映和考核项目绩效目标与项目实施的相符情况。</w:t>
            </w:r>
          </w:p>
        </w:tc>
        <w:tc>
          <w:tcPr>
            <w:tcW w:w="2055" w:type="pct"/>
            <w:shd w:val="clear" w:color="000000" w:fill="FFFFFF"/>
            <w:vAlign w:val="center"/>
          </w:tcPr>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（如未设定预算绩效目标，也可考核其他工作任务目标）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①项目是否有绩效目标；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②项目绩效目标与实际工作内容是否具有相关性；</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③项目预期产出效益和效果是否符合正常的业绩水平；</w:t>
            </w:r>
          </w:p>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④是否与预算确定的项目投资额或资金量相匹配。</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lang w:eastAsia="zh-CN"/>
              </w:rPr>
            </w:pPr>
            <w:r>
              <w:rPr>
                <w:rFonts w:hint="eastAsia" w:eastAsia="仿宋_GB2312" w:cs="Times New Roman"/>
                <w:b/>
                <w:bCs/>
                <w:color w:val="000000"/>
                <w:kern w:val="0"/>
                <w:sz w:val="18"/>
                <w:szCs w:val="18"/>
                <w:highlight w:val="yellow"/>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绩效指标</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明确性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依据绩效目标设定的绩效指标是否清晰、细化、可衡量等，用以反映和考核项目绩效目标的明细化情况。</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①是否将项目绩效目标细化分解为具体的绩效指标；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②是否通过清晰、可衡量的指标值予以体现；</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③是否与项目目标任务数或计划数相对应。</w:t>
            </w:r>
            <w:r>
              <w:rPr>
                <w:rFonts w:hint="default" w:ascii="Times New Roman" w:hAnsi="Times New Roman" w:eastAsia="仿宋_GB2312" w:cs="Times New Roman"/>
                <w:color w:val="000000"/>
                <w:kern w:val="0"/>
                <w:sz w:val="18"/>
                <w:szCs w:val="18"/>
              </w:rPr>
              <w:br w:type="textWrapping"/>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lang w:eastAsia="zh-CN"/>
              </w:rPr>
            </w:pPr>
            <w:r>
              <w:rPr>
                <w:rFonts w:hint="eastAsia" w:eastAsia="仿宋_GB2312" w:cs="Times New Roman"/>
                <w:b/>
                <w:bCs/>
                <w:color w:val="000000"/>
                <w:kern w:val="0"/>
                <w:sz w:val="18"/>
                <w:szCs w:val="18"/>
                <w:highlight w:val="yellow"/>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资金投入</w:t>
            </w:r>
          </w:p>
          <w:p>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预算编制</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科学性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项目预算编制是否经过科学论证、有明确标准，资金额度与年度目标是否相适应，用以反映和考核项目预算编制的科学性、合理性情况。</w:t>
            </w:r>
          </w:p>
        </w:tc>
        <w:tc>
          <w:tcPr>
            <w:tcW w:w="2055"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①预算编制是否经过科学论证；</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②预算内容与项目内容是否匹配；</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③预算额度测算依据是否充分，是否按照标准编制；</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④预算确定的项目投资额或资金量是否与工作任务相匹配。</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lang w:eastAsia="zh-CN"/>
              </w:rPr>
            </w:pPr>
            <w:r>
              <w:rPr>
                <w:rFonts w:hint="eastAsia" w:eastAsia="仿宋_GB2312" w:cs="Times New Roman"/>
                <w:b/>
                <w:bCs/>
                <w:color w:val="000000"/>
                <w:kern w:val="0"/>
                <w:sz w:val="18"/>
                <w:szCs w:val="18"/>
                <w:highlight w:val="yellow"/>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资金分配</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合理性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项目预算资金分配是否有测算依据，与补助单位或地方实际是否相适应，用以反映和考核项目预算资金分配的科学性、合理性情况。</w:t>
            </w:r>
          </w:p>
        </w:tc>
        <w:tc>
          <w:tcPr>
            <w:tcW w:w="2055"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①预算资金分配依据是否充分；</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②资金分配额度是否合理，与项目单位或地方实际是否相适应。</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lang w:eastAsia="zh-CN"/>
              </w:rPr>
            </w:pPr>
            <w:r>
              <w:rPr>
                <w:rFonts w:hint="eastAsia" w:eastAsia="仿宋_GB2312" w:cs="Times New Roman"/>
                <w:b/>
                <w:bCs/>
                <w:color w:val="000000"/>
                <w:kern w:val="0"/>
                <w:sz w:val="18"/>
                <w:szCs w:val="18"/>
                <w:highlight w:val="yellow"/>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396" w:type="pct"/>
            <w:vMerge w:val="restart"/>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过程</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资金管理</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资金到位率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实际到位资金与预算资金的比率，用以反映和考核资金落实情况对项目实施的总体保障程度。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资金到位率=（实际到位资金/预算资金）×100%。</w:t>
            </w:r>
          </w:p>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实际到位资金：一定时期（本年度或项目期）内落实到具体项目的资金。</w:t>
            </w:r>
          </w:p>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预算资金：一定时期（本年度或项目期）内预算安排到具体项目的资金。</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lang w:eastAsia="zh-CN"/>
              </w:rPr>
            </w:pPr>
            <w:r>
              <w:rPr>
                <w:rFonts w:hint="eastAsia" w:eastAsia="仿宋_GB2312" w:cs="Times New Roman"/>
                <w:b/>
                <w:bCs/>
                <w:color w:val="000000"/>
                <w:kern w:val="0"/>
                <w:sz w:val="18"/>
                <w:szCs w:val="18"/>
                <w:highlight w:val="yellow"/>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预算执行率</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项目预算资金是否按照计划执行，用以反映或考核项目预算执行情况。</w:t>
            </w:r>
          </w:p>
        </w:tc>
        <w:tc>
          <w:tcPr>
            <w:tcW w:w="2055"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预算执行率=（实际支出资金/实际到位资金）×100%。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实际支出资金：一定时期（本年度或项目期）内项目实际拨付的资金。</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lang w:eastAsia="zh-CN"/>
              </w:rPr>
            </w:pPr>
            <w:r>
              <w:rPr>
                <w:rFonts w:hint="eastAsia" w:eastAsia="仿宋_GB2312" w:cs="Times New Roman"/>
                <w:b/>
                <w:bCs/>
                <w:color w:val="000000"/>
                <w:kern w:val="0"/>
                <w:sz w:val="18"/>
                <w:szCs w:val="18"/>
                <w:highlight w:val="yellow"/>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资金管理</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资金使用</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合规性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项目资金使用是否符合相关的财务管理制度规定，用以反映和考核项目资金的规范运行情况。</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①是否符合国家财经法规和财务管理制度以及有关专项资金管理办法的规定；</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②资金的拨付是否有完整的审批程序和手续；</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③是否符合项目预算批复或合同规定的用途；</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④是否存在截留、挤占、挪用、虚列支出等情况。</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lang w:eastAsia="zh-CN"/>
              </w:rPr>
            </w:pPr>
            <w:r>
              <w:rPr>
                <w:rFonts w:hint="eastAsia" w:eastAsia="仿宋_GB2312" w:cs="Times New Roman"/>
                <w:b/>
                <w:bCs/>
                <w:color w:val="000000"/>
                <w:kern w:val="0"/>
                <w:sz w:val="18"/>
                <w:szCs w:val="18"/>
                <w:highlight w:val="yellow"/>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组织实施</w:t>
            </w:r>
          </w:p>
          <w:p>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管理制度</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健全性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项目实施单位的财务和业务管理制度是否健全，用以反映和考核财务和业务管理制度对项目顺利实施的保障情况。</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①是否已制定或具有相应的财务和业务管理制度；</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②财务和业务管理制度是否合法、合规、完整。</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lang w:eastAsia="zh-CN"/>
              </w:rPr>
            </w:pPr>
            <w:r>
              <w:rPr>
                <w:rFonts w:hint="eastAsia" w:eastAsia="仿宋_GB2312" w:cs="Times New Roman"/>
                <w:b/>
                <w:bCs/>
                <w:color w:val="000000"/>
                <w:kern w:val="0"/>
                <w:sz w:val="18"/>
                <w:szCs w:val="18"/>
                <w:highlight w:val="yellow"/>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制度执行</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有效性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项目实施是否符合相关管理规定，用以反映和考核相关管理制度的有效执行情况。</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①是否遵守相关法律法规和相关管理规定；</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②项目调整及支出调整手续是否完备；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③项目合同书、验收报告、技术鉴定等资料是否齐全并及时归档；</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④项目实施的人员条件、场地设备、信息支撑等是否落实到位。</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lang w:eastAsia="zh-CN"/>
              </w:rPr>
            </w:pPr>
            <w:r>
              <w:rPr>
                <w:rFonts w:hint="eastAsia" w:eastAsia="仿宋_GB2312" w:cs="Times New Roman"/>
                <w:b/>
                <w:bCs/>
                <w:color w:val="000000"/>
                <w:kern w:val="0"/>
                <w:sz w:val="18"/>
                <w:szCs w:val="18"/>
                <w:highlight w:val="yellow"/>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396"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w:t>
            </w: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产出数量</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项目实施的实际产出数与计划产出数的比率，用以反映和考核项目产出数量目标的实现程度。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实际完成率=（实际产出数/计划产出数）×100%。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实际产出数：一定时期（本年度或项目期）内项目实际产出的产品或提供的服务数量。</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计划产出数：项目绩效目标确定的在一定时期（本年度或项目期）内计划产出的产品或提供的服务数量。</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highlight w:val="yellow"/>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产出质量</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项目完成的质量达标产出数与实际产出数的比率，用以反映和考核项目产出质量目标的实现程度。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质量达标率=（质量达标产出数/实际产出数）×100%。</w:t>
            </w:r>
          </w:p>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highlight w:val="yellow"/>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94" w:type="pct"/>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产出时效</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完成及时性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项目实际完成时间与计划完成时间的比较，用以反映和考核项目产出时效目标的实现程度。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实际完成时间：项目实施单位完成该项目实际所耗用的时间。</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计划完成时间：按照项目实施计划或相关规定完成该项目所需的时间。</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highlight w:val="yellow"/>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产出成本</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成本节约率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完成项目计划工作目标的实际节约成本与计划成本的比率，用以反映和考核项目的成本节约程度。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成本节约率=[（计划成本-实际成本）/计划成本]×100%。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实际成本：项目实施单位如期、保质、保量完成既定工作目标实际所耗费的支出。</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计划成本：项目实施单位为完成工作目标计划安排的支出，一般以项目预算为参考。</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highlight w:val="yellow"/>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396"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效益　</w:t>
            </w: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项目效益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实施效益</w:t>
            </w:r>
          </w:p>
        </w:tc>
        <w:tc>
          <w:tcPr>
            <w:tcW w:w="680" w:type="pct"/>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项目实施所产生的效益。</w:t>
            </w:r>
          </w:p>
        </w:tc>
        <w:tc>
          <w:tcPr>
            <w:tcW w:w="2055"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项目实施所产生的社会效益、经济效益、生态效益、可持续影响等。可根据项目实际情况有选择地设置和细化。</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highlight w:val="yellow"/>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满意度</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社会公众或服务对象对项目实施效果的满意程度。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社会公众或服务对象是指因该项目实施而受到影响的部门（单位）、群体或个人。一般采取社会调查的方式。</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highlight w:val="yellow"/>
                <w:lang w:val="en-US" w:eastAsia="zh-CN"/>
              </w:rPr>
              <w:t>10</w:t>
            </w:r>
          </w:p>
        </w:tc>
      </w:tr>
    </w:tbl>
    <w:p>
      <w:pPr>
        <w:rPr>
          <w:rFonts w:hint="default" w:ascii="Times New Roman" w:hAnsi="Times New Roman" w:cs="Times New Roman"/>
        </w:rPr>
        <w:sectPr>
          <w:pgSz w:w="16838" w:h="11906" w:orient="landscape"/>
          <w:pgMar w:top="1800" w:right="1440" w:bottom="1558" w:left="1440" w:header="851" w:footer="992" w:gutter="0"/>
          <w:cols w:space="425" w:num="1"/>
          <w:docGrid w:type="lines" w:linePitch="312" w:charSpace="0"/>
        </w:sectPr>
      </w:pPr>
    </w:p>
    <w:p>
      <w:pPr>
        <w:spacing w:line="600" w:lineRule="exact"/>
        <w:rPr>
          <w:rFonts w:hint="eastAsia" w:eastAsia="黑体" w:cs="Times New Roman"/>
          <w:sz w:val="32"/>
          <w:szCs w:val="32"/>
          <w:lang w:val="en-US" w:eastAsia="zh-CN"/>
        </w:rPr>
      </w:pPr>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2</w:t>
      </w: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b/>
          <w:bCs/>
          <w:i w:val="0"/>
          <w:iCs w:val="0"/>
          <w:color w:val="000000"/>
          <w:kern w:val="0"/>
          <w:sz w:val="28"/>
          <w:szCs w:val="28"/>
          <w:u w:val="none"/>
          <w:lang w:val="en-US" w:eastAsia="zh-CN" w:bidi="ar"/>
        </w:rPr>
      </w:pPr>
      <w:r>
        <w:rPr>
          <w:rFonts w:hint="eastAsia" w:ascii="仿宋_GB2312" w:hAnsi="仿宋_GB2312" w:eastAsia="仿宋_GB2312" w:cs="仿宋_GB2312"/>
          <w:b/>
          <w:bCs/>
          <w:i w:val="0"/>
          <w:iCs w:val="0"/>
          <w:color w:val="000000"/>
          <w:kern w:val="0"/>
          <w:sz w:val="28"/>
          <w:szCs w:val="28"/>
          <w:u w:val="none"/>
          <w:lang w:val="en-US" w:eastAsia="zh-CN" w:bidi="ar"/>
        </w:rPr>
        <w:t>项目支出绩效自评表</w:t>
      </w: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Times New Roman" w:hAnsi="Times New Roman" w:eastAsia="仿宋_GB2312" w:cs="Times New Roman"/>
          <w:b/>
          <w:bCs/>
          <w:i w:val="0"/>
          <w:iCs w:val="0"/>
          <w:color w:val="000000"/>
          <w:kern w:val="0"/>
          <w:sz w:val="22"/>
          <w:szCs w:val="22"/>
          <w:u w:val="none"/>
          <w:lang w:val="en-US" w:eastAsia="zh-CN" w:bidi="ar"/>
        </w:rPr>
      </w:pPr>
      <w:r>
        <w:rPr>
          <w:rFonts w:hint="default" w:ascii="Times New Roman" w:hAnsi="Times New Roman" w:eastAsia="仿宋_GB2312" w:cs="Times New Roman"/>
          <w:b/>
          <w:bCs/>
          <w:i w:val="0"/>
          <w:iCs w:val="0"/>
          <w:color w:val="000000"/>
          <w:kern w:val="0"/>
          <w:sz w:val="22"/>
          <w:szCs w:val="22"/>
          <w:u w:val="none"/>
          <w:lang w:val="en-US" w:eastAsia="zh-CN" w:bidi="ar"/>
        </w:rPr>
        <w:t>（ 2024年度）</w:t>
      </w:r>
    </w:p>
    <w:tbl>
      <w:tblPr>
        <w:tblStyle w:val="15"/>
        <w:tblW w:w="504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50"/>
        <w:gridCol w:w="900"/>
        <w:gridCol w:w="1095"/>
        <w:gridCol w:w="1800"/>
        <w:gridCol w:w="1095"/>
        <w:gridCol w:w="1230"/>
        <w:gridCol w:w="825"/>
        <w:gridCol w:w="765"/>
        <w:gridCol w:w="1170"/>
        <w:gridCol w:w="975"/>
        <w:gridCol w:w="960"/>
        <w:gridCol w:w="855"/>
        <w:gridCol w:w="885"/>
        <w:gridCol w:w="11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54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项目名称</w:t>
            </w:r>
          </w:p>
        </w:tc>
        <w:tc>
          <w:tcPr>
            <w:tcW w:w="4458"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巴财行【2023】58号2024年宗教教职人员生活补贴资金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54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主管部门</w:t>
            </w:r>
          </w:p>
        </w:tc>
        <w:tc>
          <w:tcPr>
            <w:tcW w:w="2111"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中共库尔勒市委员会统一战线工作部民族宗教事务委员会</w:t>
            </w: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实施单位</w:t>
            </w:r>
          </w:p>
        </w:tc>
        <w:tc>
          <w:tcPr>
            <w:tcW w:w="1671"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541"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项目资金</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（万元）</w:t>
            </w:r>
          </w:p>
        </w:tc>
        <w:tc>
          <w:tcPr>
            <w:tcW w:w="101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资金来源</w:t>
            </w:r>
          </w:p>
        </w:tc>
        <w:tc>
          <w:tcPr>
            <w:tcW w:w="3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年初预算数</w:t>
            </w:r>
          </w:p>
        </w:tc>
        <w:tc>
          <w:tcPr>
            <w:tcW w:w="71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全年预算数</w:t>
            </w: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全年执行数</w:t>
            </w: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分值权重</w:t>
            </w:r>
          </w:p>
        </w:tc>
        <w:tc>
          <w:tcPr>
            <w:tcW w:w="6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执行率</w:t>
            </w: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541"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01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年度资金总额</w:t>
            </w:r>
          </w:p>
        </w:tc>
        <w:tc>
          <w:tcPr>
            <w:tcW w:w="38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bookmarkStart w:id="29" w:name="OLE_LINK18"/>
            <w:r>
              <w:rPr>
                <w:rFonts w:hint="eastAsia" w:ascii="仿宋_GB2312" w:hAnsi="仿宋_GB2312" w:eastAsia="仿宋_GB2312" w:cs="仿宋_GB2312"/>
                <w:i w:val="0"/>
                <w:iCs w:val="0"/>
                <w:color w:val="000000"/>
                <w:sz w:val="18"/>
                <w:szCs w:val="18"/>
                <w:u w:val="none"/>
                <w:lang w:val="en-US" w:eastAsia="zh-CN"/>
              </w:rPr>
              <w:t>71.02</w:t>
            </w:r>
            <w:bookmarkEnd w:id="29"/>
          </w:p>
        </w:tc>
        <w:tc>
          <w:tcPr>
            <w:tcW w:w="71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71.02</w:t>
            </w: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71.02</w:t>
            </w: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rPr>
            </w:pPr>
            <w:r>
              <w:rPr>
                <w:rFonts w:hint="eastAsia" w:ascii="仿宋_GB2312" w:hAnsi="仿宋_GB2312" w:eastAsia="仿宋_GB2312" w:cs="仿宋_GB2312"/>
                <w:i w:val="0"/>
                <w:iCs w:val="0"/>
                <w:color w:val="000000"/>
                <w:sz w:val="18"/>
                <w:szCs w:val="18"/>
                <w:u w:val="none"/>
                <w:lang w:val="en-US" w:eastAsia="zh-CN"/>
              </w:rPr>
              <w:t>10</w:t>
            </w:r>
          </w:p>
        </w:tc>
        <w:tc>
          <w:tcPr>
            <w:tcW w:w="6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bookmarkStart w:id="30" w:name="OLE_LINK19"/>
            <w:r>
              <w:rPr>
                <w:rFonts w:hint="eastAsia" w:ascii="仿宋_GB2312" w:hAnsi="仿宋_GB2312" w:eastAsia="仿宋_GB2312" w:cs="仿宋_GB2312"/>
                <w:i w:val="0"/>
                <w:iCs w:val="0"/>
                <w:color w:val="000000"/>
                <w:sz w:val="18"/>
                <w:szCs w:val="18"/>
                <w:u w:val="none"/>
                <w:lang w:val="en-US" w:eastAsia="zh-CN"/>
              </w:rPr>
              <w:t>100%</w:t>
            </w:r>
            <w:bookmarkEnd w:id="30"/>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541"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01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其中：当年财政拨款</w:t>
            </w:r>
          </w:p>
        </w:tc>
        <w:tc>
          <w:tcPr>
            <w:tcW w:w="38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71.02</w:t>
            </w:r>
          </w:p>
        </w:tc>
        <w:tc>
          <w:tcPr>
            <w:tcW w:w="71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71.02</w:t>
            </w: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71.02</w:t>
            </w: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6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100%</w:t>
            </w: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541"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011" w:type="pct"/>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其他资金</w:t>
            </w:r>
          </w:p>
        </w:tc>
        <w:tc>
          <w:tcPr>
            <w:tcW w:w="382" w:type="pct"/>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717" w:type="pct"/>
            <w:gridSpan w:val="2"/>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675" w:type="pct"/>
            <w:gridSpan w:val="2"/>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6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22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年度总体目标</w:t>
            </w:r>
          </w:p>
        </w:tc>
        <w:tc>
          <w:tcPr>
            <w:tcW w:w="3101"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总体目标</w:t>
            </w:r>
          </w:p>
        </w:tc>
        <w:tc>
          <w:tcPr>
            <w:tcW w:w="1671"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总体目标完成情况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0" w:hRule="atLeast"/>
        </w:trPr>
        <w:tc>
          <w:tcPr>
            <w:tcW w:w="2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3101" w:type="pct"/>
            <w:gridSpan w:val="8"/>
            <w:tcBorders>
              <w:top w:val="single" w:color="000000" w:sz="4" w:space="0"/>
              <w:left w:val="single" w:color="000000" w:sz="4" w:space="0"/>
              <w:bottom w:val="single" w:color="000000" w:sz="4" w:space="0"/>
              <w:right w:val="single" w:color="000000" w:sz="4" w:space="0"/>
            </w:tcBorders>
            <w:shd w:val="clear" w:color="auto" w:fill="auto"/>
            <w:vAlign w:val="top"/>
          </w:tcPr>
          <w:p>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目标1：为我市44名爱国宗教人士发放生活补助，一年发放12次；</w:t>
            </w:r>
          </w:p>
          <w:p>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目标2：按时发放生活补助，提高爱国宗教人士生活水平，服务好宗教领域，引导社会稳定。</w:t>
            </w:r>
          </w:p>
        </w:tc>
        <w:tc>
          <w:tcPr>
            <w:tcW w:w="1671"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该项目及时发放了44名爱国宗教人士生活补助12次，提高爱国宗教人生活水平，使他们感受到党和政府的关心关怀。服务好宗教领域，引导维护社会稳定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2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绩效指标</w:t>
            </w: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一级指标</w:t>
            </w:r>
          </w:p>
        </w:tc>
        <w:tc>
          <w:tcPr>
            <w:tcW w:w="3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二级指标</w:t>
            </w:r>
          </w:p>
        </w:tc>
        <w:tc>
          <w:tcPr>
            <w:tcW w:w="62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三级指标</w:t>
            </w:r>
          </w:p>
        </w:tc>
        <w:tc>
          <w:tcPr>
            <w:tcW w:w="3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指标值</w:t>
            </w:r>
          </w:p>
        </w:tc>
        <w:tc>
          <w:tcPr>
            <w:tcW w:w="42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指标值设置依据</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上年完成值</w:t>
            </w:r>
          </w:p>
        </w:tc>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指标分值权重</w:t>
            </w:r>
          </w:p>
        </w:tc>
        <w:tc>
          <w:tcPr>
            <w:tcW w:w="4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指标赋分规则</w:t>
            </w:r>
          </w:p>
        </w:tc>
        <w:tc>
          <w:tcPr>
            <w:tcW w:w="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佐证资料</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指标实际完成值</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完成率</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指标得分</w:t>
            </w: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314"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产出指标</w:t>
            </w:r>
          </w:p>
        </w:tc>
        <w:tc>
          <w:tcPr>
            <w:tcW w:w="382" w:type="pct"/>
            <w:vMerge w:val="restart"/>
            <w:tcBorders>
              <w:top w:val="single" w:color="000000" w:sz="4" w:space="0"/>
              <w:left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数量指标</w:t>
            </w:r>
          </w:p>
        </w:tc>
        <w:tc>
          <w:tcPr>
            <w:tcW w:w="628" w:type="pct"/>
            <w:tcBorders>
              <w:top w:val="single" w:color="000000" w:sz="4" w:space="0"/>
              <w:left w:val="nil"/>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补助在职宗教人士数量</w:t>
            </w:r>
          </w:p>
        </w:tc>
        <w:tc>
          <w:tcPr>
            <w:tcW w:w="38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=28人</w:t>
            </w:r>
          </w:p>
        </w:tc>
        <w:tc>
          <w:tcPr>
            <w:tcW w:w="42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计划标准</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30人</w:t>
            </w:r>
          </w:p>
        </w:tc>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4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按照完成比例赋分</w:t>
            </w:r>
          </w:p>
        </w:tc>
        <w:tc>
          <w:tcPr>
            <w:tcW w:w="34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bookmarkStart w:id="31" w:name="OLE_LINK21"/>
            <w:r>
              <w:rPr>
                <w:rFonts w:hint="eastAsia" w:ascii="仿宋_GB2312" w:hAnsi="仿宋_GB2312" w:eastAsia="仿宋_GB2312" w:cs="仿宋_GB2312"/>
                <w:i w:val="0"/>
                <w:iCs w:val="0"/>
                <w:color w:val="000000"/>
                <w:sz w:val="18"/>
                <w:szCs w:val="18"/>
                <w:u w:val="none"/>
              </w:rPr>
              <w:t>工作资料</w:t>
            </w:r>
            <w:bookmarkEnd w:id="31"/>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28人</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100%</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2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382" w:type="pct"/>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p>
        </w:tc>
        <w:tc>
          <w:tcPr>
            <w:tcW w:w="62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补助退居二线宗教人士数量</w:t>
            </w:r>
          </w:p>
        </w:tc>
        <w:tc>
          <w:tcPr>
            <w:tcW w:w="38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=16人</w:t>
            </w:r>
          </w:p>
        </w:tc>
        <w:tc>
          <w:tcPr>
            <w:tcW w:w="42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计划标准</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20人</w:t>
            </w:r>
          </w:p>
        </w:tc>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4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按照完成比例赋分</w:t>
            </w:r>
          </w:p>
        </w:tc>
        <w:tc>
          <w:tcPr>
            <w:tcW w:w="34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工作资料</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16</w:t>
            </w:r>
            <w:r>
              <w:rPr>
                <w:rFonts w:hint="eastAsia" w:ascii="仿宋_GB2312" w:hAnsi="仿宋_GB2312" w:eastAsia="仿宋_GB2312" w:cs="仿宋_GB2312"/>
                <w:i w:val="0"/>
                <w:iCs w:val="0"/>
                <w:color w:val="000000"/>
                <w:sz w:val="18"/>
                <w:szCs w:val="18"/>
                <w:u w:val="none"/>
              </w:rPr>
              <w:t>人</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100%</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2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3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质量指标</w:t>
            </w:r>
          </w:p>
        </w:tc>
        <w:tc>
          <w:tcPr>
            <w:tcW w:w="62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补助发放覆盖率</w:t>
            </w:r>
          </w:p>
        </w:tc>
        <w:tc>
          <w:tcPr>
            <w:tcW w:w="38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=100%</w:t>
            </w:r>
          </w:p>
        </w:tc>
        <w:tc>
          <w:tcPr>
            <w:tcW w:w="42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计划标准</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bookmarkStart w:id="32" w:name="OLE_LINK22"/>
            <w:r>
              <w:rPr>
                <w:rFonts w:hint="eastAsia" w:ascii="宋体" w:hAnsi="宋体" w:eastAsia="宋体" w:cs="宋体"/>
                <w:i w:val="0"/>
                <w:iCs w:val="0"/>
                <w:color w:val="000000"/>
                <w:kern w:val="0"/>
                <w:sz w:val="20"/>
                <w:szCs w:val="20"/>
                <w:u w:val="none"/>
                <w:lang w:val="en-US" w:eastAsia="zh-CN" w:bidi="ar"/>
              </w:rPr>
              <w:t>100%</w:t>
            </w:r>
            <w:bookmarkEnd w:id="32"/>
          </w:p>
        </w:tc>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4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按照完成比例赋分</w:t>
            </w:r>
          </w:p>
        </w:tc>
        <w:tc>
          <w:tcPr>
            <w:tcW w:w="34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工作资料</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bookmarkStart w:id="33" w:name="OLE_LINK30"/>
            <w:r>
              <w:rPr>
                <w:rFonts w:hint="eastAsia" w:ascii="宋体" w:hAnsi="宋体" w:eastAsia="宋体" w:cs="宋体"/>
                <w:i w:val="0"/>
                <w:iCs w:val="0"/>
                <w:color w:val="000000"/>
                <w:kern w:val="0"/>
                <w:sz w:val="20"/>
                <w:szCs w:val="20"/>
                <w:u w:val="none"/>
                <w:lang w:val="en-US" w:eastAsia="zh-CN" w:bidi="ar"/>
              </w:rPr>
              <w:t>100%</w:t>
            </w:r>
            <w:bookmarkEnd w:id="33"/>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100%</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22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382" w:type="pct"/>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时效指标</w:t>
            </w:r>
          </w:p>
        </w:tc>
        <w:tc>
          <w:tcPr>
            <w:tcW w:w="62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资金发放及时率</w:t>
            </w:r>
          </w:p>
        </w:tc>
        <w:tc>
          <w:tcPr>
            <w:tcW w:w="38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&gt;=95%</w:t>
            </w:r>
          </w:p>
        </w:tc>
        <w:tc>
          <w:tcPr>
            <w:tcW w:w="42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计划标准</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bookmarkStart w:id="34" w:name="OLE_LINK23"/>
            <w:r>
              <w:rPr>
                <w:rFonts w:hint="eastAsia" w:ascii="宋体" w:hAnsi="宋体" w:eastAsia="宋体" w:cs="宋体"/>
                <w:i w:val="0"/>
                <w:iCs w:val="0"/>
                <w:color w:val="000000"/>
                <w:kern w:val="0"/>
                <w:sz w:val="20"/>
                <w:szCs w:val="20"/>
                <w:u w:val="none"/>
                <w:lang w:val="en-US" w:eastAsia="zh-CN" w:bidi="ar"/>
              </w:rPr>
              <w:t>95%</w:t>
            </w:r>
            <w:bookmarkEnd w:id="34"/>
          </w:p>
        </w:tc>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4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按照完成比例赋分</w:t>
            </w:r>
          </w:p>
        </w:tc>
        <w:tc>
          <w:tcPr>
            <w:tcW w:w="34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工作资料</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95%</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100%</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22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bookmarkStart w:id="35" w:name="OLE_LINK20" w:colFirst="6" w:colLast="6"/>
          </w:p>
        </w:tc>
        <w:tc>
          <w:tcPr>
            <w:tcW w:w="314" w:type="pct"/>
            <w:vMerge w:val="restart"/>
            <w:tcBorders>
              <w:top w:val="single" w:color="000000" w:sz="4" w:space="0"/>
              <w:left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成本指标</w:t>
            </w:r>
          </w:p>
        </w:tc>
        <w:tc>
          <w:tcPr>
            <w:tcW w:w="382" w:type="pct"/>
            <w:vMerge w:val="restart"/>
            <w:tcBorders>
              <w:top w:val="single" w:color="000000" w:sz="4" w:space="0"/>
              <w:left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highlight w:val="red"/>
                <w:u w:val="none"/>
                <w:lang w:val="en-US" w:eastAsia="zh-CN" w:bidi="ar"/>
              </w:rPr>
            </w:pPr>
            <w:r>
              <w:rPr>
                <w:rFonts w:hint="eastAsia" w:ascii="仿宋_GB2312" w:hAnsi="仿宋_GB2312" w:eastAsia="仿宋_GB2312" w:cs="仿宋_GB2312"/>
                <w:i w:val="0"/>
                <w:iCs w:val="0"/>
                <w:color w:val="000000"/>
                <w:kern w:val="0"/>
                <w:sz w:val="18"/>
                <w:szCs w:val="18"/>
                <w:highlight w:val="none"/>
                <w:u w:val="none"/>
                <w:lang w:val="en-US" w:eastAsia="zh-CN" w:bidi="ar"/>
              </w:rPr>
              <w:t>经济成本指标</w:t>
            </w:r>
          </w:p>
        </w:tc>
        <w:tc>
          <w:tcPr>
            <w:tcW w:w="62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在职人员补助标准</w:t>
            </w:r>
          </w:p>
        </w:tc>
        <w:tc>
          <w:tcPr>
            <w:tcW w:w="38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w:t>
            </w:r>
            <w:bookmarkStart w:id="36" w:name="OLE_LINK24"/>
            <w:r>
              <w:rPr>
                <w:rFonts w:hint="eastAsia" w:ascii="仿宋_GB2312" w:hAnsi="仿宋_GB2312" w:eastAsia="仿宋_GB2312" w:cs="仿宋_GB2312"/>
                <w:i w:val="0"/>
                <w:iCs w:val="0"/>
                <w:color w:val="000000"/>
                <w:sz w:val="18"/>
                <w:szCs w:val="18"/>
                <w:u w:val="none"/>
              </w:rPr>
              <w:t>1800元/人/月</w:t>
            </w:r>
            <w:bookmarkEnd w:id="36"/>
          </w:p>
        </w:tc>
        <w:tc>
          <w:tcPr>
            <w:tcW w:w="429"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计划标准</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100%</w:t>
            </w:r>
          </w:p>
        </w:tc>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7</w:t>
            </w:r>
          </w:p>
        </w:tc>
        <w:tc>
          <w:tcPr>
            <w:tcW w:w="408"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按照完成比例赋分</w:t>
            </w:r>
          </w:p>
        </w:tc>
        <w:tc>
          <w:tcPr>
            <w:tcW w:w="34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3"/>
                <w:szCs w:val="13"/>
                <w:u w:val="none"/>
              </w:rPr>
            </w:pPr>
            <w:r>
              <w:rPr>
                <w:rFonts w:hint="eastAsia" w:ascii="仿宋_GB2312" w:hAnsi="仿宋_GB2312" w:eastAsia="仿宋_GB2312" w:cs="仿宋_GB2312"/>
                <w:i w:val="0"/>
                <w:iCs w:val="0"/>
                <w:color w:val="000000"/>
                <w:sz w:val="18"/>
                <w:szCs w:val="18"/>
                <w:u w:val="none"/>
              </w:rPr>
              <w:t>原始凭证</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1800元/人/月</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100%</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7</w:t>
            </w: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r>
      <w:bookmarkEnd w:id="35"/>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22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314" w:type="pct"/>
            <w:vMerge w:val="continue"/>
            <w:tcBorders>
              <w:left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val="en-US" w:eastAsia="zh-CN"/>
              </w:rPr>
            </w:pPr>
          </w:p>
        </w:tc>
        <w:tc>
          <w:tcPr>
            <w:tcW w:w="382" w:type="pct"/>
            <w:vMerge w:val="continue"/>
            <w:tcBorders>
              <w:left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highlight w:val="none"/>
                <w:u w:val="none"/>
                <w:lang w:val="en-US" w:eastAsia="zh-CN" w:bidi="ar"/>
              </w:rPr>
            </w:pPr>
          </w:p>
        </w:tc>
        <w:tc>
          <w:tcPr>
            <w:tcW w:w="62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退二线补助标准</w:t>
            </w:r>
          </w:p>
        </w:tc>
        <w:tc>
          <w:tcPr>
            <w:tcW w:w="38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w:t>
            </w:r>
            <w:bookmarkStart w:id="37" w:name="OLE_LINK25"/>
            <w:r>
              <w:rPr>
                <w:rFonts w:hint="eastAsia" w:ascii="仿宋_GB2312" w:hAnsi="仿宋_GB2312" w:eastAsia="仿宋_GB2312" w:cs="仿宋_GB2312"/>
                <w:i w:val="0"/>
                <w:iCs w:val="0"/>
                <w:color w:val="000000"/>
                <w:sz w:val="18"/>
                <w:szCs w:val="18"/>
                <w:u w:val="none"/>
              </w:rPr>
              <w:t>549元/人/月</w:t>
            </w:r>
            <w:bookmarkEnd w:id="37"/>
          </w:p>
        </w:tc>
        <w:tc>
          <w:tcPr>
            <w:tcW w:w="429"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计划标准</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100%</w:t>
            </w:r>
          </w:p>
        </w:tc>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7</w:t>
            </w:r>
          </w:p>
        </w:tc>
        <w:tc>
          <w:tcPr>
            <w:tcW w:w="408"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按照完成比例赋分</w:t>
            </w:r>
          </w:p>
        </w:tc>
        <w:tc>
          <w:tcPr>
            <w:tcW w:w="34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原始凭证</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549元/人/月</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100%</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7</w:t>
            </w: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22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314" w:type="pct"/>
            <w:vMerge w:val="continue"/>
            <w:tcBorders>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p>
        </w:tc>
        <w:tc>
          <w:tcPr>
            <w:tcW w:w="382" w:type="pct"/>
            <w:vMerge w:val="continue"/>
            <w:tcBorders>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highlight w:val="red"/>
                <w:u w:val="none"/>
                <w:lang w:val="en-US" w:eastAsia="zh-CN" w:bidi="ar"/>
              </w:rPr>
            </w:pPr>
          </w:p>
        </w:tc>
        <w:tc>
          <w:tcPr>
            <w:tcW w:w="62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本次项目补助费用</w:t>
            </w:r>
          </w:p>
        </w:tc>
        <w:tc>
          <w:tcPr>
            <w:tcW w:w="38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&lt;=</w:t>
            </w:r>
            <w:bookmarkStart w:id="38" w:name="OLE_LINK26"/>
            <w:r>
              <w:rPr>
                <w:rFonts w:hint="eastAsia" w:ascii="仿宋_GB2312" w:hAnsi="仿宋_GB2312" w:eastAsia="仿宋_GB2312" w:cs="仿宋_GB2312"/>
                <w:i w:val="0"/>
                <w:iCs w:val="0"/>
                <w:color w:val="000000"/>
                <w:sz w:val="18"/>
                <w:szCs w:val="18"/>
                <w:u w:val="none"/>
              </w:rPr>
              <w:t>71.02万元</w:t>
            </w:r>
            <w:bookmarkEnd w:id="38"/>
          </w:p>
        </w:tc>
        <w:tc>
          <w:tcPr>
            <w:tcW w:w="429"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计划标准</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100%</w:t>
            </w:r>
          </w:p>
        </w:tc>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6</w:t>
            </w:r>
          </w:p>
        </w:tc>
        <w:tc>
          <w:tcPr>
            <w:tcW w:w="408"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按照完成比例赋分</w:t>
            </w:r>
          </w:p>
        </w:tc>
        <w:tc>
          <w:tcPr>
            <w:tcW w:w="34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原始凭证</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71.02万元</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100%</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6</w:t>
            </w: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22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314" w:type="pct"/>
            <w:tcBorders>
              <w:top w:val="single" w:color="000000" w:sz="4" w:space="0"/>
              <w:left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效益指标</w:t>
            </w:r>
          </w:p>
        </w:tc>
        <w:tc>
          <w:tcPr>
            <w:tcW w:w="3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社会效益指标</w:t>
            </w:r>
          </w:p>
        </w:tc>
        <w:tc>
          <w:tcPr>
            <w:tcW w:w="62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宗教人士服务能力提升率</w:t>
            </w:r>
          </w:p>
        </w:tc>
        <w:tc>
          <w:tcPr>
            <w:tcW w:w="38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&gt;=</w:t>
            </w:r>
            <w:bookmarkStart w:id="39" w:name="OLE_LINK28"/>
            <w:r>
              <w:rPr>
                <w:rFonts w:hint="eastAsia" w:ascii="仿宋_GB2312" w:hAnsi="仿宋_GB2312" w:eastAsia="仿宋_GB2312" w:cs="仿宋_GB2312"/>
                <w:i w:val="0"/>
                <w:iCs w:val="0"/>
                <w:color w:val="000000"/>
                <w:sz w:val="18"/>
                <w:szCs w:val="18"/>
                <w:u w:val="none"/>
              </w:rPr>
              <w:t>95%</w:t>
            </w:r>
            <w:bookmarkEnd w:id="39"/>
          </w:p>
        </w:tc>
        <w:tc>
          <w:tcPr>
            <w:tcW w:w="42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计划标准</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bookmarkStart w:id="40" w:name="OLE_LINK27"/>
            <w:r>
              <w:rPr>
                <w:rFonts w:hint="eastAsia" w:ascii="宋体" w:hAnsi="宋体" w:eastAsia="宋体" w:cs="宋体"/>
                <w:i w:val="0"/>
                <w:iCs w:val="0"/>
                <w:color w:val="000000"/>
                <w:kern w:val="0"/>
                <w:sz w:val="20"/>
                <w:szCs w:val="20"/>
                <w:u w:val="none"/>
                <w:lang w:val="en-US" w:eastAsia="zh-CN" w:bidi="ar"/>
              </w:rPr>
              <w:t>100%</w:t>
            </w:r>
            <w:bookmarkEnd w:id="40"/>
          </w:p>
        </w:tc>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20</w:t>
            </w:r>
          </w:p>
        </w:tc>
        <w:tc>
          <w:tcPr>
            <w:tcW w:w="40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按评判等级赋分</w:t>
            </w:r>
          </w:p>
        </w:tc>
        <w:tc>
          <w:tcPr>
            <w:tcW w:w="34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工作资料</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95%</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100%</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20</w:t>
            </w: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22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满意度指标</w:t>
            </w:r>
          </w:p>
        </w:tc>
        <w:tc>
          <w:tcPr>
            <w:tcW w:w="3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满意度指标</w:t>
            </w:r>
          </w:p>
        </w:tc>
        <w:tc>
          <w:tcPr>
            <w:tcW w:w="62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爱国宗教人士满意度</w:t>
            </w:r>
          </w:p>
        </w:tc>
        <w:tc>
          <w:tcPr>
            <w:tcW w:w="38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&gt;=</w:t>
            </w:r>
            <w:bookmarkStart w:id="41" w:name="OLE_LINK29"/>
            <w:r>
              <w:rPr>
                <w:rFonts w:hint="eastAsia" w:ascii="仿宋_GB2312" w:hAnsi="仿宋_GB2312" w:eastAsia="仿宋_GB2312" w:cs="仿宋_GB2312"/>
                <w:i w:val="0"/>
                <w:iCs w:val="0"/>
                <w:color w:val="000000"/>
                <w:sz w:val="18"/>
                <w:szCs w:val="18"/>
                <w:u w:val="none"/>
              </w:rPr>
              <w:t>98%</w:t>
            </w:r>
            <w:bookmarkEnd w:id="41"/>
          </w:p>
        </w:tc>
        <w:tc>
          <w:tcPr>
            <w:tcW w:w="42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计划标准</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cs="宋体"/>
                <w:i w:val="0"/>
                <w:iCs w:val="0"/>
                <w:color w:val="000000"/>
                <w:kern w:val="0"/>
                <w:sz w:val="20"/>
                <w:szCs w:val="20"/>
                <w:u w:val="none"/>
                <w:lang w:val="en-US" w:eastAsia="zh-CN" w:bidi="ar"/>
              </w:rPr>
              <w:t>99</w:t>
            </w:r>
            <w:r>
              <w:rPr>
                <w:rFonts w:hint="eastAsia" w:ascii="宋体" w:hAnsi="宋体" w:eastAsia="宋体" w:cs="宋体"/>
                <w:i w:val="0"/>
                <w:iCs w:val="0"/>
                <w:color w:val="000000"/>
                <w:kern w:val="0"/>
                <w:sz w:val="20"/>
                <w:szCs w:val="20"/>
                <w:u w:val="none"/>
                <w:lang w:val="en-US" w:eastAsia="zh-CN" w:bidi="ar"/>
              </w:rPr>
              <w:t>%</w:t>
            </w:r>
          </w:p>
        </w:tc>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40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满意度赋分</w:t>
            </w:r>
          </w:p>
        </w:tc>
        <w:tc>
          <w:tcPr>
            <w:tcW w:w="34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工作资料</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98%</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100%</w:t>
            </w: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7" w:hRule="atLeast"/>
        </w:trPr>
        <w:tc>
          <w:tcPr>
            <w:tcW w:w="1552" w:type="pct"/>
            <w:gridSpan w:val="4"/>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总分</w:t>
            </w:r>
          </w:p>
        </w:tc>
        <w:tc>
          <w:tcPr>
            <w:tcW w:w="38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429" w:type="pct"/>
            <w:tcBorders>
              <w:top w:val="single" w:color="000000" w:sz="4" w:space="0"/>
              <w:left w:val="nil"/>
              <w:bottom w:val="single" w:color="000000" w:sz="4" w:space="0"/>
              <w:right w:val="single" w:color="000000" w:sz="4" w:space="0"/>
            </w:tcBorders>
            <w:shd w:val="clear" w:color="auto" w:fill="auto"/>
            <w:vAlign w:val="center"/>
          </w:tcPr>
          <w:p>
            <w:pPr>
              <w:rPr>
                <w:rFonts w:hint="eastAsia" w:ascii="仿宋_GB2312" w:hAnsi="仿宋_GB2312" w:eastAsia="仿宋_GB2312" w:cs="仿宋_GB2312"/>
                <w:b/>
                <w:bCs/>
                <w:i w:val="0"/>
                <w:iCs w:val="0"/>
                <w:color w:val="000000"/>
                <w:sz w:val="18"/>
                <w:szCs w:val="18"/>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40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340"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i w:val="0"/>
                <w:iCs w:val="0"/>
                <w:color w:val="000000"/>
                <w:sz w:val="18"/>
                <w:szCs w:val="18"/>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i w:val="0"/>
                <w:iCs w:val="0"/>
                <w:color w:val="000000"/>
                <w:sz w:val="18"/>
                <w:szCs w:val="18"/>
                <w:u w:val="none"/>
              </w:rPr>
            </w:pP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i w:val="0"/>
                <w:iCs w:val="0"/>
                <w:color w:val="000000"/>
                <w:sz w:val="18"/>
                <w:szCs w:val="18"/>
                <w:u w:val="none"/>
              </w:rPr>
            </w:pPr>
          </w:p>
        </w:tc>
        <w:tc>
          <w:tcPr>
            <w:tcW w:w="3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100</w:t>
            </w:r>
          </w:p>
        </w:tc>
        <w:tc>
          <w:tcPr>
            <w:tcW w:w="387"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i w:val="0"/>
                <w:iCs w:val="0"/>
                <w:color w:val="000000"/>
                <w:sz w:val="18"/>
                <w:szCs w:val="18"/>
                <w:u w:val="none"/>
              </w:rPr>
            </w:pPr>
          </w:p>
        </w:tc>
      </w:tr>
    </w:tbl>
    <w:p>
      <w:pPr>
        <w:rPr>
          <w:rFonts w:hint="default" w:ascii="Times New Roman" w:hAnsi="Times New Roman" w:cs="Times New Roman"/>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pPr>
          <w:pStyle w:val="8"/>
          <w:jc w:val="center"/>
        </w:pPr>
        <w:r>
          <w:fldChar w:fldCharType="begin"/>
        </w:r>
        <w:r>
          <w:instrText xml:space="preserve">PAGE   \* MERGEFORMAT</w:instrText>
        </w:r>
        <w:r>
          <w:fldChar w:fldCharType="separate"/>
        </w:r>
        <w:r>
          <w:rPr>
            <w:lang w:val="zh-CN"/>
          </w:rPr>
          <w:t>13</w:t>
        </w:r>
        <w:r>
          <w:fldChar w:fldCharType="end"/>
        </w:r>
      </w:p>
    </w:sdtContent>
  </w:sdt>
  <w:p>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CD2B0F"/>
    <w:multiLevelType w:val="singleLevel"/>
    <w:tmpl w:val="F4CD2B0F"/>
    <w:lvl w:ilvl="0" w:tentative="0">
      <w:start w:val="1"/>
      <w:numFmt w:val="decimal"/>
      <w:suff w:val="nothing"/>
      <w:lvlText w:val="（%1）"/>
      <w:lvlJc w:val="left"/>
    </w:lvl>
  </w:abstractNum>
  <w:abstractNum w:abstractNumId="1">
    <w:nsid w:val="FF9379A8"/>
    <w:multiLevelType w:val="singleLevel"/>
    <w:tmpl w:val="FF9379A8"/>
    <w:lvl w:ilvl="0" w:tentative="0">
      <w:start w:val="2"/>
      <w:numFmt w:val="chineseCounting"/>
      <w:suff w:val="nothing"/>
      <w:lvlText w:val="（%1）"/>
      <w:lvlJc w:val="left"/>
      <w:rPr>
        <w:rFonts w:hint="eastAsia"/>
      </w:rPr>
    </w:lvl>
  </w:abstractNum>
  <w:abstractNum w:abstractNumId="2">
    <w:nsid w:val="116B29BF"/>
    <w:multiLevelType w:val="singleLevel"/>
    <w:tmpl w:val="116B29BF"/>
    <w:lvl w:ilvl="0" w:tentative="0">
      <w:start w:val="3"/>
      <w:numFmt w:val="chineseCounting"/>
      <w:suff w:val="nothing"/>
      <w:lvlText w:val="%1、"/>
      <w:lvlJc w:val="left"/>
      <w:rPr>
        <w:rFonts w:hint="eastAsia"/>
      </w:rPr>
    </w:lvl>
  </w:abstractNum>
  <w:abstractNum w:abstractNumId="3">
    <w:nsid w:val="27813159"/>
    <w:multiLevelType w:val="singleLevel"/>
    <w:tmpl w:val="27813159"/>
    <w:lvl w:ilvl="0" w:tentative="0">
      <w:start w:val="3"/>
      <w:numFmt w:val="chineseCounting"/>
      <w:suff w:val="nothing"/>
      <w:lvlText w:val="（%1）"/>
      <w:lvlJc w:val="left"/>
      <w:rPr>
        <w:rFonts w:hint="eastAsia"/>
      </w:rPr>
    </w:lvl>
  </w:abstractNum>
  <w:abstractNum w:abstractNumId="4">
    <w:nsid w:val="4514137E"/>
    <w:multiLevelType w:val="singleLevel"/>
    <w:tmpl w:val="4514137E"/>
    <w:lvl w:ilvl="0" w:tentative="0">
      <w:start w:val="2"/>
      <w:numFmt w:val="decimal"/>
      <w:lvlText w:val="%1."/>
      <w:lvlJc w:val="left"/>
      <w:pPr>
        <w:tabs>
          <w:tab w:val="left" w:pos="312"/>
        </w:tabs>
      </w:pPr>
    </w:lvl>
  </w:abstractNum>
  <w:abstractNum w:abstractNumId="5">
    <w:nsid w:val="6FAA0AB1"/>
    <w:multiLevelType w:val="singleLevel"/>
    <w:tmpl w:val="6FAA0AB1"/>
    <w:lvl w:ilvl="0" w:tentative="0">
      <w:start w:val="2"/>
      <w:numFmt w:val="chineseCounting"/>
      <w:suff w:val="nothing"/>
      <w:lvlText w:val="（%1）"/>
      <w:lvlJc w:val="left"/>
      <w:rPr>
        <w:rFonts w:hint="eastAsia"/>
      </w:rPr>
    </w:lvl>
  </w:abstractNum>
  <w:num w:numId="1">
    <w:abstractNumId w:val="4"/>
  </w:num>
  <w:num w:numId="2">
    <w:abstractNumId w:val="0"/>
  </w:num>
  <w:num w:numId="3">
    <w:abstractNumId w:val="3"/>
  </w:num>
  <w:num w:numId="4">
    <w:abstractNumId w:val="2"/>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iOGM5NzlhN2JhOTc3OTljZTBmY2FhN2MzNTk3ODEifQ=="/>
  </w:docVars>
  <w:rsids>
    <w:rsidRoot w:val="FF6C4049"/>
    <w:rsid w:val="005056DC"/>
    <w:rsid w:val="006F7242"/>
    <w:rsid w:val="007B168A"/>
    <w:rsid w:val="008B2CFE"/>
    <w:rsid w:val="00D55450"/>
    <w:rsid w:val="00F26FF6"/>
    <w:rsid w:val="010E426C"/>
    <w:rsid w:val="012E68A5"/>
    <w:rsid w:val="01610122"/>
    <w:rsid w:val="02510197"/>
    <w:rsid w:val="02922D88"/>
    <w:rsid w:val="034749A5"/>
    <w:rsid w:val="035E4EE7"/>
    <w:rsid w:val="03A81773"/>
    <w:rsid w:val="03EC461B"/>
    <w:rsid w:val="0461077D"/>
    <w:rsid w:val="07397B77"/>
    <w:rsid w:val="078E49EA"/>
    <w:rsid w:val="07D66F83"/>
    <w:rsid w:val="08214A91"/>
    <w:rsid w:val="08BC75F6"/>
    <w:rsid w:val="0AD007F3"/>
    <w:rsid w:val="0AE308F6"/>
    <w:rsid w:val="0D011275"/>
    <w:rsid w:val="0D1D7920"/>
    <w:rsid w:val="0DAE050B"/>
    <w:rsid w:val="0E3C619F"/>
    <w:rsid w:val="0EE404D6"/>
    <w:rsid w:val="100F38EC"/>
    <w:rsid w:val="10CB4D79"/>
    <w:rsid w:val="11170296"/>
    <w:rsid w:val="118724C4"/>
    <w:rsid w:val="118924D8"/>
    <w:rsid w:val="122E2BC8"/>
    <w:rsid w:val="12C66037"/>
    <w:rsid w:val="12CD1ABC"/>
    <w:rsid w:val="13471461"/>
    <w:rsid w:val="13B90F01"/>
    <w:rsid w:val="142302B9"/>
    <w:rsid w:val="155E4C4D"/>
    <w:rsid w:val="15A26834"/>
    <w:rsid w:val="1624714E"/>
    <w:rsid w:val="1637469D"/>
    <w:rsid w:val="16683DA7"/>
    <w:rsid w:val="181066D2"/>
    <w:rsid w:val="19C31CBA"/>
    <w:rsid w:val="1A4F0916"/>
    <w:rsid w:val="1C671E73"/>
    <w:rsid w:val="1D322C47"/>
    <w:rsid w:val="21036B37"/>
    <w:rsid w:val="211609C6"/>
    <w:rsid w:val="23616034"/>
    <w:rsid w:val="23696C97"/>
    <w:rsid w:val="24480FA2"/>
    <w:rsid w:val="24645704"/>
    <w:rsid w:val="25227A45"/>
    <w:rsid w:val="253D1BCA"/>
    <w:rsid w:val="26AC3A6A"/>
    <w:rsid w:val="29A9694E"/>
    <w:rsid w:val="2A57675E"/>
    <w:rsid w:val="2AC30E4C"/>
    <w:rsid w:val="2ADC79A5"/>
    <w:rsid w:val="2B9D7E25"/>
    <w:rsid w:val="2C56050E"/>
    <w:rsid w:val="2C7C7A3B"/>
    <w:rsid w:val="2D645CCF"/>
    <w:rsid w:val="2F364819"/>
    <w:rsid w:val="2F9B574B"/>
    <w:rsid w:val="2FD63906"/>
    <w:rsid w:val="317247D8"/>
    <w:rsid w:val="3399414F"/>
    <w:rsid w:val="341212C2"/>
    <w:rsid w:val="3558347B"/>
    <w:rsid w:val="35A81367"/>
    <w:rsid w:val="36A719AE"/>
    <w:rsid w:val="37215DAE"/>
    <w:rsid w:val="38925E34"/>
    <w:rsid w:val="38CA40DD"/>
    <w:rsid w:val="39286529"/>
    <w:rsid w:val="395F2B56"/>
    <w:rsid w:val="3A9E4D61"/>
    <w:rsid w:val="3AED1084"/>
    <w:rsid w:val="3BBA0580"/>
    <w:rsid w:val="3BECE841"/>
    <w:rsid w:val="3CD64FDE"/>
    <w:rsid w:val="3CDE204C"/>
    <w:rsid w:val="3D363C36"/>
    <w:rsid w:val="3E9C3F6D"/>
    <w:rsid w:val="3F5D215A"/>
    <w:rsid w:val="3FF7797D"/>
    <w:rsid w:val="46690BD8"/>
    <w:rsid w:val="47C11F38"/>
    <w:rsid w:val="481901A0"/>
    <w:rsid w:val="486978AF"/>
    <w:rsid w:val="489F6BE2"/>
    <w:rsid w:val="49D16C98"/>
    <w:rsid w:val="49F70BF1"/>
    <w:rsid w:val="4B4340EE"/>
    <w:rsid w:val="4C012F15"/>
    <w:rsid w:val="4CF30585"/>
    <w:rsid w:val="4D511448"/>
    <w:rsid w:val="4E5C4552"/>
    <w:rsid w:val="503D507A"/>
    <w:rsid w:val="50B95DBD"/>
    <w:rsid w:val="51FA74D0"/>
    <w:rsid w:val="52AA4A52"/>
    <w:rsid w:val="530E07E2"/>
    <w:rsid w:val="54D261F0"/>
    <w:rsid w:val="55AB5E1F"/>
    <w:rsid w:val="55E6622B"/>
    <w:rsid w:val="565F2A66"/>
    <w:rsid w:val="57FF5B62"/>
    <w:rsid w:val="59275E0B"/>
    <w:rsid w:val="59943D66"/>
    <w:rsid w:val="59E051FD"/>
    <w:rsid w:val="59E6355E"/>
    <w:rsid w:val="5B2242C8"/>
    <w:rsid w:val="5B821531"/>
    <w:rsid w:val="5BFF6039"/>
    <w:rsid w:val="5D76A616"/>
    <w:rsid w:val="5D7F20B9"/>
    <w:rsid w:val="5DAC7D0E"/>
    <w:rsid w:val="5DEB3A24"/>
    <w:rsid w:val="5F98B5AF"/>
    <w:rsid w:val="5FFE8511"/>
    <w:rsid w:val="5FFEACE2"/>
    <w:rsid w:val="609D5BF6"/>
    <w:rsid w:val="61073070"/>
    <w:rsid w:val="61B9080E"/>
    <w:rsid w:val="61DF3FED"/>
    <w:rsid w:val="62277D1D"/>
    <w:rsid w:val="642B176B"/>
    <w:rsid w:val="643EE26D"/>
    <w:rsid w:val="656019A0"/>
    <w:rsid w:val="65B837E5"/>
    <w:rsid w:val="65F242EE"/>
    <w:rsid w:val="666D7E19"/>
    <w:rsid w:val="67E93266"/>
    <w:rsid w:val="68115D68"/>
    <w:rsid w:val="68376930"/>
    <w:rsid w:val="68F91E38"/>
    <w:rsid w:val="698A5394"/>
    <w:rsid w:val="6AEB0270"/>
    <w:rsid w:val="6B3158B9"/>
    <w:rsid w:val="6B74280E"/>
    <w:rsid w:val="6BA02A3F"/>
    <w:rsid w:val="6C1E5A53"/>
    <w:rsid w:val="6C654748"/>
    <w:rsid w:val="6F5C41AC"/>
    <w:rsid w:val="6FAF6C78"/>
    <w:rsid w:val="716167CC"/>
    <w:rsid w:val="718A7AD1"/>
    <w:rsid w:val="72A44BC2"/>
    <w:rsid w:val="72C7001A"/>
    <w:rsid w:val="7317C656"/>
    <w:rsid w:val="734ED73F"/>
    <w:rsid w:val="73C82B32"/>
    <w:rsid w:val="73F94DAE"/>
    <w:rsid w:val="74220495"/>
    <w:rsid w:val="74542BEE"/>
    <w:rsid w:val="747D1B6F"/>
    <w:rsid w:val="749E5641"/>
    <w:rsid w:val="751E7ED6"/>
    <w:rsid w:val="76271066"/>
    <w:rsid w:val="77FD8BE9"/>
    <w:rsid w:val="78000AED"/>
    <w:rsid w:val="787D5D37"/>
    <w:rsid w:val="798959B9"/>
    <w:rsid w:val="79A9BD3F"/>
    <w:rsid w:val="7A8A386B"/>
    <w:rsid w:val="7A8B4B5B"/>
    <w:rsid w:val="7B254D61"/>
    <w:rsid w:val="7B776F12"/>
    <w:rsid w:val="7B850C70"/>
    <w:rsid w:val="7BFFFDD0"/>
    <w:rsid w:val="7C336E5F"/>
    <w:rsid w:val="7C8D4919"/>
    <w:rsid w:val="7CF718FB"/>
    <w:rsid w:val="7D7A5F86"/>
    <w:rsid w:val="7DD94579"/>
    <w:rsid w:val="7E4B683A"/>
    <w:rsid w:val="7E5E656D"/>
    <w:rsid w:val="7E8F2BCB"/>
    <w:rsid w:val="7EE16C34"/>
    <w:rsid w:val="7F37BB4E"/>
    <w:rsid w:val="7F432D52"/>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23"/>
    <w:qFormat/>
    <w:uiPriority w:val="0"/>
    <w:pPr>
      <w:jc w:val="left"/>
    </w:pPr>
  </w:style>
  <w:style w:type="paragraph" w:styleId="5">
    <w:name w:val="Body Text"/>
    <w:basedOn w:val="1"/>
    <w:qFormat/>
    <w:uiPriority w:val="0"/>
    <w:pPr>
      <w:spacing w:after="120"/>
    </w:pPr>
  </w:style>
  <w:style w:type="paragraph" w:styleId="6">
    <w:name w:val="Body Text Indent"/>
    <w:basedOn w:val="1"/>
    <w:qFormat/>
    <w:uiPriority w:val="0"/>
    <w:pPr>
      <w:spacing w:after="120"/>
      <w:ind w:left="420" w:leftChars="200"/>
    </w:pPr>
    <w:rPr>
      <w:rFonts w:ascii="Calibri" w:hAnsi="Calibri"/>
    </w:rPr>
  </w:style>
  <w:style w:type="paragraph" w:styleId="7">
    <w:name w:val="Balloon Text"/>
    <w:basedOn w:val="1"/>
    <w:link w:val="21"/>
    <w:qFormat/>
    <w:uiPriority w:val="0"/>
    <w:rPr>
      <w:sz w:val="18"/>
      <w:szCs w:val="18"/>
    </w:rPr>
  </w:style>
  <w:style w:type="paragraph" w:styleId="8">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9">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1">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2">
    <w:name w:val="annotation subject"/>
    <w:basedOn w:val="4"/>
    <w:next w:val="4"/>
    <w:link w:val="24"/>
    <w:qFormat/>
    <w:uiPriority w:val="0"/>
    <w:rPr>
      <w:b/>
      <w:bCs/>
    </w:rPr>
  </w:style>
  <w:style w:type="paragraph" w:styleId="13">
    <w:name w:val="Body Text First Indent"/>
    <w:basedOn w:val="5"/>
    <w:qFormat/>
    <w:uiPriority w:val="0"/>
    <w:pPr>
      <w:spacing w:after="0"/>
      <w:ind w:firstLine="200" w:firstLineChars="200"/>
    </w:pPr>
  </w:style>
  <w:style w:type="paragraph" w:styleId="14">
    <w:name w:val="Body Text First Indent 2"/>
    <w:basedOn w:val="6"/>
    <w:qFormat/>
    <w:uiPriority w:val="0"/>
    <w:pPr>
      <w:ind w:firstLine="420" w:firstLineChars="200"/>
    </w:pPr>
  </w:style>
  <w:style w:type="character" w:styleId="17">
    <w:name w:val="Strong"/>
    <w:basedOn w:val="16"/>
    <w:qFormat/>
    <w:uiPriority w:val="0"/>
    <w:rPr>
      <w:b/>
      <w:bCs/>
    </w:rPr>
  </w:style>
  <w:style w:type="character" w:styleId="18">
    <w:name w:val="annotation reference"/>
    <w:basedOn w:val="16"/>
    <w:qFormat/>
    <w:uiPriority w:val="0"/>
    <w:rPr>
      <w:sz w:val="21"/>
      <w:szCs w:val="21"/>
    </w:rPr>
  </w:style>
  <w:style w:type="character" w:customStyle="1" w:styleId="19">
    <w:name w:val="fontstyle01"/>
    <w:qFormat/>
    <w:uiPriority w:val="0"/>
    <w:rPr>
      <w:rFonts w:ascii="仿宋_GB2312" w:hAnsi="仿宋_GB2312" w:eastAsia="仿宋_GB2312" w:cs="仿宋_GB2312"/>
      <w:color w:val="000000"/>
      <w:sz w:val="32"/>
      <w:szCs w:val="32"/>
    </w:rPr>
  </w:style>
  <w:style w:type="paragraph" w:customStyle="1" w:styleId="20">
    <w:name w:val="闻政-正文段落文字"/>
    <w:basedOn w:val="1"/>
    <w:qFormat/>
    <w:uiPriority w:val="3"/>
    <w:pPr>
      <w:spacing w:line="500" w:lineRule="exact"/>
      <w:ind w:firstLine="200"/>
    </w:pPr>
    <w:rPr>
      <w:kern w:val="0"/>
      <w:szCs w:val="28"/>
    </w:rPr>
  </w:style>
  <w:style w:type="character" w:customStyle="1" w:styleId="21">
    <w:name w:val="批注框文本 字符"/>
    <w:basedOn w:val="16"/>
    <w:link w:val="7"/>
    <w:qFormat/>
    <w:uiPriority w:val="0"/>
    <w:rPr>
      <w:rFonts w:ascii="Times New Roman" w:hAnsi="Times New Roman" w:eastAsia="宋体" w:cs="Times New Roman"/>
      <w:kern w:val="2"/>
      <w:sz w:val="18"/>
      <w:szCs w:val="18"/>
    </w:rPr>
  </w:style>
  <w:style w:type="character" w:customStyle="1" w:styleId="22">
    <w:name w:val="页眉 字符"/>
    <w:basedOn w:val="16"/>
    <w:link w:val="9"/>
    <w:qFormat/>
    <w:uiPriority w:val="0"/>
    <w:rPr>
      <w:rFonts w:ascii="Times New Roman" w:hAnsi="Times New Roman" w:eastAsia="宋体" w:cs="Times New Roman"/>
      <w:kern w:val="2"/>
      <w:sz w:val="18"/>
      <w:szCs w:val="18"/>
    </w:rPr>
  </w:style>
  <w:style w:type="character" w:customStyle="1" w:styleId="23">
    <w:name w:val="批注文字 字符"/>
    <w:basedOn w:val="16"/>
    <w:link w:val="4"/>
    <w:qFormat/>
    <w:uiPriority w:val="0"/>
    <w:rPr>
      <w:rFonts w:ascii="Times New Roman" w:hAnsi="Times New Roman" w:eastAsia="宋体" w:cs="Times New Roman"/>
      <w:kern w:val="2"/>
      <w:sz w:val="21"/>
      <w:szCs w:val="24"/>
    </w:rPr>
  </w:style>
  <w:style w:type="character" w:customStyle="1" w:styleId="24">
    <w:name w:val="批注主题 字符"/>
    <w:basedOn w:val="23"/>
    <w:link w:val="12"/>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27</Pages>
  <Words>77</Words>
  <Characters>89</Characters>
  <Lines>58</Lines>
  <Paragraphs>16</Paragraphs>
  <TotalTime>6</TotalTime>
  <ScaleCrop>false</ScaleCrop>
  <LinksUpToDate>false</LinksUpToDate>
  <CharactersWithSpaces>89</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lenovo</cp:lastModifiedBy>
  <cp:lastPrinted>2025-05-29T02:35:12Z</cp:lastPrinted>
  <dcterms:modified xsi:type="dcterms:W3CDTF">2025-05-29T03:36:08Z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F1A32EB7C53F433780EB4BD1AD3DECDF_13</vt:lpwstr>
  </property>
  <property fmtid="{D5CDD505-2E9C-101B-9397-08002B2CF9AE}" pid="4" name="KSOTemplateDocerSaveRecord">
    <vt:lpwstr>eyJoZGlkIjoiYTRkOTIwZjc5YmU2ZTY5MjQ2MTljMmZlZWEzNGY0OTAiLCJ1c2VySWQiOiI0MzUzMjU0MzcifQ==</vt:lpwstr>
  </property>
</Properties>
</file>