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both"/>
        <w:rPr>
          <w:rFonts w:ascii="宋体" w:eastAsia="宋体"/>
          <w:sz w:val="32"/>
          <w:szCs w:val="32"/>
        </w:rPr>
      </w:pPr>
    </w:p>
    <w:p>
      <w:pPr>
        <w:widowControl/>
        <w:spacing w:before="0" w:beforeLines="0" w:beforeAutospacing="0" w:after="0" w:afterLines="0" w:afterAutospacing="0" w:line="240" w:lineRule="auto"/>
        <w:jc w:val="both"/>
        <w:rPr>
          <w:rFonts w:ascii="宋体" w:eastAsia="宋体"/>
          <w:sz w:val="44"/>
          <w:szCs w:val="44"/>
        </w:rPr>
      </w:pPr>
    </w:p>
    <w:p>
      <w:pPr>
        <w:widowControl/>
        <w:spacing w:before="0" w:beforeLines="0" w:beforeAutospacing="0" w:after="0" w:afterLines="0" w:afterAutospacing="0" w:line="240" w:lineRule="auto"/>
        <w:jc w:val="both"/>
        <w:rPr>
          <w:rFonts w:ascii="宋体" w:eastAsia="宋体"/>
          <w:sz w:val="44"/>
          <w:szCs w:val="44"/>
        </w:rPr>
      </w:pPr>
    </w:p>
    <w:p>
      <w:pPr>
        <w:widowControl/>
        <w:spacing w:before="0" w:beforeLines="0" w:beforeAutospacing="0" w:after="0" w:afterLines="0" w:afterAutospacing="0" w:line="240" w:lineRule="auto"/>
        <w:jc w:val="both"/>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中共库尔勒市委员会统一战线工作部</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jc w:val="both"/>
      </w:pPr>
      <w:r>
        <w:rPr>
          <w:b w:val="0"/>
          <w:sz w:val="0"/>
          <w:szCs w:val="0"/>
        </w:rPr>
        <w:br w:type="page"/>
      </w:r>
    </w:p>
    <w:p>
      <w:pPr>
        <w:widowControl/>
        <w:spacing w:before="0" w:beforeLines="0" w:beforeAutospacing="0" w:after="0" w:afterLines="0" w:afterAutospacing="0" w:line="240" w:lineRule="auto"/>
        <w:jc w:val="both"/>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九、《财政拨款“三公”经费支出决算表》</w:t>
      </w:r>
    </w:p>
    <w:p>
      <w:pPr>
        <w:widowControl/>
        <w:jc w:val="both"/>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贯彻落实市党委关于统一战线工作的具体要求，紧紧围绕社会稳定和长治久安总目标，发挥市党委在统战工作方面的参谋机构、组织协调机构、具体执行机构、督促检查机构作用，了解情况、掌握政策、协调关系、安排人事、增进共识、加强团结，协调统一战线各方面关系，巩固壮大最广泛的统一战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（二）研究拟订市统一战线工作的政策措施并推动落实，深入调查研究，及时向市党委报告统一战线工作情况并提出建议，统筹协调和指导部门统一战线工作。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负责发现、培养党外代表人士，负责党外人士的政治安排，会同有关部门做好安排党外人士担任政府和司法机关等领导职务的工作，协助全市各民主党派、市工商联做好干部管理工作，反映和协调解决党外代表人士工作生活中的实际困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（四）贯彻落实党的宣传工作方针政策，统筹推进市内外统一战线宣传工作，组织实施全市统一战线宣传工作规划及措施，研判涉及统一战线的舆情并协调有关部门应对处置。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负责联系各民主党派，通报情况、反映意见，贯彻落实中国共产党领导的多党合作和政治协商制度以及对民主党派的方针政策，支持、帮助民主党派加强自身建设，做好支持民主党派履行职能、发挥作用的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六）贯彻落实党的民族工作方针政策，研究拟订全市民族工作措施并督促落实，协调处理民族工作中的重大问题，根据分工做好少数民族干部工作，依法管理民族事务，加强“民族团结一家亲”和民族团结联谊活动及民族团结进步创建的组织协调、调研指导和督导考核，促进各民族交往交流交融，全面推进民族事业发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（七）贯彻落实党中央治疆方略，贯彻落实中央、自治区、自治州党委统战部工作要求，组织协调和指导各部门各单位做好有关工作，管理、指导、监督市民族宗教执法队工作。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八）贯彻落实党的宗教工作基本方针政策，研究拟订宗教工作的措施并督促落实，依法管理宗教行政事务，保护公民宗教信仰自由和正常的宗教活动，指导宗教团体工作，维护宗教界合法权益，深入推进去极端化，引导宗教与社会主义社会相适应，巩固和发展同宗教界的爱国统一战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九）负责联系、培养无党派代表人士，支持、帮助无党派代表人士加强自身建设、发挥作用。调查研究党外知识分子和新的社会阶层人士情况并提出政策建议，联系、培养党外知识分子和新的社会阶层人士，指导全市有关单位和社会组织开展党外知识分子和新的社会阶层人士统战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推动落实鼓励支持引导非公有制经济发展的方针政策，调查研究非公有制经济人士情况并提出建议，了解和反映非公有制经济人士的意见，团结、服务、引导、教育非公有制经济人士，促进非公有制经济健康发展和非公有制经济人士健康成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（十一）拟订海外统战工作规划和措施并组织协调、督促检查落实，联系香港、澳门、台湾有关党派、团体及代表人士，联系海外有关社团及代表人士，做好台胞、台属有关工作。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二）统一管理侨务工作，贯彻落实党的侨务工作方针政策，负责拟订侨务工作措施并组织协调、督促检查落实，调查研究国内外侨情和侨务工作情况，管理侨务行政事务，统筹协调有关部门和社会团体涉侨工作，联系海外有关侨团和代表人士，指导推动涉侨宣传、文化交流、华文教育工作等，保护华侨和归侨侨眷在国内的合法权利和利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（十三）受市党委委托，领导市工商联党组，指导市工商联工作。做好统一战线有关单位和团体的管理工作。做好统战系统干部和统一战线成员的教育培训工作。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color w:val="auto"/>
          <w:sz w:val="32"/>
          <w:szCs w:val="32"/>
          <w:highlight w:val="none"/>
          <w:lang w:val="en-US" w:eastAsia="zh-CN"/>
        </w:rPr>
        <w:t>（十四）完成市党委、市人民政府交办的其他任务。</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中共库尔勒市委员会统一战线工作部2024年度，实有人数35人，其中：在职人员22人，较上年无变化；离休人员1人，较上年无变化；退休人员12人，增加1人。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中共库尔勒市委员会统一战线工作部无下属预算单位，下设</w:t>
      </w:r>
      <w:r>
        <w:rPr>
          <w:rFonts w:hint="eastAsia" w:ascii="仿宋_GB2312" w:eastAsia="仿宋_GB2312"/>
          <w:b w:val="0"/>
          <w:sz w:val="32"/>
          <w:szCs w:val="32"/>
          <w:lang w:val="en-US" w:eastAsia="zh-CN"/>
        </w:rPr>
        <w:t>5</w:t>
      </w:r>
      <w:r>
        <w:rPr>
          <w:rFonts w:ascii="仿宋_GB2312" w:eastAsia="仿宋_GB2312"/>
          <w:b w:val="0"/>
          <w:sz w:val="32"/>
          <w:szCs w:val="32"/>
        </w:rPr>
        <w:t>个</w:t>
      </w:r>
      <w:r>
        <w:rPr>
          <w:rFonts w:hint="eastAsia" w:ascii="仿宋_GB2312" w:eastAsia="仿宋_GB2312"/>
          <w:b w:val="0"/>
          <w:sz w:val="32"/>
          <w:szCs w:val="32"/>
          <w:lang w:eastAsia="zh-CN"/>
        </w:rPr>
        <w:t>科室</w:t>
      </w:r>
      <w:r>
        <w:rPr>
          <w:rFonts w:ascii="仿宋_GB2312" w:eastAsia="仿宋_GB2312"/>
          <w:b w:val="0"/>
          <w:sz w:val="32"/>
          <w:szCs w:val="32"/>
        </w:rPr>
        <w:t>，分别是：</w:t>
      </w:r>
      <w:r>
        <w:rPr>
          <w:rFonts w:hint="eastAsia" w:ascii="仿宋_GB2312" w:eastAsia="仿宋_GB2312"/>
          <w:color w:val="auto"/>
          <w:sz w:val="32"/>
          <w:szCs w:val="32"/>
          <w:highlight w:val="none"/>
          <w:lang w:val="en-US" w:eastAsia="zh-CN"/>
        </w:rPr>
        <w:t>行政办公室、统战室，民族事务室、宗教事务室、伊斯兰教中国话办公室</w:t>
      </w:r>
      <w:r>
        <w:rPr>
          <w:rFonts w:ascii="仿宋_GB2312" w:eastAsia="仿宋_GB2312"/>
          <w:b w:val="0"/>
          <w:sz w:val="32"/>
          <w:szCs w:val="32"/>
        </w:rPr>
        <w:t>。</w:t>
      </w:r>
    </w:p>
    <w:p>
      <w:pPr>
        <w:widowControl/>
        <w:jc w:val="both"/>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2024年度收入总计914.03万元，其中：本年收入合计914.03万元，使用非财政拨款结余（含专用结余）0.00万元，年初结转和结余0.00万元。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2024年度支出总计914.03万元，其中：本年支出合计914.03万元，结余分配0.00万元，年末结转和结余0.00万元。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收入支出总体与上年相比，减少72.72万元，下降7.37%，主要原因是：</w:t>
      </w:r>
      <w:r>
        <w:rPr>
          <w:rFonts w:hint="eastAsia" w:ascii="仿宋_GB2312" w:eastAsia="仿宋_GB2312"/>
          <w:b w:val="0"/>
          <w:sz w:val="32"/>
          <w:szCs w:val="32"/>
          <w:lang w:eastAsia="zh-CN"/>
        </w:rPr>
        <w:t>本年减少了民族团结复验工作经费、管委会工作经费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本年收入914.03万元，其中：财政拨款收入914.03万元,占100.00%；上级补助收入0.00万元,占0.00%；事业收入0.00万元，占0.00%；经营收入0.00万元,占0.00%；附属单位上缴收入0.00万元，占0.00%；其他收入0.00万元，占0.00%。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本年支出914.03万元，其中：基本支出592.35万元，占64.81%；项目支出321.68万元，占35.19%；上缴上级支出0.00万元，占0.00%；经营支出0.00万元，占0.00%；对附属单位补助支出0.00万元，占0.00%。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2024年度财政拨款收入总计914.03万元，其中：年初财政拨款结转和结余0.00万元，本年财政拨款收入914.03万元。财政拨款支出总计914.03万元，其中：年末财政拨款结转和结余0.00万元，本年财政拨款支出914.03万元。</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财政拨款收入支出总体与上年相比，减少72.72万元，下降7.37%，主要原因是：</w:t>
      </w:r>
      <w:r>
        <w:rPr>
          <w:rFonts w:hint="eastAsia" w:ascii="仿宋_GB2312" w:eastAsia="仿宋_GB2312"/>
          <w:b w:val="0"/>
          <w:sz w:val="32"/>
          <w:szCs w:val="32"/>
          <w:lang w:eastAsia="zh-CN"/>
        </w:rPr>
        <w:t>本年减少了民族团结复验工作经费、管委会工作经费</w:t>
      </w:r>
      <w:r>
        <w:rPr>
          <w:rFonts w:ascii="仿宋_GB2312" w:eastAsia="仿宋_GB2312"/>
          <w:b w:val="0"/>
          <w:sz w:val="32"/>
          <w:szCs w:val="32"/>
        </w:rPr>
        <w:t>。与年初预算相比，年初预算数787.92万元，决算数914.03万元，预决算差异率16.01%，主要原因是：</w:t>
      </w:r>
      <w:r>
        <w:rPr>
          <w:rFonts w:hint="eastAsia" w:ascii="仿宋_GB2312" w:eastAsia="仿宋_GB2312"/>
          <w:b w:val="0"/>
          <w:sz w:val="32"/>
          <w:szCs w:val="32"/>
          <w:lang w:val="en-US" w:eastAsia="zh-CN"/>
        </w:rPr>
        <w:t>本年度年中增加了</w:t>
      </w:r>
      <w:r>
        <w:rPr>
          <w:rFonts w:hint="eastAsia" w:ascii="仿宋_GB2312" w:eastAsia="仿宋_GB2312"/>
          <w:b w:val="0"/>
          <w:sz w:val="32"/>
          <w:szCs w:val="32"/>
          <w:lang w:eastAsia="zh-CN"/>
        </w:rPr>
        <w:t>中央民族贸易和民族特需商品生产贷款贴息</w:t>
      </w:r>
      <w:r>
        <w:rPr>
          <w:rFonts w:hint="eastAsia" w:ascii="仿宋_GB2312" w:eastAsia="仿宋_GB2312"/>
          <w:b w:val="0"/>
          <w:sz w:val="32"/>
          <w:szCs w:val="32"/>
          <w:lang w:val="en-US" w:eastAsia="zh-CN"/>
        </w:rPr>
        <w:t>项目，增加了工资福利支出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both"/>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2024年度一般公共预算财政拨款支出914.03万元，占本年支出合计的100.00%。与上年相比，减少72.72万元，下降7.37%，</w:t>
      </w:r>
      <w:r>
        <w:rPr>
          <w:rFonts w:ascii="仿宋_GB2312" w:eastAsia="仿宋_GB2312"/>
          <w:b w:val="0"/>
          <w:sz w:val="32"/>
          <w:szCs w:val="32"/>
          <w:highlight w:val="none"/>
        </w:rPr>
        <w:t>主要原因是：</w:t>
      </w:r>
      <w:r>
        <w:rPr>
          <w:rFonts w:hint="eastAsia" w:ascii="仿宋_GB2312" w:eastAsia="仿宋_GB2312"/>
          <w:b w:val="0"/>
          <w:sz w:val="32"/>
          <w:szCs w:val="32"/>
          <w:highlight w:val="none"/>
          <w:lang w:val="en-US" w:eastAsia="zh-CN"/>
        </w:rPr>
        <w:t>2023年安排民族团结创建复验工作项目，2024年无该项目，项目支出减少</w:t>
      </w:r>
      <w:r>
        <w:rPr>
          <w:rFonts w:ascii="仿宋_GB2312" w:eastAsia="仿宋_GB2312"/>
          <w:b w:val="0"/>
          <w:sz w:val="32"/>
          <w:szCs w:val="32"/>
          <w:highlight w:val="none"/>
        </w:rPr>
        <w:t>。</w:t>
      </w:r>
      <w:r>
        <w:rPr>
          <w:rFonts w:ascii="仿宋_GB2312" w:eastAsia="仿宋_GB2312"/>
          <w:b w:val="0"/>
          <w:sz w:val="32"/>
          <w:szCs w:val="32"/>
        </w:rPr>
        <w:t>与年初预算相比，年初预算数787.92万元，决算数914.03万元，预决算差异率16.01%，主要原因是：</w:t>
      </w:r>
      <w:r>
        <w:rPr>
          <w:rFonts w:hint="eastAsia" w:ascii="仿宋_GB2312" w:eastAsia="仿宋_GB2312"/>
          <w:b w:val="0"/>
          <w:sz w:val="32"/>
          <w:szCs w:val="32"/>
          <w:lang w:val="en-US" w:eastAsia="zh-CN"/>
        </w:rPr>
        <w:t>本年度年中增加了</w:t>
      </w:r>
      <w:r>
        <w:rPr>
          <w:rFonts w:hint="eastAsia" w:ascii="仿宋_GB2312" w:eastAsia="仿宋_GB2312"/>
          <w:b w:val="0"/>
          <w:sz w:val="32"/>
          <w:szCs w:val="32"/>
          <w:lang w:eastAsia="zh-CN"/>
        </w:rPr>
        <w:t>中央民族贸易和民族特需商品生产贷款贴息</w:t>
      </w:r>
      <w:r>
        <w:rPr>
          <w:rFonts w:hint="eastAsia" w:ascii="仿宋_GB2312" w:eastAsia="仿宋_GB2312"/>
          <w:b w:val="0"/>
          <w:sz w:val="32"/>
          <w:szCs w:val="32"/>
          <w:lang w:val="en-US" w:eastAsia="zh-CN"/>
        </w:rPr>
        <w:t>项目，增加了工资福利支出</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both"/>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一般公共服务支出（类）650.76万元，占71.20%。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教育支出（类）2.62万元，占0.29%。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社会保障和就业支出（类）62.22万元，占6.81%。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卫生健康支出（类）20.30万元，占2.22%。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商业服务业等支出（类）151.51万元，占16.58%。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住房保障支出（类）26.61万元，占2.91%。</w:t>
      </w:r>
    </w:p>
    <w:p>
      <w:pPr>
        <w:widowControl/>
        <w:spacing w:before="0" w:beforeLines="0" w:beforeAutospacing="0" w:after="0" w:afterLines="0" w:afterAutospacing="0" w:line="240" w:lineRule="auto"/>
        <w:ind w:firstLine="643" w:firstLineChars="200"/>
        <w:jc w:val="both"/>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一般公共服务支出（类）统战事务（款）行政运行（项）：支出决算数为469.91万元，比上年决算减少96.38万元，下降17.02</w:t>
      </w:r>
      <w:r>
        <w:rPr>
          <w:rFonts w:ascii="仿宋_GB2312" w:eastAsia="仿宋_GB2312"/>
          <w:b w:val="0"/>
          <w:sz w:val="32"/>
          <w:szCs w:val="32"/>
          <w:highlight w:val="none"/>
        </w:rPr>
        <w:t>%，主要原因是：</w:t>
      </w:r>
      <w:bookmarkStart w:id="0" w:name="OLE_LINK1"/>
      <w:r>
        <w:rPr>
          <w:rFonts w:hint="eastAsia" w:ascii="仿宋_GB2312" w:eastAsia="仿宋_GB2312"/>
          <w:color w:val="auto"/>
          <w:spacing w:val="0"/>
          <w:sz w:val="32"/>
          <w:szCs w:val="32"/>
          <w:highlight w:val="none"/>
          <w:lang w:val="en-US" w:eastAsia="zh-CN"/>
        </w:rPr>
        <w:t>对个人和家庭的补助支出（抚恤金，生活补助费）减少了。</w:t>
      </w:r>
    </w:p>
    <w:bookmarkEnd w:id="0"/>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一般公共服务支出（类）统战事务（款）宗教事务（项）：支出决算数为97.44万元，比上年决算减少27.57万元，下降22.05%，主要原因是：</w:t>
      </w:r>
      <w:r>
        <w:rPr>
          <w:rFonts w:hint="eastAsia" w:ascii="仿宋_GB2312" w:eastAsia="仿宋_GB2312"/>
          <w:color w:val="auto"/>
          <w:spacing w:val="0"/>
          <w:sz w:val="32"/>
          <w:szCs w:val="32"/>
          <w:highlight w:val="none"/>
          <w:lang w:val="en-US" w:eastAsia="zh-CN"/>
        </w:rPr>
        <w:t>对个人和家庭的补助支出（爱国宗教人士生活补助费）减少了。</w:t>
      </w:r>
    </w:p>
    <w:p>
      <w:pPr>
        <w:widowControl/>
        <w:numPr>
          <w:ilvl w:val="0"/>
          <w:numId w:val="0"/>
        </w:numPr>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一般公共服务支出（类）统战事务（款）其他统战事务支出（项）：支出决算数为83.41万元，比上年决算增加0.04万元，增长0.05%，主要原因是：</w:t>
      </w:r>
      <w:r>
        <w:rPr>
          <w:rFonts w:hint="eastAsia" w:ascii="仿宋_GB2312" w:eastAsia="仿宋_GB2312"/>
          <w:b w:val="0"/>
          <w:sz w:val="32"/>
          <w:szCs w:val="32"/>
          <w:lang w:eastAsia="zh-CN"/>
        </w:rPr>
        <w:t>本年</w:t>
      </w:r>
      <w:r>
        <w:rPr>
          <w:rFonts w:hint="eastAsia" w:ascii="仿宋_GB2312" w:eastAsia="仿宋_GB2312"/>
          <w:color w:val="auto"/>
          <w:spacing w:val="0"/>
          <w:sz w:val="32"/>
          <w:szCs w:val="32"/>
          <w:highlight w:val="none"/>
          <w:lang w:val="en-US" w:eastAsia="zh-CN"/>
        </w:rPr>
        <w:t>商品和服务支出（办公费支出）增加了。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教育支出（类）进修及培训（款）培训支出（项）：支出决算数为2.62万元，比上年决算增加0.75万元，增长40.11%，主要原因是：</w:t>
      </w:r>
      <w:r>
        <w:rPr>
          <w:rFonts w:hint="eastAsia" w:ascii="仿宋_GB2312" w:eastAsia="仿宋_GB2312"/>
          <w:color w:val="auto"/>
          <w:spacing w:val="0"/>
          <w:sz w:val="32"/>
          <w:szCs w:val="32"/>
          <w:highlight w:val="none"/>
          <w:lang w:val="en-US" w:eastAsia="zh-CN"/>
        </w:rPr>
        <w:t>本年度增加领导干部外出学习培训支出</w:t>
      </w:r>
      <w:r>
        <w:rPr>
          <w:rFonts w:hint="eastAsia" w:ascii="仿宋_GB2312" w:eastAsia="仿宋_GB2312"/>
          <w:color w:val="auto"/>
          <w:spacing w:val="0"/>
          <w:sz w:val="32"/>
          <w:szCs w:val="32"/>
          <w:highlight w:val="none"/>
          <w:lang w:val="zh-CN" w:eastAsia="zh-CN"/>
        </w:rPr>
        <w:t>。</w:t>
      </w:r>
    </w:p>
    <w:p>
      <w:pPr>
        <w:widowControl/>
        <w:numPr>
          <w:ilvl w:val="0"/>
          <w:numId w:val="0"/>
        </w:numPr>
        <w:spacing w:before="0" w:beforeLines="0" w:beforeAutospacing="0" w:after="0" w:afterLines="0" w:afterAutospacing="0" w:line="240" w:lineRule="auto"/>
        <w:ind w:firstLine="640" w:firstLineChars="200"/>
        <w:jc w:val="both"/>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社会保障和就业支出（类）行政事业单位养老支出（款）行政单位离退休（项）：支出决算数为23.34万元，比上年决算减少0.89万元，下降3.67%，</w:t>
      </w:r>
      <w:r>
        <w:rPr>
          <w:rFonts w:ascii="仿宋_GB2312" w:eastAsia="仿宋_GB2312"/>
          <w:b w:val="0"/>
          <w:color w:val="auto"/>
          <w:sz w:val="32"/>
          <w:szCs w:val="32"/>
        </w:rPr>
        <w:t>主要原因是</w:t>
      </w:r>
      <w:r>
        <w:rPr>
          <w:rFonts w:ascii="仿宋_GB2312" w:eastAsia="仿宋_GB2312"/>
          <w:b w:val="0"/>
          <w:sz w:val="32"/>
          <w:szCs w:val="32"/>
        </w:rPr>
        <w:t>：</w:t>
      </w:r>
      <w:r>
        <w:rPr>
          <w:rFonts w:hint="eastAsia" w:ascii="仿宋_GB2312" w:eastAsia="仿宋_GB2312"/>
          <w:b w:val="0"/>
          <w:sz w:val="32"/>
          <w:szCs w:val="32"/>
          <w:lang w:val="en-US" w:eastAsia="zh-CN"/>
        </w:rPr>
        <w:t>2023年离休人员工资增加，2024年无变动，所以本年</w:t>
      </w:r>
      <w:r>
        <w:rPr>
          <w:rFonts w:ascii="仿宋_GB2312" w:eastAsia="仿宋_GB2312"/>
          <w:b w:val="0"/>
          <w:sz w:val="32"/>
          <w:szCs w:val="32"/>
        </w:rPr>
        <w:t>行政单位离退休</w:t>
      </w:r>
      <w:r>
        <w:rPr>
          <w:rFonts w:hint="eastAsia" w:ascii="仿宋_GB2312" w:eastAsia="仿宋_GB2312"/>
          <w:b w:val="0"/>
          <w:sz w:val="32"/>
          <w:szCs w:val="32"/>
          <w:lang w:eastAsia="zh-CN"/>
        </w:rPr>
        <w:t>支出比上年减少</w:t>
      </w:r>
      <w:r>
        <w:rPr>
          <w:rFonts w:hint="eastAsia" w:ascii="仿宋_GB2312" w:eastAsia="仿宋_GB2312"/>
          <w:b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社会保障和就业支出（类）行政事业单位养老支出（款）机关事业单位基本养老保险缴费支出（项）：支出决算数为32.24万元，比上年决算增加2.07万元，增长6.86%，主要原因是：</w:t>
      </w:r>
      <w:r>
        <w:rPr>
          <w:rFonts w:hint="eastAsia" w:ascii="仿宋_GB2312" w:eastAsia="仿宋_GB2312"/>
          <w:color w:val="auto"/>
          <w:spacing w:val="0"/>
          <w:sz w:val="32"/>
          <w:szCs w:val="32"/>
          <w:highlight w:val="none"/>
          <w:lang w:val="en-US" w:eastAsia="zh-CN"/>
        </w:rPr>
        <w:t>本年度缴费基数调整原因增加了机关事业单位基本养老保险缴费支出</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社会保障和就业支出（类）行政事业单位养老支出（款）机关事业单位职业年金缴费支出（项）：支出决算数为6.64万元，比上年决算增加6.64万元，增长100.00%，主要原因是：</w:t>
      </w:r>
      <w:r>
        <w:rPr>
          <w:rFonts w:hint="eastAsia" w:ascii="仿宋_GB2312" w:eastAsia="仿宋_GB2312"/>
          <w:color w:val="auto"/>
          <w:spacing w:val="0"/>
          <w:sz w:val="32"/>
          <w:szCs w:val="32"/>
          <w:highlight w:val="none"/>
          <w:lang w:val="en-US" w:eastAsia="zh-CN"/>
        </w:rPr>
        <w:t>本年度缴费基数调整原因增加了</w:t>
      </w:r>
      <w:r>
        <w:rPr>
          <w:rFonts w:ascii="仿宋_GB2312" w:eastAsia="仿宋_GB2312"/>
          <w:b w:val="0"/>
          <w:sz w:val="32"/>
          <w:szCs w:val="32"/>
        </w:rPr>
        <w:t>机关事业单位职业年金缴费支出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jc w:val="both"/>
        <w:rPr>
          <w:rFonts w:hint="eastAsia" w:ascii="仿宋_GB2312" w:eastAsia="仿宋_GB2312"/>
          <w:color w:val="auto"/>
          <w:sz w:val="32"/>
          <w:szCs w:val="32"/>
          <w:lang w:eastAsia="zh-CN"/>
        </w:rPr>
      </w:pPr>
      <w:r>
        <w:rPr>
          <w:rFonts w:ascii="仿宋_GB2312" w:eastAsia="仿宋_GB2312"/>
          <w:b w:val="0"/>
          <w:sz w:val="32"/>
          <w:szCs w:val="32"/>
        </w:rPr>
        <w:t>卫生健康支出（类）行政事业单位医疗（款）行政单位医疗（项）：支出决算数为15.68万元，比上年决算减少4.01万元，下降20.37%，</w:t>
      </w:r>
      <w:r>
        <w:rPr>
          <w:rFonts w:ascii="仿宋_GB2312" w:eastAsia="仿宋_GB2312"/>
          <w:b w:val="0"/>
          <w:color w:val="auto"/>
          <w:sz w:val="32"/>
          <w:szCs w:val="32"/>
        </w:rPr>
        <w:t>主要原因是：</w:t>
      </w:r>
      <w:r>
        <w:rPr>
          <w:rFonts w:hint="eastAsia" w:ascii="仿宋_GB2312" w:eastAsia="仿宋_GB2312"/>
          <w:b w:val="0"/>
          <w:color w:val="auto"/>
          <w:sz w:val="32"/>
          <w:szCs w:val="32"/>
          <w:lang w:eastAsia="zh-CN"/>
        </w:rPr>
        <w:t>本年度人员退休，工作调动原因，减少</w:t>
      </w:r>
      <w:r>
        <w:rPr>
          <w:rFonts w:ascii="仿宋_GB2312" w:eastAsia="仿宋_GB2312"/>
          <w:b w:val="0"/>
          <w:color w:val="auto"/>
          <w:sz w:val="32"/>
          <w:szCs w:val="32"/>
        </w:rPr>
        <w:t>行政单位医疗</w:t>
      </w:r>
      <w:r>
        <w:rPr>
          <w:rFonts w:hint="eastAsia" w:ascii="仿宋_GB2312" w:eastAsia="仿宋_GB2312"/>
          <w:b w:val="0"/>
          <w:color w:val="auto"/>
          <w:sz w:val="32"/>
          <w:szCs w:val="32"/>
          <w:lang w:eastAsia="zh-CN"/>
        </w:rPr>
        <w:t>支出。</w:t>
      </w:r>
    </w:p>
    <w:p>
      <w:pPr>
        <w:widowControl/>
        <w:numPr>
          <w:ilvl w:val="0"/>
          <w:numId w:val="0"/>
        </w:numPr>
        <w:spacing w:before="0" w:beforeLines="0" w:beforeAutospacing="0" w:after="0" w:afterLines="0" w:afterAutospacing="0" w:line="240" w:lineRule="auto"/>
        <w:ind w:firstLine="640" w:firstLineChars="200"/>
        <w:jc w:val="both"/>
        <w:rPr>
          <w:rFonts w:hint="eastAsia" w:ascii="仿宋_GB2312" w:eastAsia="仿宋_GB2312"/>
          <w:sz w:val="32"/>
          <w:szCs w:val="32"/>
          <w:lang w:val="en-US" w:eastAsia="zh-CN"/>
        </w:rPr>
      </w:pPr>
      <w:r>
        <w:rPr>
          <w:rFonts w:ascii="仿宋_GB2312" w:eastAsia="仿宋_GB2312"/>
          <w:b w:val="0"/>
          <w:sz w:val="32"/>
          <w:szCs w:val="32"/>
        </w:rPr>
        <w:t>卫生健康支出（类）行政事业单位医疗（款）公务员医疗补助（项）：支出决算数为4.62万元，比上年决算减少0.30万元，下降6.10%，主要原因是：</w:t>
      </w:r>
      <w:r>
        <w:rPr>
          <w:rFonts w:hint="eastAsia" w:ascii="仿宋_GB2312" w:eastAsia="仿宋_GB2312"/>
          <w:b w:val="0"/>
          <w:sz w:val="32"/>
          <w:szCs w:val="32"/>
          <w:lang w:eastAsia="zh-CN"/>
        </w:rPr>
        <w:t>本年度在职人员退休原因减少了</w:t>
      </w:r>
      <w:r>
        <w:rPr>
          <w:rFonts w:ascii="仿宋_GB2312" w:eastAsia="仿宋_GB2312"/>
          <w:b w:val="0"/>
          <w:sz w:val="32"/>
          <w:szCs w:val="32"/>
        </w:rPr>
        <w:t>公务员医疗补助</w:t>
      </w:r>
      <w:r>
        <w:rPr>
          <w:rFonts w:hint="eastAsia" w:ascii="仿宋_GB2312" w:eastAsia="仿宋_GB2312"/>
          <w:b w:val="0"/>
          <w:sz w:val="32"/>
          <w:szCs w:val="32"/>
          <w:lang w:eastAsia="zh-CN"/>
        </w:rPr>
        <w:t>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商业服务业等支出（类）商业流通事务（款）民贸民品贷款贴息（项）：支出决算数为151.51万元，比上年决算增加43.74万元，增长40.59%，主要原因是：</w:t>
      </w:r>
      <w:r>
        <w:rPr>
          <w:rFonts w:hint="eastAsia" w:ascii="仿宋_GB2312" w:eastAsia="仿宋_GB2312"/>
          <w:color w:val="auto"/>
          <w:spacing w:val="0"/>
          <w:sz w:val="32"/>
          <w:szCs w:val="32"/>
          <w:highlight w:val="none"/>
          <w:lang w:val="en-US" w:eastAsia="zh-CN"/>
        </w:rPr>
        <w:t>本年度增加了对企业补助支出（瑞源乳业贷款贴息补助）</w:t>
      </w:r>
      <w:r>
        <w:rPr>
          <w:rFonts w:hint="eastAsia" w:ascii="仿宋_GB2312" w:eastAsia="仿宋_GB2312"/>
          <w:color w:val="auto"/>
          <w:spacing w:val="0"/>
          <w:sz w:val="32"/>
          <w:szCs w:val="32"/>
          <w:highlight w:val="none"/>
          <w:lang w:val="zh-CN" w:eastAsia="zh-CN"/>
        </w:rPr>
        <w:t>。</w:t>
      </w:r>
    </w:p>
    <w:p>
      <w:pPr>
        <w:widowControl/>
        <w:numPr>
          <w:ilvl w:val="0"/>
          <w:numId w:val="0"/>
        </w:numPr>
        <w:spacing w:before="0" w:beforeLines="0" w:beforeAutospacing="0" w:after="0" w:afterLines="0" w:afterAutospacing="0" w:line="240" w:lineRule="auto"/>
        <w:ind w:firstLine="640" w:firstLineChars="200"/>
        <w:jc w:val="both"/>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lang w:eastAsia="zh-CN"/>
        </w:rPr>
      </w:pPr>
      <w:r>
        <w:rPr>
          <w:rFonts w:ascii="仿宋_GB2312" w:eastAsia="仿宋_GB2312"/>
          <w:b w:val="0"/>
          <w:sz w:val="32"/>
          <w:szCs w:val="32"/>
        </w:rPr>
        <w:t>住房保障支出（类）住房改革支出（款）住房公积金（项）：支出决算数为26.61万元，比上年决算增加3.19万元，增长13.62%，主要原因是：</w:t>
      </w:r>
      <w:r>
        <w:rPr>
          <w:rFonts w:hint="eastAsia" w:ascii="仿宋_GB2312" w:eastAsia="仿宋_GB2312"/>
          <w:color w:val="auto"/>
          <w:spacing w:val="0"/>
          <w:sz w:val="32"/>
          <w:szCs w:val="32"/>
          <w:highlight w:val="none"/>
          <w:lang w:val="en-US" w:eastAsia="zh-CN"/>
        </w:rPr>
        <w:t>本年度缴费基数调整原因增加了</w:t>
      </w:r>
      <w:r>
        <w:rPr>
          <w:rFonts w:ascii="仿宋_GB2312" w:eastAsia="仿宋_GB2312"/>
          <w:b w:val="0"/>
          <w:sz w:val="32"/>
          <w:szCs w:val="32"/>
        </w:rPr>
        <w:t>住房公积金</w:t>
      </w:r>
      <w:r>
        <w:rPr>
          <w:rFonts w:hint="eastAsia" w:ascii="仿宋_GB2312" w:eastAsia="仿宋_GB2312"/>
          <w:b w:val="0"/>
          <w:sz w:val="32"/>
          <w:szCs w:val="32"/>
          <w:lang w:eastAsia="zh-CN"/>
        </w:rPr>
        <w:t>支出。</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592.35万元，其中：人员经费567.74万元，包括：基本工资、津贴补贴、奖金、机关事业单位基本养老保险缴费、职业年金缴费、职工基本医疗保险缴费、公务员医疗补助缴费、其他社会保障缴费、住房公积金、其他工资福利支出、离休费、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公用经费24.61万元，包括：办公费、差旅费、培训费、工会经费、福利费和公务用车运行维护费。</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2024年度财政拨款“三公”经费支出2.28万元，比上年减少0.98万元，下降30.06%，主要原因是：</w:t>
      </w:r>
      <w:r>
        <w:rPr>
          <w:rFonts w:hint="eastAsia" w:ascii="仿宋_GB2312" w:eastAsia="仿宋_GB2312"/>
          <w:b w:val="0"/>
          <w:sz w:val="32"/>
          <w:szCs w:val="32"/>
          <w:lang w:eastAsia="zh-CN"/>
        </w:rPr>
        <w:t>严格按照预算内控制支出，厉行节约</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pacing w:val="0"/>
          <w:sz w:val="32"/>
          <w:szCs w:val="32"/>
          <w:highlight w:val="none"/>
          <w:lang w:val="en-US" w:eastAsia="zh-CN"/>
        </w:rPr>
        <w:t>我单位</w:t>
      </w:r>
      <w:r>
        <w:rPr>
          <w:rFonts w:hint="eastAsia" w:ascii="仿宋_GB2312" w:eastAsia="仿宋_GB2312"/>
          <w:color w:val="auto"/>
          <w:spacing w:val="0"/>
          <w:sz w:val="32"/>
          <w:szCs w:val="32"/>
          <w:highlight w:val="none"/>
          <w:lang w:eastAsia="zh-CN"/>
        </w:rPr>
        <w:t>本年</w:t>
      </w:r>
      <w:r>
        <w:rPr>
          <w:rFonts w:hint="eastAsia" w:ascii="仿宋_GB2312" w:eastAsia="仿宋_GB2312"/>
          <w:color w:val="auto"/>
          <w:spacing w:val="0"/>
          <w:sz w:val="32"/>
          <w:szCs w:val="32"/>
          <w:highlight w:val="none"/>
          <w:lang w:val="en-US" w:eastAsia="zh-CN"/>
        </w:rPr>
        <w:t>无</w:t>
      </w:r>
      <w:r>
        <w:rPr>
          <w:rFonts w:hint="eastAsia" w:ascii="仿宋_GB2312" w:eastAsia="仿宋_GB2312"/>
          <w:color w:val="auto"/>
          <w:spacing w:val="0"/>
          <w:sz w:val="32"/>
          <w:szCs w:val="32"/>
          <w:highlight w:val="none"/>
          <w:lang w:eastAsia="zh-CN"/>
        </w:rPr>
        <w:t>因公出国（境）费支出，无开支内容</w:t>
      </w:r>
      <w:r>
        <w:rPr>
          <w:rFonts w:ascii="仿宋_GB2312" w:eastAsia="仿宋_GB2312"/>
          <w:b w:val="0"/>
          <w:sz w:val="32"/>
          <w:szCs w:val="32"/>
        </w:rPr>
        <w:t>；公务用车购置及运行维护费支出2.28万元，占100.00%，比上年减少0.98万元，下降30.06%，主要原因是：</w:t>
      </w:r>
      <w:r>
        <w:rPr>
          <w:rFonts w:hint="eastAsia" w:ascii="仿宋_GB2312" w:eastAsia="仿宋_GB2312"/>
          <w:b w:val="0"/>
          <w:sz w:val="32"/>
          <w:szCs w:val="32"/>
          <w:lang w:eastAsia="zh-CN"/>
        </w:rPr>
        <w:t>严格按照预算内控制支出，厉行节约</w:t>
      </w:r>
      <w:r>
        <w:rPr>
          <w:rFonts w:ascii="仿宋_GB2312" w:eastAsia="仿宋_GB2312"/>
          <w:b w:val="0"/>
          <w:sz w:val="32"/>
          <w:szCs w:val="32"/>
        </w:rPr>
        <w:t>；公务接待费支出0.00万元，占0.00%，与上年相比无变化，主要原因是：</w:t>
      </w:r>
      <w:r>
        <w:rPr>
          <w:rFonts w:hint="eastAsia" w:ascii="仿宋_GB2312" w:eastAsia="仿宋_GB2312"/>
          <w:color w:val="auto"/>
          <w:spacing w:val="0"/>
          <w:sz w:val="32"/>
          <w:szCs w:val="32"/>
          <w:highlight w:val="none"/>
          <w:lang w:val="en-US" w:eastAsia="zh-CN"/>
        </w:rPr>
        <w:t>我单位</w:t>
      </w:r>
      <w:r>
        <w:rPr>
          <w:rFonts w:hint="eastAsia" w:ascii="仿宋_GB2312" w:eastAsia="仿宋_GB2312"/>
          <w:color w:val="auto"/>
          <w:spacing w:val="0"/>
          <w:sz w:val="32"/>
          <w:szCs w:val="32"/>
          <w:highlight w:val="none"/>
          <w:lang w:eastAsia="zh-CN"/>
        </w:rPr>
        <w:t>本年</w:t>
      </w:r>
      <w:r>
        <w:rPr>
          <w:rFonts w:hint="eastAsia" w:ascii="仿宋_GB2312" w:eastAsia="仿宋_GB2312"/>
          <w:color w:val="auto"/>
          <w:spacing w:val="0"/>
          <w:sz w:val="32"/>
          <w:szCs w:val="32"/>
          <w:highlight w:val="none"/>
          <w:lang w:val="en-US" w:eastAsia="zh-CN"/>
        </w:rPr>
        <w:t>无</w:t>
      </w:r>
      <w:r>
        <w:rPr>
          <w:rFonts w:hint="eastAsia" w:ascii="仿宋_GB2312" w:eastAsia="仿宋_GB2312"/>
          <w:color w:val="auto"/>
          <w:spacing w:val="0"/>
          <w:sz w:val="32"/>
          <w:szCs w:val="32"/>
          <w:highlight w:val="none"/>
          <w:lang w:eastAsia="zh-CN"/>
        </w:rPr>
        <w:t>公务接待费支出，无开支内容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2.28万元，其中：公务用车购置费0.00万元，公务用车运行维护费2.28万元。公务用车运行维护费开支内容包括。公务用车购置数0辆，公务用车保有量2辆。国有资产占用情况中固定资产车辆3辆，与公务用车保有量差异原因是：</w:t>
      </w:r>
      <w:r>
        <w:rPr>
          <w:rFonts w:hint="eastAsia" w:ascii="仿宋_GB2312" w:eastAsia="仿宋_GB2312"/>
          <w:color w:val="auto"/>
          <w:spacing w:val="0"/>
          <w:sz w:val="32"/>
          <w:szCs w:val="32"/>
          <w:highlight w:val="none"/>
          <w:lang w:val="en-US" w:eastAsia="zh-CN"/>
        </w:rPr>
        <w:t>我单位有一辆无编车辆</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与全年预算相比，财政拨款“三公”经费支出全年预算数2.28万元，决算数2.28万元，预决算差异率0.00%，主要原因是：</w:t>
      </w:r>
      <w:r>
        <w:rPr>
          <w:rFonts w:hint="eastAsia" w:ascii="仿宋_GB2312" w:eastAsia="仿宋_GB2312"/>
          <w:color w:val="auto"/>
          <w:spacing w:val="0"/>
          <w:sz w:val="32"/>
          <w:szCs w:val="32"/>
          <w:highlight w:val="none"/>
          <w:lang w:val="en-US" w:eastAsia="zh-CN"/>
        </w:rPr>
        <w:t>严格控制</w:t>
      </w:r>
      <w:r>
        <w:rPr>
          <w:rFonts w:hint="eastAsia" w:ascii="仿宋_GB2312" w:eastAsia="仿宋_GB2312"/>
          <w:color w:val="auto"/>
          <w:spacing w:val="0"/>
          <w:sz w:val="32"/>
          <w:szCs w:val="32"/>
          <w:highlight w:val="none"/>
          <w:lang w:eastAsia="zh-CN"/>
        </w:rPr>
        <w:t>“三公”经费，预决算</w:t>
      </w:r>
      <w:r>
        <w:rPr>
          <w:rFonts w:hint="eastAsia" w:ascii="仿宋_GB2312" w:eastAsia="仿宋_GB2312"/>
          <w:color w:val="auto"/>
          <w:spacing w:val="0"/>
          <w:sz w:val="32"/>
          <w:szCs w:val="32"/>
          <w:highlight w:val="none"/>
          <w:lang w:val="en-US" w:eastAsia="zh-CN"/>
        </w:rPr>
        <w:t>无</w:t>
      </w:r>
      <w:r>
        <w:rPr>
          <w:rFonts w:hint="eastAsia" w:ascii="仿宋_GB2312" w:eastAsia="仿宋_GB2312"/>
          <w:color w:val="auto"/>
          <w:spacing w:val="0"/>
          <w:sz w:val="32"/>
          <w:szCs w:val="32"/>
          <w:highlight w:val="none"/>
          <w:lang w:eastAsia="zh-CN"/>
        </w:rPr>
        <w:t>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pacing w:val="0"/>
          <w:sz w:val="32"/>
          <w:szCs w:val="32"/>
          <w:highlight w:val="none"/>
          <w:lang w:val="en-US" w:eastAsia="zh-CN"/>
        </w:rPr>
        <w:t>我单位</w:t>
      </w:r>
      <w:r>
        <w:rPr>
          <w:rFonts w:hint="eastAsia" w:ascii="仿宋_GB2312" w:eastAsia="仿宋_GB2312"/>
          <w:color w:val="auto"/>
          <w:spacing w:val="0"/>
          <w:sz w:val="32"/>
          <w:szCs w:val="32"/>
          <w:highlight w:val="none"/>
          <w:lang w:eastAsia="zh-CN"/>
        </w:rPr>
        <w:t>本年</w:t>
      </w:r>
      <w:r>
        <w:rPr>
          <w:rFonts w:hint="eastAsia" w:ascii="仿宋_GB2312" w:eastAsia="仿宋_GB2312"/>
          <w:color w:val="auto"/>
          <w:spacing w:val="0"/>
          <w:sz w:val="32"/>
          <w:szCs w:val="32"/>
          <w:highlight w:val="none"/>
          <w:lang w:val="en-US" w:eastAsia="zh-CN"/>
        </w:rPr>
        <w:t>无</w:t>
      </w:r>
      <w:r>
        <w:rPr>
          <w:rFonts w:hint="eastAsia" w:ascii="仿宋_GB2312" w:eastAsia="仿宋_GB2312"/>
          <w:color w:val="auto"/>
          <w:spacing w:val="0"/>
          <w:sz w:val="32"/>
          <w:szCs w:val="32"/>
          <w:highlight w:val="none"/>
          <w:lang w:eastAsia="zh-CN"/>
        </w:rPr>
        <w:t>因公出国（境）费支出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pacing w:val="0"/>
          <w:sz w:val="32"/>
          <w:szCs w:val="32"/>
          <w:highlight w:val="none"/>
          <w:lang w:val="en-US" w:eastAsia="zh-CN"/>
        </w:rPr>
        <w:t>我单位</w:t>
      </w:r>
      <w:r>
        <w:rPr>
          <w:rFonts w:hint="eastAsia" w:ascii="仿宋_GB2312" w:eastAsia="仿宋_GB2312"/>
          <w:color w:val="auto"/>
          <w:spacing w:val="0"/>
          <w:sz w:val="32"/>
          <w:szCs w:val="32"/>
          <w:highlight w:val="none"/>
          <w:lang w:eastAsia="zh-CN"/>
        </w:rPr>
        <w:t>本年</w:t>
      </w:r>
      <w:r>
        <w:rPr>
          <w:rFonts w:hint="eastAsia" w:ascii="仿宋_GB2312" w:eastAsia="仿宋_GB2312"/>
          <w:color w:val="auto"/>
          <w:spacing w:val="0"/>
          <w:sz w:val="32"/>
          <w:szCs w:val="32"/>
          <w:highlight w:val="none"/>
          <w:lang w:val="en-US" w:eastAsia="zh-CN"/>
        </w:rPr>
        <w:t>无</w:t>
      </w:r>
      <w:r>
        <w:rPr>
          <w:rFonts w:hint="eastAsia" w:ascii="仿宋_GB2312" w:eastAsia="仿宋_GB2312"/>
          <w:color w:val="auto"/>
          <w:spacing w:val="0"/>
          <w:sz w:val="32"/>
          <w:szCs w:val="32"/>
          <w:highlight w:val="none"/>
          <w:lang w:eastAsia="zh-CN"/>
        </w:rPr>
        <w:t>公务用车购置费支出</w:t>
      </w:r>
      <w:r>
        <w:rPr>
          <w:rFonts w:ascii="仿宋_GB2312" w:eastAsia="仿宋_GB2312"/>
          <w:b w:val="0"/>
          <w:sz w:val="32"/>
          <w:szCs w:val="32"/>
        </w:rPr>
        <w:t>。公务用车运行维护费全年预算数2.28万元，决算数2.28万元，预决算差异率0.00%，主要原因是：</w:t>
      </w:r>
      <w:r>
        <w:rPr>
          <w:rFonts w:hint="eastAsia" w:ascii="仿宋_GB2312" w:eastAsia="仿宋_GB2312"/>
          <w:color w:val="auto"/>
          <w:spacing w:val="0"/>
          <w:sz w:val="32"/>
          <w:szCs w:val="32"/>
          <w:highlight w:val="none"/>
          <w:lang w:val="en-US" w:eastAsia="zh-CN"/>
        </w:rPr>
        <w:t>严格控制</w:t>
      </w:r>
      <w:r>
        <w:rPr>
          <w:rFonts w:hint="eastAsia" w:ascii="仿宋_GB2312" w:eastAsia="仿宋_GB2312"/>
          <w:color w:val="auto"/>
          <w:spacing w:val="0"/>
          <w:sz w:val="32"/>
          <w:szCs w:val="32"/>
          <w:highlight w:val="none"/>
          <w:lang w:eastAsia="zh-CN"/>
        </w:rPr>
        <w:t>“三公”经费，预决算</w:t>
      </w:r>
      <w:r>
        <w:rPr>
          <w:rFonts w:hint="eastAsia" w:ascii="仿宋_GB2312" w:eastAsia="仿宋_GB2312"/>
          <w:color w:val="auto"/>
          <w:spacing w:val="0"/>
          <w:sz w:val="32"/>
          <w:szCs w:val="32"/>
          <w:highlight w:val="none"/>
          <w:lang w:val="en-US" w:eastAsia="zh-CN"/>
        </w:rPr>
        <w:t>无</w:t>
      </w:r>
      <w:r>
        <w:rPr>
          <w:rFonts w:hint="eastAsia" w:ascii="仿宋_GB2312" w:eastAsia="仿宋_GB2312"/>
          <w:color w:val="auto"/>
          <w:spacing w:val="0"/>
          <w:sz w:val="32"/>
          <w:szCs w:val="32"/>
          <w:highlight w:val="none"/>
          <w:lang w:eastAsia="zh-CN"/>
        </w:rPr>
        <w:t>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pacing w:val="0"/>
          <w:sz w:val="32"/>
          <w:szCs w:val="32"/>
          <w:highlight w:val="none"/>
          <w:lang w:val="en-US" w:eastAsia="zh-CN"/>
        </w:rPr>
        <w:t>我单位</w:t>
      </w:r>
      <w:r>
        <w:rPr>
          <w:rFonts w:hint="eastAsia" w:ascii="仿宋_GB2312" w:eastAsia="仿宋_GB2312"/>
          <w:color w:val="auto"/>
          <w:spacing w:val="0"/>
          <w:sz w:val="32"/>
          <w:szCs w:val="32"/>
          <w:highlight w:val="none"/>
          <w:lang w:eastAsia="zh-CN"/>
        </w:rPr>
        <w:t>本年</w:t>
      </w:r>
      <w:r>
        <w:rPr>
          <w:rFonts w:hint="eastAsia" w:ascii="仿宋_GB2312" w:eastAsia="仿宋_GB2312"/>
          <w:color w:val="auto"/>
          <w:spacing w:val="0"/>
          <w:sz w:val="32"/>
          <w:szCs w:val="32"/>
          <w:highlight w:val="none"/>
          <w:lang w:val="en-US" w:eastAsia="zh-CN"/>
        </w:rPr>
        <w:t>无</w:t>
      </w:r>
      <w:r>
        <w:rPr>
          <w:rFonts w:hint="eastAsia" w:ascii="仿宋_GB2312" w:eastAsia="仿宋_GB2312"/>
          <w:color w:val="auto"/>
          <w:spacing w:val="0"/>
          <w:sz w:val="32"/>
          <w:szCs w:val="32"/>
          <w:highlight w:val="none"/>
          <w:lang w:eastAsia="zh-CN"/>
        </w:rPr>
        <w:t>公务接待费支出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both"/>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2024年度中共库尔勒市委员会统一战线工作部单位机关运行经费支出24.61万元，比上年增加2.83万元，增长12.99%，主要原因是：</w:t>
      </w:r>
      <w:r>
        <w:rPr>
          <w:rFonts w:hint="eastAsia" w:ascii="仿宋_GB2312" w:eastAsia="仿宋_GB2312"/>
          <w:color w:val="auto"/>
          <w:spacing w:val="0"/>
          <w:sz w:val="32"/>
          <w:szCs w:val="32"/>
          <w:highlight w:val="none"/>
          <w:lang w:val="en-US" w:eastAsia="zh-CN"/>
        </w:rPr>
        <w:t>我单位本年度办公费、差旅费、培训费、福利费等支出增加原因机关运行经费支出的增加</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both"/>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2024年度政府采购支出总额1.04万元，其中：政府采购货物支出0.00万元、政府采购工程支出0.00万元、政府采购服务支出1.04万元。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授予中小企业合同金额1.04万元，占政府采购支出总额的100.00%，其中：授予小微企业合同金额0.50万元，占政府采购支出总额的48.08%。</w:t>
      </w:r>
    </w:p>
    <w:p>
      <w:pPr>
        <w:widowControl/>
        <w:spacing w:before="0" w:beforeLines="0" w:beforeAutospacing="0" w:after="0" w:afterLines="0" w:afterAutospacing="0" w:line="240" w:lineRule="auto"/>
        <w:ind w:firstLine="643" w:firstLineChars="200"/>
        <w:jc w:val="both"/>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3辆，价值38.07万元，其中：副部（省）级及以上领导用车0辆、主要负责人用车0辆、机要通信用车0辆、应急保障用车0辆、执法执勤用车0辆、特种专业技术用车0辆、离退休干部服务用车0辆、其他用车3辆，其他用车主要是：;单价100万元（含）以上设备（不含车辆）0台（套）。</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914.03</w:t>
      </w:r>
      <w:r>
        <w:rPr>
          <w:rFonts w:ascii="仿宋_GB2312" w:eastAsia="仿宋_GB2312"/>
          <w:b w:val="0"/>
          <w:sz w:val="32"/>
          <w:szCs w:val="32"/>
        </w:rPr>
        <w:t>万元，实际执行总额</w:t>
      </w:r>
      <w:r>
        <w:rPr>
          <w:rFonts w:hint="eastAsia" w:ascii="仿宋_GB2312" w:eastAsia="仿宋_GB2312"/>
          <w:b w:val="0"/>
          <w:sz w:val="32"/>
          <w:szCs w:val="32"/>
          <w:lang w:val="en-US" w:eastAsia="zh-CN"/>
        </w:rPr>
        <w:t>914.03</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8</w:t>
      </w:r>
      <w:r>
        <w:rPr>
          <w:rFonts w:ascii="仿宋_GB2312" w:eastAsia="仿宋_GB2312"/>
          <w:b w:val="0"/>
          <w:sz w:val="32"/>
          <w:szCs w:val="32"/>
        </w:rPr>
        <w:t>个，全年预算数</w:t>
      </w:r>
      <w:r>
        <w:rPr>
          <w:rFonts w:hint="eastAsia" w:ascii="仿宋_GB2312" w:eastAsia="仿宋_GB2312"/>
          <w:b w:val="0"/>
          <w:sz w:val="32"/>
          <w:szCs w:val="32"/>
          <w:lang w:val="en-US" w:eastAsia="zh-CN"/>
        </w:rPr>
        <w:t>321.8</w:t>
      </w:r>
      <w:r>
        <w:rPr>
          <w:rFonts w:ascii="仿宋_GB2312" w:eastAsia="仿宋_GB2312"/>
          <w:b w:val="0"/>
          <w:sz w:val="32"/>
          <w:szCs w:val="32"/>
        </w:rPr>
        <w:t>万元，全年执行数</w:t>
      </w:r>
      <w:r>
        <w:rPr>
          <w:rFonts w:hint="eastAsia" w:ascii="仿宋_GB2312" w:eastAsia="仿宋_GB2312"/>
          <w:b w:val="0"/>
          <w:sz w:val="32"/>
          <w:szCs w:val="32"/>
          <w:lang w:val="en-US" w:eastAsia="zh-CN"/>
        </w:rPr>
        <w:t>178.46</w:t>
      </w:r>
      <w:r>
        <w:rPr>
          <w:rFonts w:ascii="仿宋_GB2312" w:eastAsia="仿宋_GB2312"/>
          <w:b w:val="0"/>
          <w:sz w:val="32"/>
          <w:szCs w:val="32"/>
        </w:rPr>
        <w:t>万元。预算绩效管理取得的成效：</w:t>
      </w:r>
      <w:r>
        <w:rPr>
          <w:rFonts w:hint="eastAsia" w:ascii="仿宋_GB2312" w:hAnsi="Times New Roman" w:eastAsia="仿宋_GB2312" w:cs="Times New Roman"/>
          <w:color w:val="auto"/>
          <w:spacing w:val="0"/>
          <w:kern w:val="2"/>
          <w:sz w:val="32"/>
          <w:szCs w:val="32"/>
          <w:highlight w:val="none"/>
          <w:lang w:val="en-US" w:eastAsia="zh-CN" w:bidi="ar-SA"/>
        </w:rPr>
        <w:t>一是通过加强预算收支管理、不断建立健全内部管理制度、梳理内部管理流程，部门整体支出管理情况得到提升。二是预算执行中，本单位的支出</w:t>
      </w:r>
      <w:r>
        <w:rPr>
          <w:rFonts w:hint="eastAsia" w:ascii="Times New Roman" w:hAnsi="Times New Roman" w:eastAsia="仿宋_GB2312" w:cs="Times New Roman"/>
          <w:color w:val="auto"/>
          <w:kern w:val="2"/>
          <w:sz w:val="32"/>
          <w:szCs w:val="32"/>
          <w:highlight w:val="none"/>
          <w:lang w:val="en-US" w:eastAsia="zh-CN" w:bidi="ar-SA"/>
        </w:rPr>
        <w:t>总额</w:t>
      </w:r>
      <w:r>
        <w:rPr>
          <w:rFonts w:hint="eastAsia" w:ascii="仿宋_GB2312" w:hAnsi="Times New Roman" w:eastAsia="仿宋_GB2312" w:cs="Times New Roman"/>
          <w:color w:val="auto"/>
          <w:spacing w:val="0"/>
          <w:kern w:val="2"/>
          <w:sz w:val="32"/>
          <w:szCs w:val="32"/>
          <w:highlight w:val="none"/>
          <w:lang w:val="en-US" w:eastAsia="zh-CN" w:bidi="ar-SA"/>
        </w:rPr>
        <w:t>控制在预算总额内，整体绩效完成率较好</w:t>
      </w:r>
      <w:r>
        <w:rPr>
          <w:rFonts w:ascii="仿宋_GB2312" w:eastAsia="仿宋_GB2312"/>
          <w:b w:val="0"/>
          <w:sz w:val="32"/>
          <w:szCs w:val="32"/>
        </w:rPr>
        <w:t>。发现的问题及原因：</w:t>
      </w:r>
      <w:r>
        <w:rPr>
          <w:rFonts w:hint="eastAsia" w:ascii="仿宋_GB2312" w:hAnsi="Times New Roman" w:eastAsia="仿宋_GB2312" w:cs="Times New Roman"/>
          <w:color w:val="auto"/>
          <w:spacing w:val="0"/>
          <w:kern w:val="2"/>
          <w:sz w:val="32"/>
          <w:szCs w:val="32"/>
          <w:highlight w:val="none"/>
          <w:lang w:val="en-US" w:eastAsia="zh-CN" w:bidi="ar-SA"/>
        </w:rPr>
        <w:t>一是对预算绩效的认识还不够深入，相关知识了解还不够、掌握还不够多，把绩效管理简单等同于工作目标、工作考核和业务管理；二是资金管理水平有待进一步提高，财务审核还需进一步加强</w:t>
      </w:r>
      <w:r>
        <w:rPr>
          <w:rFonts w:ascii="仿宋_GB2312" w:eastAsia="仿宋_GB2312"/>
          <w:b w:val="0"/>
          <w:sz w:val="32"/>
          <w:szCs w:val="32"/>
        </w:rPr>
        <w:t>。下一步改进措施</w:t>
      </w:r>
      <w:r>
        <w:rPr>
          <w:rFonts w:hint="eastAsia" w:ascii="仿宋_GB2312" w:eastAsia="仿宋_GB2312"/>
          <w:b w:val="0"/>
          <w:sz w:val="32"/>
          <w:szCs w:val="32"/>
          <w:lang w:eastAsia="zh-CN"/>
        </w:rPr>
        <w:t>：</w:t>
      </w:r>
      <w:r>
        <w:rPr>
          <w:rFonts w:hint="eastAsia" w:ascii="仿宋_GB2312" w:hAnsi="Times New Roman" w:eastAsia="仿宋_GB2312" w:cs="Times New Roman"/>
          <w:color w:val="auto"/>
          <w:spacing w:val="0"/>
          <w:kern w:val="2"/>
          <w:sz w:val="32"/>
          <w:szCs w:val="32"/>
          <w:highlight w:val="none"/>
          <w:lang w:val="en-US" w:eastAsia="zh-CN" w:bidi="ar-SA"/>
        </w:rPr>
        <w:t>一是建立健全的预算绩效管理体制，加强对预算绩效相关知识的了解和掌握，促进绩效管理工作向广度和深度延伸，切实提高部门预算收支管理水平；二是加强财务管理，严格财务审核，在费用报账支付时，按照预算规定费用项目和用途进行资金使用审核、列报支付、财务核算，杜绝超支现象发生。</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both"/>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jc w:val="both"/>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jc w:val="both"/>
      </w:pPr>
      <w:r>
        <w:rPr>
          <w:b w:val="0"/>
          <w:sz w:val="0"/>
          <w:szCs w:val="0"/>
        </w:rPr>
        <w:br w:type="page"/>
      </w:r>
    </w:p>
    <w:p>
      <w:pPr>
        <w:widowControl/>
        <w:spacing w:before="0" w:beforeLines="0" w:beforeAutospacing="0" w:after="0" w:afterLines="0" w:afterAutospacing="0" w:line="240" w:lineRule="auto"/>
        <w:jc w:val="both"/>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both"/>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-542925</wp:posOffset>
            </wp:positionH>
            <wp:positionV relativeFrom="paragraph">
              <wp:posOffset>263525</wp:posOffset>
            </wp:positionV>
            <wp:extent cx="6659880" cy="7557770"/>
            <wp:effectExtent l="0" t="0" r="762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6659880" cy="7557770"/>
                    </a:xfrm>
                    <a:prstGeom prst="rect">
                      <a:avLst/>
                    </a:prstGeom>
                    <a:noFill/>
                    <a:ln>
                      <a:noFill/>
                    </a:ln>
                  </pic:spPr>
                </pic:pic>
              </a:graphicData>
            </a:graphic>
          </wp:anchor>
        </w:drawing>
      </w: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-609600</wp:posOffset>
            </wp:positionH>
            <wp:positionV relativeFrom="paragraph">
              <wp:posOffset>168275</wp:posOffset>
            </wp:positionV>
            <wp:extent cx="6659880" cy="7569200"/>
            <wp:effectExtent l="0" t="0" r="7620" b="1270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6659880" cy="7569200"/>
                    </a:xfrm>
                    <a:prstGeom prst="rect">
                      <a:avLst/>
                    </a:prstGeom>
                    <a:noFill/>
                    <a:ln>
                      <a:noFill/>
                    </a:ln>
                  </pic:spPr>
                </pic:pic>
              </a:graphicData>
            </a:graphic>
          </wp:anchor>
        </w:drawing>
      </w:r>
    </w:p>
    <w:p>
      <w:pPr>
        <w:widowControl/>
        <w:spacing w:before="0" w:beforeLines="0" w:beforeAutospacing="0" w:after="0" w:afterLines="0" w:afterAutospacing="0" w:line="240" w:lineRule="auto"/>
        <w:jc w:val="both"/>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-552450</wp:posOffset>
            </wp:positionH>
            <wp:positionV relativeFrom="paragraph">
              <wp:posOffset>-19050</wp:posOffset>
            </wp:positionV>
            <wp:extent cx="6659880" cy="7480300"/>
            <wp:effectExtent l="0" t="0" r="7620" b="635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6659880" cy="7480300"/>
                    </a:xfrm>
                    <a:prstGeom prst="rect">
                      <a:avLst/>
                    </a:prstGeom>
                    <a:noFill/>
                    <a:ln>
                      <a:noFill/>
                    </a:ln>
                  </pic:spPr>
                </pic:pic>
              </a:graphicData>
            </a:graphic>
          </wp:anchor>
        </w:drawing>
      </w: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-581025</wp:posOffset>
            </wp:positionH>
            <wp:positionV relativeFrom="paragraph">
              <wp:posOffset>177800</wp:posOffset>
            </wp:positionV>
            <wp:extent cx="6659880" cy="7319645"/>
            <wp:effectExtent l="0" t="0" r="7620" b="1460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6659880" cy="7319645"/>
                    </a:xfrm>
                    <a:prstGeom prst="rect">
                      <a:avLst/>
                    </a:prstGeom>
                    <a:noFill/>
                    <a:ln>
                      <a:noFill/>
                    </a:ln>
                  </pic:spPr>
                </pic:pic>
              </a:graphicData>
            </a:graphic>
          </wp:anchor>
        </w:drawing>
      </w: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-609600</wp:posOffset>
            </wp:positionH>
            <wp:positionV relativeFrom="paragraph">
              <wp:posOffset>92075</wp:posOffset>
            </wp:positionV>
            <wp:extent cx="6659880" cy="7157720"/>
            <wp:effectExtent l="0" t="0" r="7620" b="508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6659880" cy="7157720"/>
                    </a:xfrm>
                    <a:prstGeom prst="rect">
                      <a:avLst/>
                    </a:prstGeom>
                    <a:noFill/>
                    <a:ln>
                      <a:noFill/>
                    </a:ln>
                  </pic:spPr>
                </pic:pic>
              </a:graphicData>
            </a:graphic>
          </wp:anchor>
        </w:drawing>
      </w: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-542925</wp:posOffset>
            </wp:positionH>
            <wp:positionV relativeFrom="paragraph">
              <wp:posOffset>79375</wp:posOffset>
            </wp:positionV>
            <wp:extent cx="6659880" cy="7026910"/>
            <wp:effectExtent l="0" t="0" r="7620" b="254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6659880" cy="7026910"/>
                    </a:xfrm>
                    <a:prstGeom prst="rect">
                      <a:avLst/>
                    </a:prstGeom>
                    <a:noFill/>
                    <a:ln>
                      <a:noFill/>
                    </a:ln>
                  </pic:spPr>
                </pic:pic>
              </a:graphicData>
            </a:graphic>
          </wp:anchor>
        </w:drawing>
      </w: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-151765</wp:posOffset>
            </wp:positionH>
            <wp:positionV relativeFrom="paragraph">
              <wp:posOffset>104140</wp:posOffset>
            </wp:positionV>
            <wp:extent cx="5862320" cy="3298825"/>
            <wp:effectExtent l="0" t="0" r="5080" b="825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862320" cy="3298825"/>
                    </a:xfrm>
                    <a:prstGeom prst="rect">
                      <a:avLst/>
                    </a:prstGeom>
                    <a:noFill/>
                    <a:ln>
                      <a:noFill/>
                    </a:ln>
                  </pic:spPr>
                </pic:pic>
              </a:graphicData>
            </a:graphic>
          </wp:anchor>
        </w:drawing>
      </w: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-304165</wp:posOffset>
            </wp:positionH>
            <wp:positionV relativeFrom="paragraph">
              <wp:posOffset>90805</wp:posOffset>
            </wp:positionV>
            <wp:extent cx="6242685" cy="2990850"/>
            <wp:effectExtent l="0" t="0" r="5715" b="1143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6242685" cy="2990850"/>
                    </a:xfrm>
                    <a:prstGeom prst="rect">
                      <a:avLst/>
                    </a:prstGeom>
                    <a:noFill/>
                    <a:ln>
                      <a:noFill/>
                    </a:ln>
                  </pic:spPr>
                </pic:pic>
              </a:graphicData>
            </a:graphic>
          </wp:anchor>
        </w:drawing>
      </w: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bookmarkStart w:id="1" w:name="_GoBack"/>
      <w:bookmarkEnd w:id="1"/>
    </w:p>
    <w:p>
      <w:pPr>
        <w:widowControl/>
        <w:spacing w:before="0" w:beforeLines="0" w:beforeAutospacing="0" w:after="0" w:afterLines="0" w:afterAutospacing="0" w:line="240" w:lineRule="auto"/>
        <w:jc w:val="both"/>
        <w:outlineLvl w:val="1"/>
        <w:rPr>
          <w:rFonts w:ascii="仿宋_GB2312" w:eastAsia="仿宋_GB2312"/>
          <w:b w:val="0"/>
          <w:sz w:val="32"/>
          <w:szCs w:val="32"/>
        </w:rPr>
      </w:pPr>
    </w:p>
    <w:p>
      <w:pPr>
        <w:widowControl/>
        <w:spacing w:before="0" w:beforeLines="0" w:beforeAutospacing="0" w:after="0" w:afterLines="0" w:afterAutospacing="0" w:line="240" w:lineRule="auto"/>
        <w:jc w:val="both"/>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-723265</wp:posOffset>
            </wp:positionH>
            <wp:positionV relativeFrom="paragraph">
              <wp:posOffset>0</wp:posOffset>
            </wp:positionV>
            <wp:extent cx="6964045" cy="3859530"/>
            <wp:effectExtent l="0" t="0" r="8255" b="762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6964045" cy="3859530"/>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6672F"/>
    <w:rsid w:val="00547413"/>
    <w:rsid w:val="00DD3248"/>
    <w:rsid w:val="016978BF"/>
    <w:rsid w:val="016A73A7"/>
    <w:rsid w:val="02752B5E"/>
    <w:rsid w:val="02E52509"/>
    <w:rsid w:val="04341FED"/>
    <w:rsid w:val="049954FD"/>
    <w:rsid w:val="051119CA"/>
    <w:rsid w:val="055F763A"/>
    <w:rsid w:val="05B67CBE"/>
    <w:rsid w:val="0606484D"/>
    <w:rsid w:val="063D0EEE"/>
    <w:rsid w:val="06904A14"/>
    <w:rsid w:val="06B924D9"/>
    <w:rsid w:val="0774014B"/>
    <w:rsid w:val="07D317F1"/>
    <w:rsid w:val="07D95BE5"/>
    <w:rsid w:val="09465E03"/>
    <w:rsid w:val="0A433C21"/>
    <w:rsid w:val="0B0472D7"/>
    <w:rsid w:val="0B230FE3"/>
    <w:rsid w:val="0BDA4FE9"/>
    <w:rsid w:val="0D3A066A"/>
    <w:rsid w:val="0D3B139B"/>
    <w:rsid w:val="0D5664EE"/>
    <w:rsid w:val="0D5D3F6A"/>
    <w:rsid w:val="0D9342F7"/>
    <w:rsid w:val="0E695567"/>
    <w:rsid w:val="0E751870"/>
    <w:rsid w:val="0F241F8B"/>
    <w:rsid w:val="0F6F45F1"/>
    <w:rsid w:val="104945C2"/>
    <w:rsid w:val="10666519"/>
    <w:rsid w:val="10BC77A9"/>
    <w:rsid w:val="10C87966"/>
    <w:rsid w:val="11A97BF6"/>
    <w:rsid w:val="120D7CA0"/>
    <w:rsid w:val="125D5493"/>
    <w:rsid w:val="12647F5F"/>
    <w:rsid w:val="12877D2A"/>
    <w:rsid w:val="1361339C"/>
    <w:rsid w:val="13B924FF"/>
    <w:rsid w:val="14D7325D"/>
    <w:rsid w:val="14DB2238"/>
    <w:rsid w:val="151B219F"/>
    <w:rsid w:val="165E2A19"/>
    <w:rsid w:val="16D81C11"/>
    <w:rsid w:val="16DA6526"/>
    <w:rsid w:val="178F2D14"/>
    <w:rsid w:val="18307FD8"/>
    <w:rsid w:val="184A305E"/>
    <w:rsid w:val="19272807"/>
    <w:rsid w:val="198747C5"/>
    <w:rsid w:val="19FE71DC"/>
    <w:rsid w:val="1B313F75"/>
    <w:rsid w:val="1B8D2351"/>
    <w:rsid w:val="1BD5580F"/>
    <w:rsid w:val="1BFA28D2"/>
    <w:rsid w:val="1C4746EE"/>
    <w:rsid w:val="1C8A0501"/>
    <w:rsid w:val="1D6B627D"/>
    <w:rsid w:val="1E3956B9"/>
    <w:rsid w:val="1FB70EB2"/>
    <w:rsid w:val="1FFB3D5A"/>
    <w:rsid w:val="2049757D"/>
    <w:rsid w:val="20B942C3"/>
    <w:rsid w:val="211251D4"/>
    <w:rsid w:val="21753249"/>
    <w:rsid w:val="217C6418"/>
    <w:rsid w:val="221E6CFB"/>
    <w:rsid w:val="22705E1E"/>
    <w:rsid w:val="247956C9"/>
    <w:rsid w:val="24994B4C"/>
    <w:rsid w:val="25907A65"/>
    <w:rsid w:val="25F37C9E"/>
    <w:rsid w:val="26062523"/>
    <w:rsid w:val="26312842"/>
    <w:rsid w:val="26785FBD"/>
    <w:rsid w:val="26BC25AF"/>
    <w:rsid w:val="27582D78"/>
    <w:rsid w:val="298F196E"/>
    <w:rsid w:val="29DE0706"/>
    <w:rsid w:val="29FD7E3C"/>
    <w:rsid w:val="2A650347"/>
    <w:rsid w:val="2AFC438F"/>
    <w:rsid w:val="2B4A2844"/>
    <w:rsid w:val="2BB30C2E"/>
    <w:rsid w:val="2BEE33D3"/>
    <w:rsid w:val="2C79736F"/>
    <w:rsid w:val="2C7D2D6F"/>
    <w:rsid w:val="2CA1489D"/>
    <w:rsid w:val="2D095EAE"/>
    <w:rsid w:val="2E7439AB"/>
    <w:rsid w:val="2EC65D8F"/>
    <w:rsid w:val="2FCD1554"/>
    <w:rsid w:val="2FDD506A"/>
    <w:rsid w:val="2FDE1BBC"/>
    <w:rsid w:val="303509C7"/>
    <w:rsid w:val="30841E73"/>
    <w:rsid w:val="30BE5300"/>
    <w:rsid w:val="31100C13"/>
    <w:rsid w:val="31F11E0B"/>
    <w:rsid w:val="32406F83"/>
    <w:rsid w:val="3269484A"/>
    <w:rsid w:val="32C9298F"/>
    <w:rsid w:val="32D52142"/>
    <w:rsid w:val="33133A9C"/>
    <w:rsid w:val="33A36882"/>
    <w:rsid w:val="386360DD"/>
    <w:rsid w:val="391C3C55"/>
    <w:rsid w:val="39BC2AFB"/>
    <w:rsid w:val="39CC4FA5"/>
    <w:rsid w:val="3C2D65FD"/>
    <w:rsid w:val="3DB723F3"/>
    <w:rsid w:val="3DC31A2C"/>
    <w:rsid w:val="3EAB2946"/>
    <w:rsid w:val="3F7E19DE"/>
    <w:rsid w:val="406F1DF2"/>
    <w:rsid w:val="415320DB"/>
    <w:rsid w:val="419A2D4A"/>
    <w:rsid w:val="42882917"/>
    <w:rsid w:val="42B1589A"/>
    <w:rsid w:val="42BE4815"/>
    <w:rsid w:val="42C250C1"/>
    <w:rsid w:val="438973E2"/>
    <w:rsid w:val="43AB5E97"/>
    <w:rsid w:val="43BB0A51"/>
    <w:rsid w:val="44034775"/>
    <w:rsid w:val="44223449"/>
    <w:rsid w:val="444D0101"/>
    <w:rsid w:val="44B733FE"/>
    <w:rsid w:val="45456950"/>
    <w:rsid w:val="4581711E"/>
    <w:rsid w:val="47CA16C8"/>
    <w:rsid w:val="48706F14"/>
    <w:rsid w:val="48B9795E"/>
    <w:rsid w:val="49150D12"/>
    <w:rsid w:val="491B174F"/>
    <w:rsid w:val="49A744FD"/>
    <w:rsid w:val="4A38046F"/>
    <w:rsid w:val="4A406FD0"/>
    <w:rsid w:val="4AE23A2B"/>
    <w:rsid w:val="4AFA7FD3"/>
    <w:rsid w:val="4B346540"/>
    <w:rsid w:val="4D6A6E2A"/>
    <w:rsid w:val="4DCB150F"/>
    <w:rsid w:val="4DDA25EF"/>
    <w:rsid w:val="4E7D0F7C"/>
    <w:rsid w:val="4F111E03"/>
    <w:rsid w:val="4F9C62CC"/>
    <w:rsid w:val="50521DF3"/>
    <w:rsid w:val="50DB6741"/>
    <w:rsid w:val="510C58BD"/>
    <w:rsid w:val="511A6AAF"/>
    <w:rsid w:val="51C1002F"/>
    <w:rsid w:val="51CB5A15"/>
    <w:rsid w:val="52FE5865"/>
    <w:rsid w:val="53C3756F"/>
    <w:rsid w:val="54115A9D"/>
    <w:rsid w:val="550616ED"/>
    <w:rsid w:val="55475B16"/>
    <w:rsid w:val="55E92ADE"/>
    <w:rsid w:val="562A70E7"/>
    <w:rsid w:val="567C6327"/>
    <w:rsid w:val="588944F2"/>
    <w:rsid w:val="58A116FC"/>
    <w:rsid w:val="59120135"/>
    <w:rsid w:val="5B6B4CCE"/>
    <w:rsid w:val="5BE535E6"/>
    <w:rsid w:val="5C0E5AE5"/>
    <w:rsid w:val="5C175E1A"/>
    <w:rsid w:val="5C742CB4"/>
    <w:rsid w:val="5CDF7577"/>
    <w:rsid w:val="5FE91023"/>
    <w:rsid w:val="604453DA"/>
    <w:rsid w:val="6092611F"/>
    <w:rsid w:val="626C387C"/>
    <w:rsid w:val="62C95D3F"/>
    <w:rsid w:val="63900747"/>
    <w:rsid w:val="63B83F86"/>
    <w:rsid w:val="63D63776"/>
    <w:rsid w:val="63E31A10"/>
    <w:rsid w:val="64383B6F"/>
    <w:rsid w:val="645D27F1"/>
    <w:rsid w:val="64D319E3"/>
    <w:rsid w:val="64DC5507"/>
    <w:rsid w:val="652137F0"/>
    <w:rsid w:val="65AE23DF"/>
    <w:rsid w:val="664C1610"/>
    <w:rsid w:val="668C78F4"/>
    <w:rsid w:val="66BE0918"/>
    <w:rsid w:val="678F2F24"/>
    <w:rsid w:val="68E96A2D"/>
    <w:rsid w:val="69470F54"/>
    <w:rsid w:val="6A720060"/>
    <w:rsid w:val="6BBE2F73"/>
    <w:rsid w:val="6BD307E9"/>
    <w:rsid w:val="6C1E27A7"/>
    <w:rsid w:val="6C32709C"/>
    <w:rsid w:val="6D176CFF"/>
    <w:rsid w:val="6DFB6AC9"/>
    <w:rsid w:val="6E5B1F1F"/>
    <w:rsid w:val="6E5B417A"/>
    <w:rsid w:val="6E7F4596"/>
    <w:rsid w:val="6ED30B8C"/>
    <w:rsid w:val="6F1646FE"/>
    <w:rsid w:val="6FBF3D04"/>
    <w:rsid w:val="70023B52"/>
    <w:rsid w:val="70A60CDE"/>
    <w:rsid w:val="730C5F3D"/>
    <w:rsid w:val="7528437A"/>
    <w:rsid w:val="75340FA6"/>
    <w:rsid w:val="75A14046"/>
    <w:rsid w:val="75A34C37"/>
    <w:rsid w:val="75E522FA"/>
    <w:rsid w:val="768F1409"/>
    <w:rsid w:val="77150842"/>
    <w:rsid w:val="775455AD"/>
    <w:rsid w:val="77647851"/>
    <w:rsid w:val="77AE53C6"/>
    <w:rsid w:val="78685689"/>
    <w:rsid w:val="78C6132A"/>
    <w:rsid w:val="79A7237E"/>
    <w:rsid w:val="79D928A8"/>
    <w:rsid w:val="7A11293A"/>
    <w:rsid w:val="7AA12615"/>
    <w:rsid w:val="7AEC2C45"/>
    <w:rsid w:val="7B704319"/>
    <w:rsid w:val="7B7B5DCE"/>
    <w:rsid w:val="7B831871"/>
    <w:rsid w:val="7BFD4911"/>
    <w:rsid w:val="7C7B49CA"/>
    <w:rsid w:val="7D234FEF"/>
    <w:rsid w:val="7D2424A1"/>
    <w:rsid w:val="7D3A7993"/>
    <w:rsid w:val="7DA50DBD"/>
    <w:rsid w:val="7DBF1422"/>
    <w:rsid w:val="7DC53BB5"/>
    <w:rsid w:val="7DD66401"/>
    <w:rsid w:val="7E4C721B"/>
    <w:rsid w:val="7E6C68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2025-08-14T04:50:00Z</dcterms:created>
  <dc:creator>Administrator</dc:creator>
  <cp:lastModifiedBy>lenovo</cp:lastModifiedBy>
  <dcterms:modified xsi:type="dcterms:W3CDTF">2025-08-20T03:22:33Z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DAFAB7C2220048869923F8492BC68927</vt:lpwstr>
  </property>
</Properties>
</file>