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中共库尔勒市委员会老干部局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黑体" w:eastAsia="黑体"/>
          <w:sz w:val="44"/>
          <w:szCs w:val="44"/>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hint="eastAsia" w:ascii="仿宋_GB2312" w:hAnsi="仿宋_GB2312" w:eastAsia="仿宋_GB2312" w:cs="仿宋_GB2312"/>
          <w:b/>
          <w:bCs w:val="0"/>
          <w:kern w:val="0"/>
          <w:sz w:val="36"/>
          <w:szCs w:val="36"/>
          <w:highlight w:val="none"/>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仿宋_GB2312" w:eastAsia="仿宋_GB2312"/>
          <w:sz w:val="32"/>
          <w:szCs w:val="32"/>
        </w:rPr>
      </w:pPr>
      <w:r>
        <w:rPr>
          <w:rFonts w:hint="eastAsia" w:ascii="仿宋_GB2312" w:eastAsia="仿宋_GB2312"/>
          <w:sz w:val="32"/>
          <w:szCs w:val="32"/>
        </w:rPr>
        <w:t>1985年，库尔勒市成立老干科，隶属市委组织部，1992年5月成立中共库尔勒市委老干部工作局，2019年机构改革变更为中共库尔勒市委员会老干部局，成为专职老干部工作部门，隶属市委组织部。承担着库尔勒市行政、事业单位离退休干部及改制企业离休干部管理服务工作,并指导下属单位库尔勒市关心下一代工作委员会办公室、老干部活动中心、库尔勒市老干部休养所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中共库尔勒市委员会老干部局2024年度，实有人数40人，其中：在职人员10人，减少4人；离休人员0人，较上年无变化；退休人员30人，减少9人。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中共库尔勒市委员会老干部局无下属预算单位，下设</w:t>
      </w:r>
      <w:r>
        <w:rPr>
          <w:rFonts w:hint="eastAsia" w:ascii="仿宋_GB2312" w:eastAsia="仿宋_GB2312"/>
          <w:b w:val="0"/>
          <w:sz w:val="32"/>
          <w:szCs w:val="32"/>
          <w:lang w:val="en-US" w:eastAsia="zh-CN"/>
        </w:rPr>
        <w:t>3</w:t>
      </w:r>
      <w:r>
        <w:rPr>
          <w:rFonts w:ascii="仿宋_GB2312" w:eastAsia="仿宋_GB2312"/>
          <w:b w:val="0"/>
          <w:sz w:val="32"/>
          <w:szCs w:val="32"/>
        </w:rPr>
        <w:t>个</w:t>
      </w:r>
      <w:r>
        <w:rPr>
          <w:rFonts w:hint="eastAsia" w:ascii="仿宋_GB2312" w:eastAsia="仿宋_GB2312"/>
          <w:b w:val="0"/>
          <w:sz w:val="32"/>
          <w:szCs w:val="32"/>
          <w:lang w:val="en-US" w:eastAsia="zh-CN"/>
        </w:rPr>
        <w:t>科室</w:t>
      </w:r>
      <w:r>
        <w:rPr>
          <w:rFonts w:ascii="仿宋_GB2312" w:eastAsia="仿宋_GB2312"/>
          <w:b w:val="0"/>
          <w:sz w:val="32"/>
          <w:szCs w:val="32"/>
        </w:rPr>
        <w:t>，分别是：</w:t>
      </w:r>
      <w:r>
        <w:rPr>
          <w:rFonts w:hint="default" w:ascii="Times New Roman" w:hAnsi="Times New Roman" w:eastAsia="仿宋_GB2312" w:cs="Times New Roman"/>
          <w:bCs/>
          <w:color w:val="auto"/>
          <w:kern w:val="0"/>
          <w:sz w:val="32"/>
          <w:szCs w:val="32"/>
          <w:highlight w:val="none"/>
          <w:lang w:val="en-US" w:eastAsia="zh-CN" w:bidi="ar-SA"/>
        </w:rPr>
        <w:t>老干部活动中心、干休所、关工办</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2024年度收入总计514.60万元，其中：本年收入合计514.60万元，使用非财政拨款结余（含专用结余）0.00万元，年初结转和结余0.00万元。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2024年度支出总计514.60万元，其中：本年支出合计514.60万元，结余分配0.00万元，年末结转和结余0.00万元。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收入支出总体与上年相比，减少28.11万元，下降5.18%，主要原因是：</w:t>
      </w:r>
      <w:r>
        <w:rPr>
          <w:rFonts w:hint="eastAsia" w:ascii="仿宋_GB2312" w:eastAsia="仿宋_GB2312"/>
          <w:b w:val="0"/>
          <w:sz w:val="32"/>
          <w:szCs w:val="32"/>
        </w:rPr>
        <w:t>退休2人、调走2人、死亡1人、离退休党支部经费未付完</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本年收入514.60万元，其中：财政拨款收入514.60万元,占100.00%；上级补助收入0.00万元,占0.00%；事业收入0.00万元，占0.00%；经营收入0.00万元,占0.00%；附属单位上缴收入0.00万元，占0.00%；其他收入0.00万元，占0.00%。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本年支出514.60万元，其中：基本支出483.56万元，占93.97%；项目支出31.05万元，占6.03%；上缴上级支出0.00万元，占0.00%；经营支出0.00万元，占0.00%；对附属单位补助支出0.00万元，占0.00%。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2024年度财政拨款收入总计514.60万元，其中：年初财政拨款结转和结余0.00万元，本年财政拨款收入514.60万元。财政拨款支出总计514.60万元，其中：年末财政拨款结转和结余0.00万元，本年财政拨款支出514.60万元。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财政拨款收入支出总体与上年相比，减少28.11万元，下降5.18%，主要原因是：</w:t>
      </w:r>
      <w:r>
        <w:rPr>
          <w:rFonts w:hint="eastAsia" w:ascii="仿宋_GB2312" w:eastAsia="仿宋_GB2312"/>
          <w:b w:val="0"/>
          <w:sz w:val="32"/>
          <w:szCs w:val="32"/>
        </w:rPr>
        <w:t>退休2人、调走2人、死亡1人、离退休党支部经费未付完</w:t>
      </w:r>
      <w:r>
        <w:rPr>
          <w:rFonts w:ascii="仿宋_GB2312" w:eastAsia="仿宋_GB2312"/>
          <w:b w:val="0"/>
          <w:sz w:val="32"/>
          <w:szCs w:val="32"/>
        </w:rPr>
        <w:t>。与年初预算相比，年初预算数659.45万元，决算数514.60万元，预决算差异率-21.97%，主要原因是：</w:t>
      </w:r>
      <w:r>
        <w:rPr>
          <w:rFonts w:hint="eastAsia" w:ascii="仿宋_GB2312" w:eastAsia="仿宋_GB2312"/>
          <w:b w:val="0"/>
          <w:sz w:val="32"/>
          <w:szCs w:val="32"/>
        </w:rPr>
        <w:t>退休2人、调走2人、死亡1人、离退休党支部经费未付完</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514.60万元，占本年支出合计的100.00%。与上年相比，减少28.11万元，下降5.18%，主要原因是：。与年初预算相比，年初预算数659.45万元，决算数514.60万元，预决算差异率-21.97%，主要原因是：</w:t>
      </w:r>
      <w:r>
        <w:rPr>
          <w:rFonts w:hint="eastAsia" w:ascii="仿宋_GB2312" w:eastAsia="仿宋_GB2312"/>
          <w:b w:val="0"/>
          <w:sz w:val="32"/>
          <w:szCs w:val="32"/>
        </w:rPr>
        <w:t>退休2人、调走2人、死亡1人、离退休党支部经费未付完</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一般公共服务支出（类）412.30万元，占80.12%。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社会保障和就业支出（类）71.60万元，占13.91%。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卫生健康支出（类）14.18万元，占2.76%。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住房保障支出（类）16.52万元，占3.21%。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一般公共服务支出（类）党委办公厅（室）及相关机构事务（款）行政运行（项）：支出决算数为381.26万元，比上年决算减少33.96万元，下降8.18%，主要原因是：</w:t>
      </w:r>
      <w:r>
        <w:rPr>
          <w:rFonts w:hint="eastAsia" w:ascii="仿宋_GB2312" w:eastAsia="仿宋_GB2312"/>
          <w:b w:val="0"/>
          <w:sz w:val="32"/>
          <w:szCs w:val="32"/>
        </w:rPr>
        <w:t>退休2人、调走2人、死亡1人</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一般公共服务支出（类）党委办公厅（室）及相关机构事务（款）其他党委办公厅（室）及相关机构事务支出（项）：支出决算数为31.05万元，比上年决算减少1.46万元，下降4.49%，主要原因是：</w:t>
      </w:r>
      <w:r>
        <w:rPr>
          <w:rFonts w:hint="eastAsia" w:ascii="仿宋_GB2312" w:eastAsia="仿宋_GB2312"/>
          <w:b w:val="0"/>
          <w:sz w:val="32"/>
          <w:szCs w:val="32"/>
        </w:rPr>
        <w:t>离退休党支部经费</w:t>
      </w:r>
      <w:r>
        <w:rPr>
          <w:rFonts w:hint="eastAsia" w:ascii="仿宋_GB2312" w:eastAsia="仿宋_GB2312"/>
          <w:b w:val="0"/>
          <w:sz w:val="32"/>
          <w:szCs w:val="32"/>
          <w:lang w:val="en-US" w:eastAsia="zh-CN"/>
        </w:rPr>
        <w:t>较上年度减少</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教育支出（类）进修及培训（款）培训支出（项）：支出决算数为0.00万元，比上年决算减少0.16万元，下降100.00%，主要原因是：</w:t>
      </w:r>
      <w:r>
        <w:rPr>
          <w:rFonts w:hint="eastAsia" w:ascii="仿宋_GB2312" w:eastAsia="仿宋_GB2312"/>
          <w:b w:val="0"/>
          <w:sz w:val="32"/>
          <w:szCs w:val="32"/>
          <w:lang w:val="en-US" w:eastAsia="zh-CN"/>
        </w:rPr>
        <w:t>本年度无人，</w:t>
      </w:r>
      <w:r>
        <w:rPr>
          <w:rFonts w:hint="eastAsia" w:ascii="仿宋_GB2312" w:eastAsia="仿宋_GB2312"/>
          <w:b w:val="0"/>
          <w:sz w:val="32"/>
          <w:szCs w:val="32"/>
        </w:rPr>
        <w:t>培训费未支出</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社会保障和就业支出（类）行政事业单位养老支出（款）行政单位离退休（项）：支出决算数为33.35万元，比上年决算增加6.78万元，增长25.52%，主要原因是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本年度新增2名退休人员，退休人员绩效奖较上年度增加。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社会保障和就业支出（类）行政事业单位养老支出（款）机关事业单位基本养老保险缴费支出（项）：支出决算数为22.61万元，比上年决算增加2.17万元，增长10.62%，主要原因是：</w:t>
      </w:r>
      <w:r>
        <w:rPr>
          <w:rFonts w:hint="eastAsia" w:ascii="仿宋_GB2312" w:eastAsia="仿宋_GB2312"/>
          <w:b w:val="0"/>
          <w:sz w:val="32"/>
          <w:szCs w:val="32"/>
          <w:lang w:val="en-US" w:eastAsia="zh-CN"/>
        </w:rPr>
        <w:t>本年度</w:t>
      </w:r>
      <w:r>
        <w:rPr>
          <w:rFonts w:ascii="仿宋_GB2312" w:eastAsia="仿宋_GB2312"/>
          <w:b w:val="0"/>
          <w:sz w:val="32"/>
          <w:szCs w:val="32"/>
        </w:rPr>
        <w:t>基本养老保险缴费</w:t>
      </w:r>
      <w:r>
        <w:rPr>
          <w:rFonts w:hint="eastAsia" w:ascii="仿宋_GB2312" w:eastAsia="仿宋_GB2312"/>
          <w:b w:val="0"/>
          <w:sz w:val="32"/>
          <w:szCs w:val="32"/>
          <w:lang w:val="en-US" w:eastAsia="zh-CN"/>
        </w:rPr>
        <w:t>基数增长，缴费金额增加。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社会保障和就业支出（类）行政事业单位养老支出（款）机关事业单位职业年金缴费支出（项）：支出决算数为15.64万元，比上年决算增加3.58万元，增长29.68%，主要原因是：</w:t>
      </w:r>
      <w:r>
        <w:rPr>
          <w:rFonts w:hint="eastAsia" w:ascii="仿宋_GB2312" w:eastAsia="仿宋_GB2312"/>
          <w:b w:val="0"/>
          <w:sz w:val="32"/>
          <w:szCs w:val="32"/>
          <w:lang w:val="en-US" w:eastAsia="zh-CN"/>
        </w:rPr>
        <w:t>本年度新增退休人员的职业年金缴费金额高于上年度退休人员缴费金额。</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社会保障和就业支出（类）就业补助（款）公益性岗位补贴（项）：支出决算数为0.00万元，比上年决算减少3.37万元，下降100.00%，主要原因是：</w:t>
      </w:r>
      <w:r>
        <w:rPr>
          <w:rFonts w:hint="eastAsia" w:ascii="仿宋_GB2312" w:eastAsia="仿宋_GB2312"/>
          <w:b w:val="0"/>
          <w:sz w:val="32"/>
          <w:szCs w:val="32"/>
          <w:lang w:val="en-US" w:eastAsia="zh-CN"/>
        </w:rPr>
        <w:t>公益性岗位人员减少，无支出。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卫生健康支出（类）行政事业单位医疗（款）行政单位医疗（项）：支出决算数为10.23万元，比上年决算减少1.57万元，下降13.31%，主要原因是：</w:t>
      </w:r>
      <w:r>
        <w:rPr>
          <w:rFonts w:hint="eastAsia" w:ascii="仿宋_GB2312" w:eastAsia="仿宋_GB2312"/>
          <w:b w:val="0"/>
          <w:sz w:val="32"/>
          <w:szCs w:val="32"/>
        </w:rPr>
        <w:t>退休2人、调走2人、死亡1人</w:t>
      </w:r>
      <w:r>
        <w:rPr>
          <w:rFonts w:hint="eastAsia" w:ascii="仿宋_GB2312" w:eastAsia="仿宋_GB2312"/>
          <w:b w:val="0"/>
          <w:sz w:val="32"/>
          <w:szCs w:val="32"/>
          <w:lang w:eastAsia="zh-CN"/>
        </w:rPr>
        <w:t>，</w:t>
      </w:r>
      <w:r>
        <w:rPr>
          <w:rFonts w:ascii="仿宋_GB2312" w:eastAsia="仿宋_GB2312"/>
          <w:b w:val="0"/>
          <w:sz w:val="32"/>
          <w:szCs w:val="32"/>
        </w:rPr>
        <w:t>行政单位医疗</w:t>
      </w:r>
      <w:r>
        <w:rPr>
          <w:rFonts w:hint="eastAsia" w:ascii="仿宋_GB2312" w:eastAsia="仿宋_GB2312"/>
          <w:b w:val="0"/>
          <w:sz w:val="32"/>
          <w:szCs w:val="32"/>
          <w:lang w:val="en-US" w:eastAsia="zh-CN"/>
        </w:rPr>
        <w:t>支出减少</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卫生健康支出（类）行政事业单位医疗（款）公务员医疗补助（项）：支出决算数为3.94万元，比上年决算减少0.60万元，下降13.22%，主要原因是：</w:t>
      </w:r>
      <w:r>
        <w:rPr>
          <w:rFonts w:hint="eastAsia" w:ascii="仿宋_GB2312" w:eastAsia="仿宋_GB2312"/>
          <w:b w:val="0"/>
          <w:sz w:val="32"/>
          <w:szCs w:val="32"/>
        </w:rPr>
        <w:t>退休2人、调走2人、死亡1人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公务员</w:t>
      </w:r>
      <w:r>
        <w:rPr>
          <w:rFonts w:ascii="仿宋_GB2312" w:eastAsia="仿宋_GB2312"/>
          <w:b w:val="0"/>
          <w:sz w:val="32"/>
          <w:szCs w:val="32"/>
        </w:rPr>
        <w:t>医疗</w:t>
      </w:r>
      <w:r>
        <w:rPr>
          <w:rFonts w:hint="eastAsia" w:ascii="仿宋_GB2312" w:eastAsia="仿宋_GB2312"/>
          <w:b w:val="0"/>
          <w:sz w:val="32"/>
          <w:szCs w:val="32"/>
          <w:lang w:val="en-US" w:eastAsia="zh-CN"/>
        </w:rPr>
        <w:t>补助支出减少</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住房保障支出（类）住房改革支出（款）住房公积金（项）：支出决算数为16.52万元，比上年决算增加0.47万元，增长2.93%，主要原因是：</w:t>
      </w:r>
      <w:r>
        <w:rPr>
          <w:rFonts w:hint="eastAsia" w:ascii="仿宋_GB2312" w:eastAsia="仿宋_GB2312"/>
          <w:b w:val="0"/>
          <w:sz w:val="32"/>
          <w:szCs w:val="32"/>
          <w:lang w:val="en-US" w:eastAsia="zh-CN"/>
        </w:rPr>
        <w:t>住房公积金缴费基数提高，缴费金额增加。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483.56万元，其中：人员经费262.82万元，包括：基本工资、津贴补贴、奖金、机关事业单位基本养老保险缴费、职业年金缴费、职工基本医疗保险缴费、公务员医疗补助缴费、其他社会保障缴费、住房公积金、其他工资福利支出、退休费、抚恤金和奖励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公用经费220.74万元，包括：办公费、水费、电费、邮电费、物业管理费、劳务费、工会经费、福利费、公务用车运行维护费和其他商品和服务支出。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2024年度财政拨款“三公”经费支出2.40万元，比上年减少0.39万元，下降13.98%，主要原因是：</w:t>
      </w:r>
      <w:r>
        <w:rPr>
          <w:rFonts w:hint="eastAsia" w:ascii="仿宋_GB2312" w:eastAsia="仿宋_GB2312"/>
          <w:b w:val="0"/>
          <w:sz w:val="32"/>
          <w:szCs w:val="32"/>
          <w:lang w:val="en-US" w:eastAsia="zh-CN"/>
        </w:rPr>
        <w:t>厉行节约，减少公务用车使用，缩减开支</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rPr>
        <w:t>我单位未安排因公出国（境），无因公出国（境）费用</w:t>
      </w:r>
      <w:r>
        <w:rPr>
          <w:rFonts w:ascii="仿宋_GB2312" w:eastAsia="仿宋_GB2312"/>
          <w:b w:val="0"/>
          <w:sz w:val="32"/>
          <w:szCs w:val="32"/>
        </w:rPr>
        <w:t>；公务用车购置及运行维护费支出2.40万元，占100.00%，比上年减少0.39万元，下降13.98%，主要原因是：</w:t>
      </w:r>
      <w:r>
        <w:rPr>
          <w:rFonts w:hint="eastAsia" w:ascii="仿宋_GB2312" w:eastAsia="仿宋_GB2312"/>
          <w:b w:val="0"/>
          <w:sz w:val="32"/>
          <w:szCs w:val="32"/>
          <w:lang w:val="en-US" w:eastAsia="zh-CN"/>
        </w:rPr>
        <w:t>厉行节约，减少公务用车使用，缩减开支</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我单位未安排公务接待，无公务接待支出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公务用车购置及运行维护费2.40万元，其中：公务用车购置费0.00万元，公务用车运行维护费2.40万元。公务用车运行维护费开支内容包括</w:t>
      </w:r>
      <w:r>
        <w:rPr>
          <w:rFonts w:ascii="仿宋_GB2312" w:eastAsia="仿宋_GB2312"/>
          <w:b w:val="0"/>
          <w:sz w:val="32"/>
          <w:szCs w:val="32"/>
          <w:highlight w:val="none"/>
        </w:rPr>
        <w:t>车辆保险费、车辆保养维修费、车辆燃油费。公务用车购置数</w:t>
      </w:r>
      <w:r>
        <w:rPr>
          <w:rFonts w:ascii="仿宋_GB2312" w:eastAsia="仿宋_GB2312"/>
          <w:b w:val="0"/>
          <w:sz w:val="32"/>
          <w:szCs w:val="32"/>
        </w:rPr>
        <w:t>0辆，公务用车保有量4辆。国有资产占用情况中固定资产车辆4辆，与公务用车保有量差异原因是：</w:t>
      </w:r>
      <w:r>
        <w:rPr>
          <w:rFonts w:hint="eastAsia" w:ascii="仿宋_GB2312" w:eastAsia="仿宋_GB2312"/>
          <w:b w:val="0"/>
          <w:sz w:val="32"/>
          <w:szCs w:val="32"/>
        </w:rPr>
        <w:t>公务用车保有量与资产一致，无差异。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与全年预算相比，财政拨款“三公”经费支出全年预算数2.40万元，决算数2.40万元，预决算差异率0.00%，主要原因是：</w:t>
      </w:r>
      <w:r>
        <w:rPr>
          <w:rFonts w:hint="eastAsia" w:ascii="仿宋_GB2312" w:eastAsia="仿宋_GB2312"/>
          <w:b w:val="0"/>
          <w:sz w:val="32"/>
          <w:szCs w:val="32"/>
        </w:rPr>
        <w:t>严格按“三公经费”年初预算执行，无超支</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rPr>
        <w:t>我单位未安排因公出国（境）</w:t>
      </w:r>
      <w:r>
        <w:rPr>
          <w:rFonts w:ascii="仿宋_GB2312" w:eastAsia="仿宋_GB2312"/>
          <w:b w:val="0"/>
          <w:sz w:val="32"/>
          <w:szCs w:val="32"/>
        </w:rPr>
        <w:t>。公务用车购置费全年预算数0.00万元，决算数0.00万元，预决算差异率0.00%，主要原因是：</w:t>
      </w:r>
      <w:r>
        <w:rPr>
          <w:rFonts w:hint="default" w:ascii="Times New Roman" w:hAnsi="Times New Roman" w:eastAsia="仿宋_GB2312" w:cs="Times New Roman"/>
          <w:bCs/>
          <w:color w:val="auto"/>
          <w:kern w:val="0"/>
          <w:sz w:val="32"/>
          <w:szCs w:val="32"/>
          <w:highlight w:val="none"/>
          <w:lang w:val="en-US" w:eastAsia="zh-CN" w:bidi="ar-SA"/>
        </w:rPr>
        <w:t>我单位未购置公务用车</w:t>
      </w:r>
      <w:r>
        <w:rPr>
          <w:rFonts w:ascii="仿宋_GB2312" w:eastAsia="仿宋_GB2312"/>
          <w:b w:val="0"/>
          <w:sz w:val="32"/>
          <w:szCs w:val="32"/>
        </w:rPr>
        <w:t>。公务用车运行维护费全年预算数2.40万元，决算数2.40万元，预决算差异率0.00%，主要原因是：</w:t>
      </w:r>
      <w:r>
        <w:rPr>
          <w:rFonts w:hint="eastAsia" w:ascii="仿宋_GB2312" w:eastAsia="仿宋_GB2312"/>
          <w:b w:val="0"/>
          <w:sz w:val="32"/>
          <w:szCs w:val="32"/>
        </w:rPr>
        <w:t>严格按“三公经费”年初预算执行，无超支</w:t>
      </w:r>
      <w:r>
        <w:rPr>
          <w:rFonts w:ascii="仿宋_GB2312" w:eastAsia="仿宋_GB2312"/>
          <w:b w:val="0"/>
          <w:sz w:val="32"/>
          <w:szCs w:val="32"/>
        </w:rPr>
        <w:t>。公务接待费全年预算数0.00万元，决算数0.00万元，预决算差异率0.00%，主要原因是：</w:t>
      </w:r>
      <w:r>
        <w:rPr>
          <w:rFonts w:hint="default" w:ascii="Times New Roman" w:hAnsi="Times New Roman" w:eastAsia="仿宋_GB2312" w:cs="Times New Roman"/>
          <w:bCs/>
          <w:color w:val="auto"/>
          <w:kern w:val="0"/>
          <w:sz w:val="32"/>
          <w:szCs w:val="32"/>
          <w:highlight w:val="none"/>
          <w:lang w:val="en-US" w:eastAsia="zh-CN" w:bidi="ar-SA"/>
        </w:rPr>
        <w:t>我单位未安排公务接待</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2024年度中共库尔勒市委员会老干部局单位机关运行经费支出220.74万元，比上年增加57.18万元，增长34.96%，主要原因是：</w:t>
      </w:r>
      <w:r>
        <w:rPr>
          <w:rFonts w:hint="eastAsia" w:ascii="仿宋_GB2312" w:eastAsia="仿宋_GB2312"/>
          <w:b w:val="0"/>
          <w:sz w:val="32"/>
          <w:szCs w:val="32"/>
          <w:lang w:val="en-US" w:eastAsia="zh-CN"/>
        </w:rPr>
        <w:t>增加了老干部活动经费支出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2024年度政府采购支出总额1.01万元，其中：政府采购货物支出0.32万元、政府采购工程支出0.00万元、政府采购服务支出0.69万元。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授予中小企业合同金额1.01万元，占政府采购支出总额的100.00%，其中：授予小微企业合同金额1.01万元，占政府采购支出总额的100.00%。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4,838.00平方米，价值783.96万元。车辆4辆，价值74.34万元，其中：副部（省）级及以上领导用车0辆、主要负责人用车0辆、机要通信用车0辆、应急保障用车0辆、执法执勤用车0辆、特种专业技术用车0辆、离退休干部服务用车0辆、其他用车4辆，其他用车主要是：</w:t>
      </w:r>
      <w:r>
        <w:rPr>
          <w:rFonts w:hint="eastAsia" w:ascii="仿宋_GB2312" w:eastAsia="仿宋_GB2312"/>
          <w:b w:val="0"/>
          <w:sz w:val="32"/>
          <w:szCs w:val="32"/>
          <w:lang w:val="en-US" w:eastAsia="zh-CN"/>
        </w:rPr>
        <w:t>一般公务用车</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w:t>
      </w:r>
      <w:r>
        <w:rPr>
          <w:rFonts w:hint="eastAsia" w:ascii="仿宋_GB2312" w:eastAsia="仿宋_GB2312"/>
          <w:b w:val="0"/>
          <w:sz w:val="32"/>
          <w:szCs w:val="32"/>
          <w:lang w:val="en-US" w:eastAsia="zh-CN"/>
        </w:rPr>
        <w:t>1</w:t>
      </w:r>
      <w:r>
        <w:rPr>
          <w:rFonts w:ascii="仿宋_GB2312" w:eastAsia="仿宋_GB2312"/>
          <w:b w:val="0"/>
          <w:sz w:val="32"/>
          <w:szCs w:val="32"/>
        </w:rPr>
        <w:t>个，全年预算总额</w:t>
      </w:r>
      <w:r>
        <w:rPr>
          <w:rFonts w:hint="eastAsia" w:ascii="仿宋_GB2312" w:eastAsia="仿宋_GB2312"/>
          <w:b w:val="0"/>
          <w:sz w:val="32"/>
          <w:szCs w:val="32"/>
        </w:rPr>
        <w:t>514.6</w:t>
      </w:r>
      <w:r>
        <w:rPr>
          <w:rFonts w:ascii="仿宋_GB2312" w:eastAsia="仿宋_GB2312"/>
          <w:b w:val="0"/>
          <w:sz w:val="32"/>
          <w:szCs w:val="32"/>
        </w:rPr>
        <w:t>万元，实际执行总额</w:t>
      </w:r>
      <w:r>
        <w:rPr>
          <w:rFonts w:hint="eastAsia" w:ascii="仿宋_GB2312" w:eastAsia="仿宋_GB2312"/>
          <w:b w:val="0"/>
          <w:sz w:val="32"/>
          <w:szCs w:val="32"/>
        </w:rPr>
        <w:t>514.6</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43.73</w:t>
      </w:r>
      <w:r>
        <w:rPr>
          <w:rFonts w:ascii="仿宋_GB2312" w:eastAsia="仿宋_GB2312"/>
          <w:b w:val="0"/>
          <w:sz w:val="32"/>
          <w:szCs w:val="32"/>
        </w:rPr>
        <w:t>万元，全年执行数</w:t>
      </w:r>
      <w:r>
        <w:rPr>
          <w:rFonts w:hint="eastAsia" w:ascii="仿宋_GB2312" w:eastAsia="仿宋_GB2312"/>
          <w:b w:val="0"/>
          <w:sz w:val="32"/>
          <w:szCs w:val="32"/>
          <w:lang w:val="en-US" w:eastAsia="zh-CN"/>
        </w:rPr>
        <w:t>31.05</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客观地评判项目的管理绩效，了解和掌握离退休干部党支部书记、委员工作补贴及党员教育经费的具体情况，评价该项目资金安排的科学性、合理性、规范性和资金的使用成效，及时总结项目管理经验，完善项目管理办法，提高项目管理水平和资金使用效益。促使我部根据绩效评价中发现的问题，认真加以整改，及时调整和完善单位的工作计划和绩效目标管理水平，同时为项目后续资金投入、分配和管理提供决策依据</w:t>
      </w:r>
      <w:r>
        <w:rPr>
          <w:rFonts w:ascii="仿宋_GB2312" w:eastAsia="仿宋_GB2312"/>
          <w:b w:val="0"/>
          <w:sz w:val="32"/>
          <w:szCs w:val="32"/>
        </w:rPr>
        <w:t>。发现的问题及原因：</w:t>
      </w:r>
      <w:r>
        <w:rPr>
          <w:rFonts w:hint="eastAsia" w:ascii="仿宋_GB2312" w:eastAsia="仿宋_GB2312"/>
          <w:b w:val="0"/>
          <w:sz w:val="32"/>
          <w:szCs w:val="32"/>
        </w:rPr>
        <w:t>本单位固定资产账务管理存在入账不及时、漏入、入账信息、金额不准确或资产台账未登记到具体使用人等问题</w:t>
      </w:r>
      <w:r>
        <w:rPr>
          <w:rFonts w:ascii="仿宋_GB2312" w:eastAsia="仿宋_GB2312"/>
          <w:b w:val="0"/>
          <w:sz w:val="32"/>
          <w:szCs w:val="32"/>
        </w:rPr>
        <w:t>。下一步改进措施：</w:t>
      </w:r>
      <w:r>
        <w:rPr>
          <w:rFonts w:hint="eastAsia" w:ascii="仿宋_GB2312" w:eastAsia="仿宋_GB2312"/>
          <w:b w:val="0"/>
          <w:sz w:val="32"/>
          <w:szCs w:val="32"/>
        </w:rPr>
        <w:t>一是加强年度政府采购台账和固定资产台账信息的比对，避免资产漏入、少入或录入不及时，二是资产领用应尽可能明确到具体使用人。三是资产入账时相关人员应再次确认发票、合同信息，避免基础信息录入错误</w:t>
      </w:r>
      <w:r>
        <w:rPr>
          <w:rFonts w:ascii="仿宋_GB2312" w:eastAsia="仿宋_GB2312"/>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仿宋_GB2312" w:eastAsia="仿宋_GB2312"/>
          <w:sz w:val="32"/>
          <w:szCs w:val="32"/>
          <w:lang w:val="en-US" w:eastAsia="zh-CN"/>
        </w:rPr>
      </w:pPr>
      <w:r>
        <w:rPr>
          <w:rFonts w:ascii="仿宋_GB2312" w:eastAsia="仿宋_GB2312"/>
          <w:b w:val="0"/>
          <w:sz w:val="32"/>
          <w:szCs w:val="32"/>
        </w:rPr>
        <w:t>八、《国有资本经营预算财政拨款收入支出决算表》</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9525</wp:posOffset>
            </wp:positionH>
            <wp:positionV relativeFrom="page">
              <wp:posOffset>979805</wp:posOffset>
            </wp:positionV>
            <wp:extent cx="5483860" cy="6313805"/>
            <wp:effectExtent l="0" t="0" r="2540" b="1079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483860" cy="631380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57150</wp:posOffset>
            </wp:positionH>
            <wp:positionV relativeFrom="page">
              <wp:posOffset>1036955</wp:posOffset>
            </wp:positionV>
            <wp:extent cx="5476240" cy="3134360"/>
            <wp:effectExtent l="0" t="0" r="10160" b="889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476240" cy="313436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-19050</wp:posOffset>
            </wp:positionH>
            <wp:positionV relativeFrom="page">
              <wp:posOffset>957580</wp:posOffset>
            </wp:positionV>
            <wp:extent cx="5482590" cy="3529965"/>
            <wp:effectExtent l="0" t="0" r="3810" b="1333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482590" cy="352996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66675</wp:posOffset>
            </wp:positionH>
            <wp:positionV relativeFrom="page">
              <wp:posOffset>944880</wp:posOffset>
            </wp:positionV>
            <wp:extent cx="5485130" cy="5066665"/>
            <wp:effectExtent l="0" t="0" r="1270" b="63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485130" cy="506666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19050</wp:posOffset>
            </wp:positionH>
            <wp:positionV relativeFrom="page">
              <wp:posOffset>992505</wp:posOffset>
            </wp:positionV>
            <wp:extent cx="5480685" cy="4364355"/>
            <wp:effectExtent l="0" t="0" r="5715" b="1714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480685" cy="436435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9525</wp:posOffset>
            </wp:positionH>
            <wp:positionV relativeFrom="page">
              <wp:posOffset>1008380</wp:posOffset>
            </wp:positionV>
            <wp:extent cx="5477510" cy="5650865"/>
            <wp:effectExtent l="0" t="0" r="8890" b="698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477510" cy="565086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19050</wp:posOffset>
            </wp:positionH>
            <wp:positionV relativeFrom="page">
              <wp:posOffset>1027430</wp:posOffset>
            </wp:positionV>
            <wp:extent cx="5483860" cy="2451735"/>
            <wp:effectExtent l="0" t="0" r="2540" b="571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483860" cy="245173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47625</wp:posOffset>
            </wp:positionH>
            <wp:positionV relativeFrom="page">
              <wp:posOffset>1081405</wp:posOffset>
            </wp:positionV>
            <wp:extent cx="5482590" cy="2625725"/>
            <wp:effectExtent l="0" t="0" r="3810" b="317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482590" cy="262572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-28575</wp:posOffset>
            </wp:positionH>
            <wp:positionV relativeFrom="page">
              <wp:posOffset>989330</wp:posOffset>
            </wp:positionV>
            <wp:extent cx="5476240" cy="1729740"/>
            <wp:effectExtent l="0" t="0" r="10160" b="381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5476240" cy="1729740"/>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85141"/>
    <w:rsid w:val="04E55F9D"/>
    <w:rsid w:val="37644B61"/>
    <w:rsid w:val="3D5B689F"/>
    <w:rsid w:val="438E56D5"/>
    <w:rsid w:val="57821145"/>
    <w:rsid w:val="58AC2B2E"/>
    <w:rsid w:val="5FC578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2025-08-15T02:35:00Z</dcterms:created>
  <dc:creator>Administrator</dc:creator>
  <cp:lastModifiedBy>lenovo</cp:lastModifiedBy>
  <dcterms:modified xsi:type="dcterms:W3CDTF">2025-08-19T03:17:14Z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984936B9B656460D85237F524FD0324A</vt:lpwstr>
  </property>
</Properties>
</file>