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pP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中共库尔勒市委员会组织部</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lang w:eastAsia="zh-CN"/>
          <w14:textFill>
            <w14:solidFill>
              <w14:schemeClr w14:val="tx1"/>
            </w14:solidFill>
          </w14:textFill>
        </w:rPr>
        <w:t xml:space="preserve"> 202</w:t>
      </w: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4</w:t>
      </w:r>
      <w:r>
        <w:rPr>
          <w:rFonts w:hint="eastAsia" w:ascii="方正小标宋_GBK" w:hAnsi="宋体" w:eastAsia="方正小标宋_GBK"/>
          <w:color w:val="000000" w:themeColor="text1"/>
          <w:sz w:val="44"/>
          <w:szCs w:val="44"/>
          <w:highlight w:val="none"/>
          <w:lang w:eastAsia="zh-CN"/>
          <w14:textFill>
            <w14:solidFill>
              <w14:schemeClr w14:val="tx1"/>
            </w14:solidFill>
          </w14:textFill>
        </w:rPr>
        <w:t>年度</w:t>
      </w:r>
      <w:r>
        <w:rPr>
          <w:rFonts w:hint="eastAsia" w:ascii="方正小标宋_GBK" w:hAnsi="宋体" w:eastAsia="方正小标宋_GBK"/>
          <w:color w:val="000000" w:themeColor="text1"/>
          <w:sz w:val="44"/>
          <w:szCs w:val="44"/>
          <w:highlight w:val="none"/>
          <w14:textFill>
            <w14:solidFill>
              <w14:schemeClr w14:val="tx1"/>
            </w14:solidFill>
          </w14:textFill>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t>公开说明</w:t>
      </w:r>
    </w:p>
    <w:p>
      <w:pPr>
        <w:rPr>
          <w:rFonts w:ascii="黑体" w:hAnsi="宋体" w:eastAsia="黑体" w:cs="黑体"/>
          <w:b/>
          <w:bCs/>
          <w:i w:val="0"/>
          <w:iCs w:val="0"/>
          <w:caps w:val="0"/>
          <w:color w:val="auto"/>
          <w:spacing w:val="0"/>
          <w:kern w:val="0"/>
          <w:sz w:val="31"/>
          <w:szCs w:val="31"/>
          <w:shd w:val="clear" w:fill="FFFFFF"/>
          <w:lang w:val="en-US" w:eastAsia="zh-CN" w:bidi="ar"/>
        </w:rPr>
      </w:pPr>
      <w:r>
        <w:rPr>
          <w:rFonts w:hint="eastAsia" w:ascii="方正小标宋_GBK" w:hAnsi="宋体" w:eastAsia="方正小标宋_GBK"/>
          <w:color w:val="000000" w:themeColor="text1"/>
          <w:sz w:val="44"/>
          <w:szCs w:val="44"/>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bCs w:val="0"/>
          <w:color w:val="auto"/>
          <w:kern w:val="0"/>
          <w:sz w:val="36"/>
          <w:szCs w:val="36"/>
          <w:highlight w:val="none"/>
        </w:rPr>
      </w:pPr>
      <w:r>
        <w:rPr>
          <w:rFonts w:hint="eastAsia" w:ascii="仿宋_GB2312" w:hAnsi="仿宋_GB2312" w:eastAsia="仿宋_GB2312" w:cs="仿宋_GB2312"/>
          <w:b/>
          <w:bCs w:val="0"/>
          <w:color w:val="auto"/>
          <w:kern w:val="0"/>
          <w:sz w:val="36"/>
          <w:szCs w:val="36"/>
          <w:highlight w:val="none"/>
          <w:lang w:val="en-US" w:eastAsia="zh-CN"/>
        </w:rPr>
        <w:t>目  录</w:t>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right="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五、一般公共预算财政拨款支出决算情况说明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（一）一般公共预算财政拨款支出决算总体情况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（二）一般公共预算财政拨款支出决算结构情况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（三）一般公共预算财政拨款支出决算具体情况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六、一般公共预算财政拨款基本支出决算情况说明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七、政府性基金预算财政拨款收入支出决算情况说明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八、国有资本经营预算财政拨款收入支出决算情况说明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righ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九、财政拨款“三公”经费支出决算情况说明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十、其他重要事项的情况说明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（一）机关运行经费及公用经费支出情况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（二）政府采购情况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（三）国有资产占用情况说明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十一、预算绩效的情况说明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right="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十二、其他需说明的事项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第三部分 专业名词解释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第四部分 部门决算报表（见附表）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一、《收入支出决算总表》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二、《收入决算表》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三、《支出决算表》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四、《财政拨款收入支出决算总表》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五、《一般公共预算财政拨款支出决算表》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六、《一般公共预算财政拨款基本支出决算表》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七、《政府性基金预算财政拨款收入支出决算表》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八、《国有资本经营预算财政拨款收入支出决算表》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leftChars="0" w:right="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九、《财政拨款“三公”经费支出决算表》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line="409" w:lineRule="atLeast"/>
        <w:ind w:left="120" w:right="-150" w:firstLine="0"/>
        <w:jc w:val="center"/>
        <w:rPr>
          <w:rFonts w:ascii="黑体" w:hAnsi="宋体" w:eastAsia="黑体" w:cs="黑体"/>
          <w:i w:val="0"/>
          <w:iCs w:val="0"/>
          <w:caps w:val="0"/>
          <w:color w:val="auto"/>
          <w:spacing w:val="0"/>
          <w:kern w:val="0"/>
          <w:sz w:val="31"/>
          <w:szCs w:val="31"/>
          <w:shd w:val="clear" w:fill="FFFFFF"/>
          <w:lang w:val="en-US" w:eastAsia="zh-CN" w:bidi="ar"/>
        </w:rPr>
      </w:pPr>
    </w:p>
    <w:p>
      <w:pPr>
        <w:pStyle w:val="2"/>
        <w:ind w:left="0" w:leftChars="0" w:firstLine="0" w:firstLineChars="0"/>
        <w:jc w:val="both"/>
        <w:rPr>
          <w:lang w:val="en-US" w:eastAsia="zh-CN"/>
        </w:rPr>
      </w:pPr>
    </w:p>
    <w:p>
      <w:pPr>
        <w:rPr>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宋体"/>
          <w:bCs/>
          <w:color w:val="auto"/>
          <w:kern w:val="0"/>
          <w:sz w:val="32"/>
          <w:szCs w:val="32"/>
          <w:highlight w:val="none"/>
        </w:rPr>
      </w:pPr>
      <w:r>
        <w:rPr>
          <w:rFonts w:hint="eastAsia" w:ascii="黑体" w:hAnsi="黑体" w:eastAsia="黑体" w:cs="Times New Roman"/>
          <w:color w:val="auto"/>
          <w:sz w:val="32"/>
          <w:szCs w:val="32"/>
          <w:highlight w:val="none"/>
          <w:lang w:val="en-US" w:eastAsia="zh-CN"/>
        </w:rPr>
        <w:t>第一部分​部门概况</w:t>
      </w:r>
      <w:bookmarkStart w:id="0" w:name="_Toc30567"/>
      <w:bookmarkStart w:id="1" w:name="_Toc30738"/>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outlineLvl w:val="9"/>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一、主要职能</w:t>
      </w:r>
      <w:bookmarkEnd w:id="0"/>
      <w:bookmarkEnd w:id="1"/>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hint="default" w:ascii="仿宋_GB2312" w:hAnsi="Times New Roman" w:eastAsia="仿宋_GB2312" w:cs="Times New Roman"/>
          <w:color w:val="auto"/>
          <w:sz w:val="32"/>
          <w:szCs w:val="32"/>
          <w:highlight w:val="none"/>
          <w:lang w:val="en-US" w:eastAsia="zh-CN"/>
        </w:rPr>
        <w:t>中共库尔勒市委员会组织部负责党的建设和组织工作研究；党的组织建设；基层组织和党员队伍建设；领导班子和领导干部队伍特别是优秀年轻干部队伍建设；公务员队伍建设；人才工作；干部队伍建设宏观指导和干部教育培训；管理监督工作、干部人才援疆工作；统一管理中共库尔勒市委员会机构编制委员会办公室，归口管理中共库尔勒市老干部局；完成市党委交办的其他任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20" w:firstLineChars="200"/>
        <w:jc w:val="both"/>
        <w:textAlignment w:val="auto"/>
        <w:outlineLvl w:val="9"/>
        <w:rPr>
          <w:rFonts w:ascii="黑体" w:hAnsi="宋体" w:eastAsia="黑体" w:cs="黑体"/>
          <w:i w:val="0"/>
          <w:iCs w:val="0"/>
          <w:caps w:val="0"/>
          <w:color w:val="auto"/>
          <w:spacing w:val="0"/>
          <w:sz w:val="31"/>
          <w:szCs w:val="31"/>
        </w:rPr>
      </w:pPr>
      <w:r>
        <w:rPr>
          <w:rFonts w:ascii="黑体" w:hAnsi="宋体" w:eastAsia="黑体" w:cs="黑体"/>
          <w:i w:val="0"/>
          <w:iCs w:val="0"/>
          <w:caps w:val="0"/>
          <w:color w:val="auto"/>
          <w:spacing w:val="0"/>
          <w:kern w:val="0"/>
          <w:sz w:val="31"/>
          <w:szCs w:val="31"/>
          <w:shd w:val="clear" w:fill="FFFFFF"/>
          <w:lang w:val="en-US" w:eastAsia="zh-CN" w:bidi="ar"/>
        </w:rPr>
        <w:t>二、机构设置及人员情况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Times New Roman" w:eastAsia="仿宋_GB2312" w:cs="Times New Roman"/>
          <w:sz w:val="32"/>
          <w:szCs w:val="32"/>
          <w:highlight w:val="none"/>
          <w:lang w:val="en-US" w:eastAsia="zh-CN"/>
        </w:rPr>
      </w:pPr>
      <w:r>
        <w:rPr>
          <w:rFonts w:hint="default" w:ascii="仿宋_GB2312" w:hAnsi="Times New Roman" w:eastAsia="仿宋_GB2312" w:cs="Times New Roman"/>
          <w:sz w:val="32"/>
          <w:szCs w:val="32"/>
          <w:highlight w:val="none"/>
          <w:lang w:val="en-US" w:eastAsia="zh-CN"/>
        </w:rPr>
        <w:t>中共库尔勒市委员会组织部2024年度，实有人数129人，其中：在职人员77人，减少3人；离休人员0人，较上年无变化；退休人员52人，减少8人。​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Times New Roman" w:eastAsia="仿宋_GB2312" w:cs="Times New Roman"/>
          <w:sz w:val="32"/>
          <w:szCs w:val="32"/>
          <w:highlight w:val="none"/>
          <w:lang w:val="en-US" w:eastAsia="zh-CN"/>
        </w:rPr>
      </w:pPr>
      <w:r>
        <w:rPr>
          <w:rFonts w:hint="default" w:ascii="仿宋_GB2312" w:hAnsi="Times New Roman" w:eastAsia="仿宋_GB2312" w:cs="Times New Roman"/>
          <w:sz w:val="32"/>
          <w:szCs w:val="32"/>
          <w:highlight w:val="none"/>
          <w:lang w:val="en-US" w:eastAsia="zh-CN"/>
        </w:rPr>
        <w:t>从部门决算单位构成看，中共库尔勒市委员会组织部部门决算包括：中共库尔勒市委员会组织部本级决算及所属单位决算。</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Times New Roman" w:eastAsia="仿宋_GB2312" w:cs="Times New Roman"/>
          <w:sz w:val="32"/>
          <w:szCs w:val="32"/>
          <w:highlight w:val="none"/>
          <w:lang w:eastAsia="zh-CN"/>
        </w:rPr>
      </w:pPr>
      <w:r>
        <w:rPr>
          <w:rFonts w:hint="default" w:ascii="仿宋_GB2312" w:hAnsi="Times New Roman" w:eastAsia="仿宋_GB2312" w:cs="Times New Roman"/>
          <w:sz w:val="32"/>
          <w:szCs w:val="32"/>
          <w:highlight w:val="none"/>
          <w:lang w:val="en-US" w:eastAsia="zh-CN"/>
        </w:rPr>
        <w:t>中共库尔勒市委员会组织部</w:t>
      </w:r>
      <w:r>
        <w:rPr>
          <w:rFonts w:hint="default" w:ascii="仿宋_GB2312" w:hAnsi="Times New Roman" w:eastAsia="仿宋_GB2312" w:cs="Times New Roman"/>
          <w:sz w:val="32"/>
          <w:szCs w:val="32"/>
          <w:highlight w:val="none"/>
        </w:rPr>
        <w:t>本级下设</w:t>
      </w:r>
      <w:r>
        <w:rPr>
          <w:rFonts w:hint="default" w:ascii="仿宋_GB2312" w:hAnsi="Times New Roman" w:eastAsia="仿宋_GB2312" w:cs="Times New Roman"/>
          <w:sz w:val="32"/>
          <w:szCs w:val="32"/>
          <w:highlight w:val="none"/>
          <w:lang w:val="en-US" w:eastAsia="zh-CN"/>
        </w:rPr>
        <w:t>10</w:t>
      </w:r>
      <w:r>
        <w:rPr>
          <w:rFonts w:hint="default" w:ascii="仿宋_GB2312" w:hAnsi="Times New Roman" w:eastAsia="仿宋_GB2312" w:cs="Times New Roman"/>
          <w:sz w:val="32"/>
          <w:szCs w:val="32"/>
          <w:highlight w:val="none"/>
        </w:rPr>
        <w:t>个处室，分别是：办公室、信息调研室、组织一室（党代表联络办）、组织二室（基层办）、组织三室（社区党建办）、组织四室（新兴组织办）、干部一室、干部二室（举报中心）、干部三室、干部四室</w:t>
      </w:r>
      <w:r>
        <w:rPr>
          <w:rFonts w:hint="default" w:ascii="仿宋_GB2312"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纳入中共库尔勒市委员会组织部2023年度部门决算编制范围的下属预算单位包括：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1.中共库尔勒市委员会老干部局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2.中共库尔勒市委员会党校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20" w:firstLineChars="200"/>
        <w:jc w:val="both"/>
        <w:textAlignment w:val="auto"/>
        <w:outlineLvl w:val="9"/>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240" w:lineRule="auto"/>
        <w:ind w:left="0" w:right="0" w:firstLine="620" w:firstLineChars="200"/>
        <w:jc w:val="both"/>
        <w:textAlignment w:val="auto"/>
        <w:outlineLvl w:val="9"/>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240" w:lineRule="auto"/>
        <w:ind w:left="0" w:right="0" w:firstLine="620" w:firstLineChars="200"/>
        <w:jc w:val="both"/>
        <w:textAlignment w:val="auto"/>
        <w:outlineLvl w:val="9"/>
        <w:rPr>
          <w:rFonts w:ascii="黑体" w:hAnsi="宋体" w:eastAsia="黑体" w:cs="黑体"/>
          <w:i w:val="0"/>
          <w:iCs w:val="0"/>
          <w:caps w:val="0"/>
          <w:color w:val="auto"/>
          <w:spacing w:val="0"/>
          <w:kern w:val="0"/>
          <w:sz w:val="31"/>
          <w:szCs w:val="31"/>
          <w:shd w:val="clear" w:fill="FFFFFF"/>
          <w:lang w:val="en-US" w:eastAsia="zh-CN" w:bidi="ar"/>
        </w:rPr>
      </w:pPr>
    </w:p>
    <w:p>
      <w:pPr>
        <w:pStyle w:val="2"/>
        <w:rPr>
          <w:rFonts w:ascii="黑体" w:hAnsi="宋体" w:eastAsia="黑体" w:cs="黑体"/>
          <w:i w:val="0"/>
          <w:iCs w:val="0"/>
          <w:caps w:val="0"/>
          <w:color w:val="auto"/>
          <w:spacing w:val="0"/>
          <w:kern w:val="0"/>
          <w:sz w:val="31"/>
          <w:szCs w:val="31"/>
          <w:shd w:val="clear" w:fill="FFFFFF"/>
          <w:lang w:val="en-US" w:eastAsia="zh-CN" w:bidi="ar"/>
        </w:rPr>
      </w:pPr>
    </w:p>
    <w:p>
      <w:pPr>
        <w:rPr>
          <w:rFonts w:ascii="黑体" w:hAnsi="宋体" w:eastAsia="黑体" w:cs="黑体"/>
          <w:i w:val="0"/>
          <w:iCs w:val="0"/>
          <w:caps w:val="0"/>
          <w:color w:val="auto"/>
          <w:spacing w:val="0"/>
          <w:kern w:val="0"/>
          <w:sz w:val="31"/>
          <w:szCs w:val="31"/>
          <w:shd w:val="clear" w:fill="FFFFFF"/>
          <w:lang w:val="en-US" w:eastAsia="zh-CN" w:bidi="ar"/>
        </w:rPr>
      </w:pPr>
    </w:p>
    <w:p>
      <w:pPr>
        <w:pStyle w:val="2"/>
        <w:rPr>
          <w:rFonts w:ascii="黑体" w:hAnsi="宋体" w:eastAsia="黑体" w:cs="黑体"/>
          <w:i w:val="0"/>
          <w:iCs w:val="0"/>
          <w:caps w:val="0"/>
          <w:color w:val="auto"/>
          <w:spacing w:val="0"/>
          <w:kern w:val="0"/>
          <w:sz w:val="31"/>
          <w:szCs w:val="31"/>
          <w:shd w:val="clear" w:fill="FFFFFF"/>
          <w:lang w:val="en-US" w:eastAsia="zh-CN" w:bidi="ar"/>
        </w:rPr>
      </w:pPr>
    </w:p>
    <w:p>
      <w:pPr>
        <w:rPr>
          <w:rFonts w:ascii="黑体" w:hAnsi="宋体" w:eastAsia="黑体" w:cs="黑体"/>
          <w:i w:val="0"/>
          <w:iCs w:val="0"/>
          <w:caps w:val="0"/>
          <w:color w:val="auto"/>
          <w:spacing w:val="0"/>
          <w:kern w:val="0"/>
          <w:sz w:val="31"/>
          <w:szCs w:val="31"/>
          <w:shd w:val="clear" w:fill="FFFFFF"/>
          <w:lang w:val="en-US" w:eastAsia="zh-CN" w:bidi="ar"/>
        </w:rPr>
      </w:pPr>
    </w:p>
    <w:p>
      <w:pPr>
        <w:pStyle w:val="2"/>
        <w:rPr>
          <w:rFonts w:ascii="黑体" w:hAnsi="宋体" w:eastAsia="黑体" w:cs="黑体"/>
          <w:i w:val="0"/>
          <w:iCs w:val="0"/>
          <w:caps w:val="0"/>
          <w:color w:val="auto"/>
          <w:spacing w:val="0"/>
          <w:kern w:val="0"/>
          <w:sz w:val="31"/>
          <w:szCs w:val="31"/>
          <w:shd w:val="clear" w:fill="FFFFFF"/>
          <w:lang w:val="en-US" w:eastAsia="zh-CN" w:bidi="ar"/>
        </w:rPr>
      </w:pPr>
    </w:p>
    <w:p>
      <w:pPr>
        <w:rPr>
          <w:rFonts w:ascii="黑体" w:hAnsi="宋体" w:eastAsia="黑体" w:cs="黑体"/>
          <w:i w:val="0"/>
          <w:iCs w:val="0"/>
          <w:caps w:val="0"/>
          <w:color w:val="auto"/>
          <w:spacing w:val="0"/>
          <w:kern w:val="0"/>
          <w:sz w:val="31"/>
          <w:szCs w:val="31"/>
          <w:shd w:val="clear" w:fill="FFFFFF"/>
          <w:lang w:val="en-US" w:eastAsia="zh-CN" w:bidi="ar"/>
        </w:rPr>
      </w:pPr>
    </w:p>
    <w:p>
      <w:pPr>
        <w:pStyle w:val="2"/>
        <w:rPr>
          <w:rFonts w:ascii="黑体" w:hAnsi="宋体" w:eastAsia="黑体" w:cs="黑体"/>
          <w:i w:val="0"/>
          <w:iCs w:val="0"/>
          <w:caps w:val="0"/>
          <w:color w:val="auto"/>
          <w:spacing w:val="0"/>
          <w:kern w:val="0"/>
          <w:sz w:val="31"/>
          <w:szCs w:val="31"/>
          <w:shd w:val="clear" w:fill="FFFFFF"/>
          <w:lang w:val="en-US" w:eastAsia="zh-CN" w:bidi="ar"/>
        </w:rPr>
      </w:pPr>
    </w:p>
    <w:p>
      <w:pPr>
        <w:rPr>
          <w:rFonts w:ascii="黑体" w:hAnsi="宋体" w:eastAsia="黑体" w:cs="黑体"/>
          <w:i w:val="0"/>
          <w:iCs w:val="0"/>
          <w:caps w:val="0"/>
          <w:color w:val="auto"/>
          <w:spacing w:val="0"/>
          <w:kern w:val="0"/>
          <w:sz w:val="31"/>
          <w:szCs w:val="31"/>
          <w:shd w:val="clear" w:fill="FFFFFF"/>
          <w:lang w:val="en-US" w:eastAsia="zh-CN" w:bidi="ar"/>
        </w:rPr>
      </w:pPr>
    </w:p>
    <w:p>
      <w:pPr>
        <w:pStyle w:val="2"/>
        <w:rPr>
          <w:rFonts w:ascii="黑体" w:hAnsi="宋体" w:eastAsia="黑体" w:cs="黑体"/>
          <w:i w:val="0"/>
          <w:iCs w:val="0"/>
          <w:caps w:val="0"/>
          <w:color w:val="auto"/>
          <w:spacing w:val="0"/>
          <w:kern w:val="0"/>
          <w:sz w:val="31"/>
          <w:szCs w:val="31"/>
          <w:shd w:val="clear" w:fill="FFFFFF"/>
          <w:lang w:val="en-US" w:eastAsia="zh-CN" w:bidi="ar"/>
        </w:rPr>
      </w:pPr>
    </w:p>
    <w:p>
      <w:pPr>
        <w:rPr>
          <w:lang w:val="en-US" w:eastAsia="zh-CN"/>
        </w:rPr>
      </w:pPr>
    </w:p>
    <w:p>
      <w:pPr>
        <w:rPr>
          <w:rFonts w:ascii="黑体" w:hAnsi="宋体" w:eastAsia="黑体" w:cs="黑体"/>
          <w:i w:val="0"/>
          <w:iCs w:val="0"/>
          <w:caps w:val="0"/>
          <w:color w:val="auto"/>
          <w:spacing w:val="0"/>
          <w:kern w:val="0"/>
          <w:sz w:val="31"/>
          <w:szCs w:val="31"/>
          <w:shd w:val="clear" w:fill="FFFFFF"/>
          <w:lang w:val="en-US" w:eastAsia="zh-CN" w:bidi="ar"/>
        </w:rPr>
      </w:pPr>
    </w:p>
    <w:p>
      <w:pPr>
        <w:pStyle w:val="2"/>
        <w:rPr>
          <w:rFonts w:ascii="黑体" w:hAnsi="宋体" w:eastAsia="黑体" w:cs="黑体"/>
          <w:i w:val="0"/>
          <w:iCs w:val="0"/>
          <w:caps w:val="0"/>
          <w:color w:val="auto"/>
          <w:spacing w:val="0"/>
          <w:kern w:val="0"/>
          <w:sz w:val="31"/>
          <w:szCs w:val="31"/>
          <w:shd w:val="clear" w:fill="FFFFFF"/>
          <w:lang w:val="en-US" w:eastAsia="zh-CN" w:bidi="ar"/>
        </w:rPr>
      </w:pPr>
    </w:p>
    <w:p>
      <w:pPr>
        <w:rPr>
          <w:rFonts w:ascii="黑体" w:hAnsi="宋体" w:eastAsia="黑体" w:cs="黑体"/>
          <w:i w:val="0"/>
          <w:iCs w:val="0"/>
          <w:caps w:val="0"/>
          <w:color w:val="auto"/>
          <w:spacing w:val="0"/>
          <w:kern w:val="0"/>
          <w:sz w:val="31"/>
          <w:szCs w:val="31"/>
          <w:shd w:val="clear" w:fill="FFFFFF"/>
          <w:lang w:val="en-US" w:eastAsia="zh-CN" w:bidi="ar"/>
        </w:rPr>
      </w:pPr>
    </w:p>
    <w:p>
      <w:pPr>
        <w:pStyle w:val="2"/>
        <w:rPr>
          <w:rFonts w:ascii="黑体" w:hAnsi="宋体" w:eastAsia="黑体" w:cs="黑体"/>
          <w:i w:val="0"/>
          <w:iCs w:val="0"/>
          <w:caps w:val="0"/>
          <w:color w:val="auto"/>
          <w:spacing w:val="0"/>
          <w:kern w:val="0"/>
          <w:sz w:val="31"/>
          <w:szCs w:val="31"/>
          <w:shd w:val="clear" w:fill="FFFFFF"/>
          <w:lang w:val="en-US" w:eastAsia="zh-CN" w:bidi="ar"/>
        </w:rPr>
      </w:pPr>
    </w:p>
    <w:p>
      <w:pPr>
        <w:rPr>
          <w:rFonts w:ascii="黑体" w:hAnsi="宋体" w:eastAsia="黑体" w:cs="黑体"/>
          <w:i w:val="0"/>
          <w:iCs w:val="0"/>
          <w:caps w:val="0"/>
          <w:color w:val="auto"/>
          <w:spacing w:val="0"/>
          <w:kern w:val="0"/>
          <w:sz w:val="31"/>
          <w:szCs w:val="31"/>
          <w:shd w:val="clear" w:fill="FFFFFF"/>
          <w:lang w:val="en-US" w:eastAsia="zh-CN" w:bidi="ar"/>
        </w:rPr>
      </w:pPr>
    </w:p>
    <w:p>
      <w:pPr>
        <w:pStyle w:val="2"/>
        <w:rPr>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240" w:lineRule="auto"/>
        <w:ind w:right="0"/>
        <w:jc w:val="both"/>
        <w:textAlignment w:val="auto"/>
        <w:outlineLvl w:val="9"/>
        <w:rPr>
          <w:rFonts w:ascii="黑体" w:hAnsi="宋体" w:eastAsia="黑体" w:cs="黑体"/>
          <w:i w:val="0"/>
          <w:iCs w:val="0"/>
          <w:caps w:val="0"/>
          <w:color w:val="auto"/>
          <w:spacing w:val="0"/>
          <w:kern w:val="0"/>
          <w:sz w:val="31"/>
          <w:szCs w:val="31"/>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center"/>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第二部分 部门决算情况说明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一、收入支出决算总体情况说明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2024年度收入总计6,751.11万元，其中：本年收入合计6,751.11万元，使用非财政拨款结余（含专用结余）0万元，年初结转和结余0万元。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2024年度支出总计6,751.11万元，其中：本年支出合计6,751.11万元，结余分配0万元，年末结转和结余0万元。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ascii="仿宋_GB2312" w:hAnsi="仿宋_GB2312" w:eastAsia="仿宋_GB2312" w:cs="仿宋_GB2312"/>
          <w:i w:val="0"/>
          <w:iCs w:val="0"/>
          <w:caps w:val="0"/>
          <w:color w:val="auto"/>
          <w:spacing w:val="0"/>
          <w:kern w:val="0"/>
          <w:sz w:val="32"/>
          <w:szCs w:val="32"/>
          <w:shd w:val="clear" w:fill="FFFFFF"/>
          <w:lang w:val="en-US" w:eastAsia="zh-CN" w:bidi="ar"/>
        </w:rPr>
        <w:t>收入支出总体与上年相比，</w:t>
      </w:r>
      <w:r>
        <w:rPr>
          <w:rFonts w:hint="eastAsia" w:ascii="仿宋_GB2312" w:hAnsi="Times New Roman" w:eastAsia="仿宋_GB2312" w:cs="Times New Roman"/>
          <w:sz w:val="32"/>
          <w:szCs w:val="32"/>
          <w:highlight w:val="none"/>
          <w:lang w:val="zh-CN" w:eastAsia="zh-CN"/>
        </w:rPr>
        <w:t>增加</w:t>
      </w:r>
      <w:r>
        <w:rPr>
          <w:rFonts w:hint="eastAsia" w:ascii="仿宋_GB2312" w:hAnsi="Times New Roman" w:eastAsia="仿宋_GB2312" w:cs="Times New Roman"/>
          <w:sz w:val="32"/>
          <w:szCs w:val="32"/>
          <w:highlight w:val="none"/>
          <w:lang w:val="en-US" w:eastAsia="zh-CN"/>
        </w:rPr>
        <w:t>2183.86</w:t>
      </w:r>
      <w:r>
        <w:rPr>
          <w:rFonts w:hint="eastAsia" w:ascii="仿宋_GB2312" w:hAnsi="Times New Roman" w:eastAsia="仿宋_GB2312" w:cs="Times New Roman"/>
          <w:sz w:val="32"/>
          <w:szCs w:val="32"/>
          <w:highlight w:val="none"/>
          <w:lang w:val="zh-CN" w:eastAsia="zh-CN"/>
        </w:rPr>
        <w:t>万元</w:t>
      </w:r>
      <w:r>
        <w:rPr>
          <w:rFonts w:hint="eastAsia" w:ascii="仿宋_GB2312" w:hAnsi="Times New Roman" w:eastAsia="仿宋_GB2312" w:cs="Times New Roman"/>
          <w:sz w:val="32"/>
          <w:szCs w:val="32"/>
          <w:highlight w:val="none"/>
          <w:lang w:val="en-US" w:eastAsia="zh-CN"/>
        </w:rPr>
        <w:t>，</w:t>
      </w:r>
      <w:r>
        <w:rPr>
          <w:rFonts w:hint="eastAsia" w:ascii="仿宋_GB2312" w:hAnsi="Times New Roman" w:eastAsia="仿宋_GB2312" w:cs="Times New Roman"/>
          <w:sz w:val="32"/>
          <w:szCs w:val="32"/>
          <w:highlight w:val="none"/>
          <w:lang w:val="zh-CN" w:eastAsia="zh-CN"/>
        </w:rPr>
        <w:t>增长</w:t>
      </w:r>
      <w:r>
        <w:rPr>
          <w:rFonts w:hint="eastAsia" w:ascii="仿宋_GB2312" w:hAnsi="Times New Roman" w:eastAsia="仿宋_GB2312" w:cs="Times New Roman"/>
          <w:sz w:val="32"/>
          <w:szCs w:val="32"/>
          <w:highlight w:val="none"/>
          <w:lang w:val="en-US" w:eastAsia="zh-CN"/>
        </w:rPr>
        <w:t>47.82</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，主要原因是：</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xml:space="preserve">一是基本支出中人员经费增加，主要为原来由各乡镇支出的村干部和村民小组长报酬近600余人的工资调整至市委组织部发放。二项目经费支出有所增加，对年度收支产生了较大影响。2024年其他收入为拨付的援疆资金，用于干部培训费用和两地互派学习费用。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二、收入决算情况说明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kern w:val="0"/>
          <w:sz w:val="32"/>
          <w:szCs w:val="32"/>
          <w:shd w:val="clear" w:fill="FFFFFF"/>
          <w:lang w:val="en-US" w:eastAsia="zh-CN" w:bidi="ar"/>
        </w:rPr>
      </w:pPr>
      <w:r>
        <w:rPr>
          <w:rFonts w:ascii="仿宋_GB2312" w:hAnsi="仿宋_GB2312" w:eastAsia="仿宋_GB2312" w:cs="仿宋_GB2312"/>
          <w:i w:val="0"/>
          <w:iCs w:val="0"/>
          <w:caps w:val="0"/>
          <w:color w:val="auto"/>
          <w:spacing w:val="0"/>
          <w:kern w:val="0"/>
          <w:sz w:val="32"/>
          <w:szCs w:val="32"/>
          <w:shd w:val="clear" w:fill="FFFFFF"/>
          <w:lang w:val="en-US" w:eastAsia="zh-CN" w:bidi="ar"/>
        </w:rPr>
        <w:t>本年收入6,751.11万元，其中：财政拨款收入6,517.73万元,占96.54%；</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上级补助收入</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万元，占</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%；事业收入</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万元，占</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%；经营收入</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万元，占</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%；附属单位上缴收入</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万元，占</w:t>
      </w:r>
      <w:r>
        <w:rPr>
          <w:rFonts w:hint="eastAsia" w:ascii="仿宋_GB2312" w:hAnsi="仿宋_GB2312" w:eastAsia="仿宋_GB2312" w:cs="仿宋_GB2312"/>
          <w:i w:val="0"/>
          <w:iCs w:val="0"/>
          <w:caps w:val="0"/>
          <w:color w:val="auto"/>
          <w:spacing w:val="0"/>
          <w:kern w:val="0"/>
          <w:sz w:val="32"/>
          <w:szCs w:val="32"/>
          <w:shd w:val="clear" w:fill="FFFFFF"/>
          <w:lang w:val="zh-CN" w:eastAsia="zh-CN" w:bidi="ar"/>
        </w:rPr>
        <w:t>0.00</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w:t>
      </w:r>
      <w:r>
        <w:rPr>
          <w:rFonts w:ascii="仿宋_GB2312" w:hAnsi="仿宋_GB2312" w:eastAsia="仿宋_GB2312" w:cs="仿宋_GB2312"/>
          <w:i w:val="0"/>
          <w:iCs w:val="0"/>
          <w:caps w:val="0"/>
          <w:color w:val="auto"/>
          <w:spacing w:val="0"/>
          <w:kern w:val="0"/>
          <w:sz w:val="32"/>
          <w:szCs w:val="32"/>
          <w:shd w:val="clear" w:fill="FFFFFF"/>
          <w:lang w:val="en-US" w:eastAsia="zh-CN" w:bidi="ar"/>
        </w:rPr>
        <w:t>其他收入233.38万元，占3.46%。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三、支出决算情况说明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本年支出6,751.11万元，其中：基本支出4,572.65万元，占67.73%；项目支出2,178.46万元，占32.27%；上缴上级支出0万元，占0%；经营支出0万元，占0%；对附属单位补助支出0万元，占0%。</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四、财政拨款收入支出决算总体情况说明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2024年度财政拨款收入总计6,517.73万元，其中：年初财政拨款结转和结余0万元，本年财政拨款收入6,517.73万元。财政拨款支出总计6,517.73万元，其中：年末财政拨款结转和结余0万元，本年财政拨款支出6,517.73万元。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pPr>
      <w:r>
        <w:rPr>
          <w:rFonts w:ascii="仿宋_GB2312" w:hAnsi="仿宋_GB2312" w:eastAsia="仿宋_GB2312" w:cs="仿宋_GB2312"/>
          <w:i w:val="0"/>
          <w:iCs w:val="0"/>
          <w:caps w:val="0"/>
          <w:color w:val="auto"/>
          <w:spacing w:val="0"/>
          <w:kern w:val="0"/>
          <w:sz w:val="32"/>
          <w:szCs w:val="32"/>
          <w:shd w:val="clear" w:fill="FFFFFF"/>
          <w:lang w:val="en-US" w:eastAsia="zh-CN" w:bidi="ar"/>
        </w:rPr>
        <w:t>财政拨款收入</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支出总体与上年相比，增加2,213.15万元，增长51.41%，主要原因是：</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一是2024年原来由各乡镇支出的村干部和村民小组长报酬近600余人的工资调整至市委组织部发放。</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与年初预算相比，年初预算数4,816.2万元，决算数6,517.73万元，预决算差异率35.33%，主要原因是：</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一是2024年原来由各乡镇支出的村干部和村民小组长报酬近600余人的工资调整至市委组织部发放。</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五、一般公共预算财政拨款支出决算情况说明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（一）一般公共预算财政拨款支出决算总体情况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highlight w:val="none"/>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2024年度一般公共预算财政拨款支出6,127.77万元，占本年支出合计的90.77%。与上年相比，增加2,353.19万元，增长62.34%，主要原因是：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一</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是2024年原来由各乡镇支出的村干部和村民小组长报酬近600余人的工资调整至市委组织部发放。</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与年初预算相比，年初预算数4,816.2万元，决算数6,127.77万元，预决算差异率27.23%，主要原因是：</w:t>
      </w:r>
      <w:r>
        <w:rPr>
          <w:rFonts w:hint="eastAsia" w:ascii="仿宋_GB2312" w:hAnsi="仿宋_GB2312" w:eastAsia="仿宋_GB2312" w:cs="仿宋_GB2312"/>
          <w:i w:val="0"/>
          <w:iCs w:val="0"/>
          <w:caps w:val="0"/>
          <w:color w:val="auto"/>
          <w:spacing w:val="0"/>
          <w:kern w:val="0"/>
          <w:sz w:val="31"/>
          <w:szCs w:val="31"/>
          <w:highlight w:val="none"/>
          <w:shd w:val="clear" w:fill="FFFFFF"/>
          <w:lang w:val="en-US" w:eastAsia="zh-CN" w:bidi="ar"/>
        </w:rPr>
        <w:t>一是2024年原来由各乡镇支出的村干部和村民小组长报酬近600余人的工资调整至市委组织部发放。</w:t>
      </w:r>
      <w:r>
        <w:rPr>
          <w:rFonts w:hint="eastAsia" w:ascii="Times New Roman" w:hAnsi="Times New Roman" w:eastAsia="方正仿宋_GBK" w:cs="Times New Roman"/>
          <w:color w:val="000000"/>
          <w:spacing w:val="4"/>
          <w:sz w:val="31"/>
          <w:szCs w:val="31"/>
          <w:highlight w:val="none"/>
          <w:lang w:val="en-US" w:eastAsia="zh-CN"/>
        </w:rPr>
        <w:t>二是项目经费支出有所增加，对年度收支产生了较大影响</w:t>
      </w:r>
      <w:r>
        <w:rPr>
          <w:rFonts w:ascii="仿宋_GB2312" w:hAnsi="仿宋_GB2312" w:eastAsia="仿宋_GB2312" w:cs="仿宋_GB2312"/>
          <w:i w:val="0"/>
          <w:iCs w:val="0"/>
          <w:caps w:val="0"/>
          <w:color w:val="auto"/>
          <w:spacing w:val="0"/>
          <w:kern w:val="0"/>
          <w:sz w:val="31"/>
          <w:szCs w:val="31"/>
          <w:highlight w:val="none"/>
          <w:shd w:val="clear"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right="0" w:firstLine="643" w:firstLineChars="200"/>
        <w:jc w:val="both"/>
        <w:textAlignment w:val="auto"/>
        <w:outlineLvl w:val="9"/>
        <w:rPr>
          <w:rFonts w:ascii="仿宋_GB2312" w:hAnsi="仿宋_GB2312" w:eastAsia="仿宋_GB2312" w:cs="仿宋_GB2312"/>
          <w:i w:val="0"/>
          <w:iCs w:val="0"/>
          <w:caps w:val="0"/>
          <w:color w:val="auto"/>
          <w:spacing w:val="0"/>
          <w:sz w:val="32"/>
          <w:szCs w:val="32"/>
          <w:highlight w:val="none"/>
        </w:rPr>
      </w:pPr>
      <w:r>
        <w:rPr>
          <w:rFonts w:ascii="仿宋_GB2312" w:hAnsi="仿宋_GB2312" w:eastAsia="仿宋_GB2312" w:cs="仿宋_GB2312"/>
          <w:b/>
          <w:bCs/>
          <w:i w:val="0"/>
          <w:iCs w:val="0"/>
          <w:caps w:val="0"/>
          <w:color w:val="auto"/>
          <w:spacing w:val="0"/>
          <w:kern w:val="0"/>
          <w:sz w:val="32"/>
          <w:szCs w:val="32"/>
          <w:highlight w:val="none"/>
          <w:shd w:val="clear" w:fill="FFFFFF"/>
          <w:lang w:val="en-US" w:eastAsia="zh-CN" w:bidi="ar"/>
        </w:rPr>
        <w:t>（二）一般公共预算财政拨款支出决算结构情况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一般公共服务支出（类）5,249.</w:t>
      </w:r>
      <w:r>
        <w:rPr>
          <w:rFonts w:ascii="仿宋_GB2312" w:hAnsi="仿宋_GB2312" w:eastAsia="仿宋_GB2312" w:cs="仿宋_GB2312"/>
          <w:i w:val="0"/>
          <w:iCs w:val="0"/>
          <w:caps w:val="0"/>
          <w:color w:val="auto"/>
          <w:spacing w:val="0"/>
          <w:kern w:val="0"/>
          <w:sz w:val="32"/>
          <w:szCs w:val="32"/>
          <w:shd w:val="clear" w:fill="FFFFFF"/>
          <w:lang w:val="en-US" w:eastAsia="zh-CN" w:bidi="ar"/>
        </w:rPr>
        <w:t>64万元，占85.67%。</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教育支出（类）483.17万元，占7.88%。</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社会保障和就业支出（类</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w:t>
      </w:r>
      <w:r>
        <w:rPr>
          <w:rFonts w:ascii="仿宋_GB2312" w:hAnsi="仿宋_GB2312" w:eastAsia="仿宋_GB2312" w:cs="仿宋_GB2312"/>
          <w:i w:val="0"/>
          <w:iCs w:val="0"/>
          <w:caps w:val="0"/>
          <w:color w:val="auto"/>
          <w:spacing w:val="0"/>
          <w:kern w:val="0"/>
          <w:sz w:val="32"/>
          <w:szCs w:val="32"/>
          <w:shd w:val="clear" w:fill="FFFFFF"/>
          <w:lang w:val="en-US" w:eastAsia="zh-CN" w:bidi="ar"/>
        </w:rPr>
        <w:t>203.76万元，占3.33%。​</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xml:space="preserve">  </w:t>
      </w:r>
      <w:r>
        <w:rPr>
          <w:rFonts w:ascii="仿宋_GB2312" w:hAnsi="仿宋_GB2312" w:eastAsia="仿宋_GB2312" w:cs="仿宋_GB2312"/>
          <w:i w:val="0"/>
          <w:iCs w:val="0"/>
          <w:caps w:val="0"/>
          <w:color w:val="auto"/>
          <w:spacing w:val="0"/>
          <w:kern w:val="0"/>
          <w:sz w:val="32"/>
          <w:szCs w:val="32"/>
          <w:shd w:val="clear" w:fill="FFFFFF"/>
          <w:lang w:val="en-US" w:eastAsia="zh-CN" w:bidi="ar"/>
        </w:rPr>
        <w:t>卫生健康支出（类）70.79万元，占1.16%。​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农林水支出（类）18.76万元，占0.31%。​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住房保障支出（类）99.16万元，占1.62%。​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其他支出（类）2.49万元，占0.04%。​</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1、一般公共服务支出（类）党委办公厅（室）及相关机构事务（款）行政运行（项）：支出决算数为381.26万元，与上年决算相比减少33.96万元，下降8.18%，主要原因是：</w:t>
      </w:r>
      <w:r>
        <w:rPr>
          <w:rFonts w:hint="eastAsia" w:ascii="仿宋_GB2312" w:eastAsia="仿宋_GB2312"/>
          <w:b w:val="0"/>
          <w:sz w:val="32"/>
          <w:szCs w:val="32"/>
        </w:rPr>
        <w:t>退休2人、调走2人、死亡1人</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2、一般公共服务支出（类）党委办公厅（室）及相关机构事务（款）其他党委办公厅（室）及相关机构事务支出（项）：支出决算数为31.05万元，与上年决算相比减少1.46万元，下降4.49%，主要原因是：</w:t>
      </w:r>
      <w:r>
        <w:rPr>
          <w:rFonts w:hint="eastAsia" w:ascii="仿宋_GB2312" w:eastAsia="仿宋_GB2312"/>
          <w:b w:val="0"/>
          <w:sz w:val="32"/>
          <w:szCs w:val="32"/>
        </w:rPr>
        <w:t>离退休党支部经费</w:t>
      </w:r>
      <w:r>
        <w:rPr>
          <w:rFonts w:hint="eastAsia" w:ascii="仿宋_GB2312" w:eastAsia="仿宋_GB2312"/>
          <w:b w:val="0"/>
          <w:sz w:val="32"/>
          <w:szCs w:val="32"/>
          <w:lang w:val="en-US" w:eastAsia="zh-CN"/>
        </w:rPr>
        <w:t>较上年度减少</w:t>
      </w:r>
      <w:r>
        <w:rPr>
          <w:rFonts w:hint="eastAsia" w:ascii="仿宋_GB2312" w:eastAsia="仿宋_GB2312"/>
          <w:b w:val="0"/>
          <w:sz w:val="32"/>
          <w:szCs w:val="32"/>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3、一般公共服务支出（类）组织事务（款）行政运行（项）：支出决算数为1,158.51万元，与上年决算相比减少299.76万元，下降20.56%，主要原因是：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一是与2024年相比，2023年发放了2020年绩效考核奖金、补发津补贴、十三个月工资；二是同工同酬人员辞职，支出相应减少；三是厉行节约，办公经费支出减少。</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40" w:firstLineChars="200"/>
        <w:jc w:val="both"/>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4、一般公共服务支出（类）组织事务（款）其他组织事务支出（项）：支出决算数为3,678.82万元，与上年决算相比增加2,938.78万元，增长397.11%，主要原因是：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此项支出新增2024年各乡镇村干部和村民小组长报酬2381.06万元、四老人员生活补助支出。</w:t>
      </w:r>
    </w:p>
    <w:p>
      <w:pPr>
        <w:keepNext w:val="0"/>
        <w:keepLines w:val="0"/>
        <w:pageBreakBefore w:val="0"/>
        <w:widowControl/>
        <w:numPr>
          <w:ilvl w:val="0"/>
          <w:numId w:val="0"/>
        </w:numPr>
        <w:kinsoku/>
        <w:wordWrap/>
        <w:overflowPunct/>
        <w:topLinePunct w:val="0"/>
        <w:autoSpaceDE/>
        <w:autoSpaceDN/>
        <w:bidi w:val="0"/>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5、教育支出（类）进修及培训（款）干部教育（项）：支出决算数为479.12万元，与上年决算相比减少57.76万元，下降10.76%，</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主要原因是：</w:t>
      </w:r>
      <w:r>
        <w:rPr>
          <w:rFonts w:ascii="仿宋_GB2312" w:eastAsia="仿宋_GB2312"/>
          <w:b w:val="0"/>
          <w:sz w:val="32"/>
          <w:szCs w:val="32"/>
          <w:highlight w:val="none"/>
        </w:rPr>
        <w:t>2023</w:t>
      </w:r>
      <w:r>
        <w:rPr>
          <w:rFonts w:ascii="仿宋_GB2312" w:eastAsia="仿宋_GB2312"/>
          <w:b w:val="0"/>
          <w:sz w:val="32"/>
          <w:szCs w:val="32"/>
        </w:rPr>
        <w:t>年按照年初预算安排将社会保障和就业支出（类）行政事业单位养老支出（款）事业单位离退休（项）、社会保障和就业支出（类）行政事业单位养老支出（款）机关事业单位基本养老保险缴费支出（项）、社会保障和就业支出（类）行政事业单位养老支出（款）机关事业单位职业年金缴费支出（项）、卫生健康支出（类）行政事业单位医疗（款）事业单位医疗（项）、住房保障支出（类）住房改革支出（款）住房公积金（项）的支出全部计入教育支出（类）进修及培训（款）干部教育（项）中，导致本年度该款项决算数较上年减少。</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40" w:firstLineChars="200"/>
        <w:jc w:val="both"/>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6、教育支出（类）进修及培训（款）培训支出（项）：支出决算数为4.05万元，与上年决算相比减少5.52万元，下降57.68%，主要原因是：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本年业务培训比上年减少。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7、社会保障和就业支出（类）行政事业单位养老支出（款）行政单位离退休（项）：支出决算数为33.35万元，与上年决算相比增加6.78万元，增长25.52%，主要原因是：</w:t>
      </w:r>
      <w:r>
        <w:rPr>
          <w:rFonts w:hint="eastAsia" w:ascii="仿宋_GB2312" w:eastAsia="仿宋_GB2312"/>
          <w:b w:val="0"/>
          <w:sz w:val="32"/>
          <w:szCs w:val="32"/>
          <w:lang w:val="en-US" w:eastAsia="zh-CN"/>
        </w:rPr>
        <w:t>本年度新增2名退休人员，退休人员绩效奖较上年度增加。</w:t>
      </w:r>
    </w:p>
    <w:p>
      <w:pPr>
        <w:keepNext w:val="0"/>
        <w:keepLines w:val="0"/>
        <w:pageBreakBefore w:val="0"/>
        <w:widowControl/>
        <w:numPr>
          <w:ilvl w:val="0"/>
          <w:numId w:val="0"/>
        </w:numPr>
        <w:kinsoku/>
        <w:wordWrap/>
        <w:overflowPunct/>
        <w:topLinePunct w:val="0"/>
        <w:autoSpaceDE/>
        <w:autoSpaceDN/>
        <w:bidi w:val="0"/>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8、社会保障和就业支出（类）行政事业单位养老支出（款）事业单位离退休（项）：支出决算数为17.38万元，与上年决算相比增加17.38万元，增长100%，主要原因是：</w:t>
      </w:r>
      <w:r>
        <w:rPr>
          <w:rFonts w:ascii="仿宋_GB2312" w:eastAsia="仿宋_GB2312"/>
          <w:b w:val="0"/>
          <w:sz w:val="32"/>
          <w:szCs w:val="32"/>
        </w:rPr>
        <w:t>上年预算未安排此项经费，上年度按照年初预算安排该款项支出计入教育支出（类）进修及培训（款）干部教育（项）中，导致本年度该款项决算数较上年100%增长。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9、社会保障和就业支出（类）行政事业单位养老支出（款）机关事业单位基本养老保险缴费支出（项）：支出决算数为127.82万元，与上年决算相比增加38.01万元，增长42.32%，主要原因是：</w:t>
      </w:r>
      <w:r>
        <w:rPr>
          <w:rFonts w:hint="default" w:ascii="仿宋_GB2312" w:hAnsi="Times New Roman" w:eastAsia="仿宋_GB2312" w:cs="Times New Roman"/>
          <w:sz w:val="32"/>
          <w:szCs w:val="32"/>
          <w:highlight w:val="none"/>
          <w:lang w:val="en-US" w:eastAsia="zh-CN"/>
        </w:rPr>
        <w:t>本年养老保险缴费基数上调</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10、社会保障和就业支出（类）行政事业单位养老支出（款）机关事业单位职业年金缴费支出（项）：支出决算数为25.22万元，与上年决算相比增加13.16万元，增长109.12%，主要原因是：</w:t>
      </w:r>
      <w:r>
        <w:rPr>
          <w:rFonts w:ascii="仿宋_GB2312" w:hAnsi="Calibri" w:eastAsia="仿宋_GB2312" w:cs="Times New Roman"/>
          <w:b w:val="0"/>
          <w:kern w:val="0"/>
          <w:sz w:val="32"/>
          <w:szCs w:val="32"/>
        </w:rPr>
        <w:t>上年度</w:t>
      </w:r>
      <w:r>
        <w:rPr>
          <w:rFonts w:hint="eastAsia" w:ascii="仿宋_GB2312" w:hAnsi="Calibri" w:eastAsia="仿宋_GB2312" w:cs="Times New Roman"/>
          <w:b w:val="0"/>
          <w:kern w:val="0"/>
          <w:sz w:val="32"/>
          <w:szCs w:val="32"/>
          <w:lang w:val="en-US" w:eastAsia="zh-CN"/>
        </w:rPr>
        <w:t>市委党校</w:t>
      </w:r>
      <w:r>
        <w:rPr>
          <w:rFonts w:ascii="仿宋_GB2312" w:hAnsi="Calibri" w:eastAsia="仿宋_GB2312" w:cs="Times New Roman"/>
          <w:b w:val="0"/>
          <w:kern w:val="0"/>
          <w:sz w:val="32"/>
          <w:szCs w:val="32"/>
        </w:rPr>
        <w:t>按照年初预算安排该款项支出计入教育支出（类）进修及培训（款）干部教育（项）中，导致本年度该款项决算数较上年增长。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ascii="仿宋_GB2312" w:hAnsi="仿宋_GB2312" w:eastAsia="仿宋_GB2312" w:cs="仿宋_GB2312"/>
          <w:i w:val="0"/>
          <w:iCs w:val="0"/>
          <w:caps w:val="0"/>
          <w:color w:val="auto"/>
          <w:spacing w:val="0"/>
          <w:kern w:val="0"/>
          <w:sz w:val="32"/>
          <w:szCs w:val="32"/>
          <w:shd w:val="clear" w:fill="FFFFFF"/>
          <w:lang w:val="en-US" w:eastAsia="zh-CN" w:bidi="ar"/>
        </w:rPr>
        <w:t>11、社会保障和就业支出（类）就业补助（款）公益性岗位补贴（项）：支出决算数为0万元，与上年决算相比减少3.37万元，下降100%</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，主要原因是：</w:t>
      </w:r>
      <w:r>
        <w:rPr>
          <w:rFonts w:hint="eastAsia" w:ascii="仿宋_GB2312" w:eastAsia="仿宋_GB2312"/>
          <w:b w:val="0"/>
          <w:sz w:val="32"/>
          <w:szCs w:val="32"/>
          <w:highlight w:val="none"/>
          <w:lang w:val="en-US" w:eastAsia="zh-CN"/>
        </w:rPr>
        <w:t>公益</w:t>
      </w:r>
      <w:r>
        <w:rPr>
          <w:rFonts w:hint="eastAsia" w:ascii="仿宋_GB2312" w:eastAsia="仿宋_GB2312"/>
          <w:b w:val="0"/>
          <w:sz w:val="32"/>
          <w:szCs w:val="32"/>
          <w:lang w:val="en-US" w:eastAsia="zh-CN"/>
        </w:rPr>
        <w:t>性岗位人员减少，无支出。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12、卫生健康支出（类）行政事业单位医疗（款）行政单位医疗（项）：支出决算数为43.43万元，与上年决算相比减少0.41万元，下降0.94%，</w:t>
      </w:r>
      <w:r>
        <w:rPr>
          <w:rFonts w:ascii="仿宋_GB2312" w:eastAsia="仿宋_GB2312"/>
          <w:b w:val="0"/>
          <w:sz w:val="32"/>
          <w:szCs w:val="32"/>
          <w:lang w:val="en-US" w:eastAsia="zh-CN"/>
        </w:rPr>
        <w:t>主要原因是：</w:t>
      </w:r>
      <w:r>
        <w:rPr>
          <w:rFonts w:hint="eastAsia" w:ascii="仿宋_GB2312" w:eastAsia="仿宋_GB2312"/>
          <w:b w:val="0"/>
          <w:sz w:val="32"/>
          <w:szCs w:val="32"/>
        </w:rPr>
        <w:t>退休2人、调走2人、死亡1人</w:t>
      </w:r>
      <w:r>
        <w:rPr>
          <w:rFonts w:hint="eastAsia" w:ascii="仿宋_GB2312" w:eastAsia="仿宋_GB2312"/>
          <w:b w:val="0"/>
          <w:sz w:val="32"/>
          <w:szCs w:val="32"/>
          <w:lang w:eastAsia="zh-CN"/>
        </w:rPr>
        <w:t>，</w:t>
      </w:r>
      <w:r>
        <w:rPr>
          <w:rFonts w:ascii="仿宋_GB2312" w:eastAsia="仿宋_GB2312"/>
          <w:b w:val="0"/>
          <w:sz w:val="32"/>
          <w:szCs w:val="32"/>
        </w:rPr>
        <w:t>行政单位医疗</w:t>
      </w:r>
      <w:r>
        <w:rPr>
          <w:rFonts w:hint="eastAsia" w:ascii="仿宋_GB2312" w:eastAsia="仿宋_GB2312"/>
          <w:b w:val="0"/>
          <w:sz w:val="32"/>
          <w:szCs w:val="32"/>
          <w:lang w:val="en-US" w:eastAsia="zh-CN"/>
        </w:rPr>
        <w:t>支出减少</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13、卫生健康支出（类）行政事业单位医疗（款）事业单位医疗（项）：支出决算数为15.03万元，与上年决算相比增加15.03万元，增长100%，主要原因是：</w:t>
      </w:r>
      <w:r>
        <w:rPr>
          <w:rFonts w:ascii="仿宋_GB2312" w:eastAsia="仿宋_GB2312"/>
          <w:b w:val="0"/>
          <w:sz w:val="32"/>
          <w:szCs w:val="32"/>
        </w:rPr>
        <w:t>上年预算未安排此项经费，上年度按照年初预算安排该款项支出计入教育支出（类）进修及培训（款）干部教育（项）中，导致本年度该款项决算数较上年100%增长。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14、卫生健康支出（类）行政事业单位医疗（款）公务员医疗补助（项）：支出决算数为12.33万元，与上年决算相比减少0.06万元，下降0.48%，主要原因是：</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退休2人、调走2人、死亡1人，公务员</w:t>
      </w:r>
      <w:r>
        <w:rPr>
          <w:rFonts w:ascii="仿宋_GB2312" w:eastAsia="仿宋_GB2312"/>
          <w:b w:val="0"/>
          <w:sz w:val="32"/>
          <w:szCs w:val="32"/>
        </w:rPr>
        <w:t>医疗</w:t>
      </w:r>
      <w:r>
        <w:rPr>
          <w:rFonts w:hint="eastAsia" w:ascii="仿宋_GB2312" w:eastAsia="仿宋_GB2312"/>
          <w:b w:val="0"/>
          <w:sz w:val="32"/>
          <w:szCs w:val="32"/>
          <w:lang w:val="en-US" w:eastAsia="zh-CN"/>
        </w:rPr>
        <w:t>补助支出减少</w:t>
      </w:r>
      <w:r>
        <w:rPr>
          <w:rFonts w:hint="eastAsia" w:ascii="仿宋_GB2312" w:eastAsia="仿宋_GB2312"/>
          <w:b w:val="0"/>
          <w:sz w:val="32"/>
          <w:szCs w:val="32"/>
          <w:lang w:eastAsia="zh-CN"/>
        </w:rPr>
        <w:t>。</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40" w:firstLineChars="200"/>
        <w:jc w:val="both"/>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15、农林水支出（类）农村综合改革（款）对村民委员会和村党支部的补助（项）：支出决算数为18.76万元，与上年决算相比增加0.76万元，增长4.22%，主要原因是：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此项支出为2024年</w:t>
      </w:r>
      <w:r>
        <w:rPr>
          <w:rFonts w:ascii="仿宋_GB2312" w:hAnsi="仿宋_GB2312" w:eastAsia="仿宋_GB2312" w:cs="仿宋_GB2312"/>
          <w:i w:val="0"/>
          <w:iCs w:val="0"/>
          <w:caps w:val="0"/>
          <w:color w:val="auto"/>
          <w:spacing w:val="0"/>
          <w:kern w:val="0"/>
          <w:sz w:val="31"/>
          <w:szCs w:val="31"/>
          <w:shd w:val="clear" w:fill="FFFFFF"/>
          <w:lang w:val="en-US" w:eastAsia="zh-CN" w:bidi="ar"/>
        </w:rPr>
        <w:t>村干部意外伤害保险</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和</w:t>
      </w:r>
      <w:r>
        <w:rPr>
          <w:rFonts w:ascii="仿宋_GB2312" w:hAnsi="仿宋_GB2312" w:eastAsia="仿宋_GB2312" w:cs="仿宋_GB2312"/>
          <w:i w:val="0"/>
          <w:iCs w:val="0"/>
          <w:caps w:val="0"/>
          <w:color w:val="auto"/>
          <w:spacing w:val="0"/>
          <w:kern w:val="0"/>
          <w:sz w:val="31"/>
          <w:szCs w:val="31"/>
          <w:shd w:val="clear" w:fill="FFFFFF"/>
          <w:lang w:val="en-US" w:eastAsia="zh-CN" w:bidi="ar"/>
        </w:rPr>
        <w:t>农牧民身份村党组书记养老保险</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，由于本年度</w:t>
      </w:r>
      <w:r>
        <w:rPr>
          <w:rFonts w:hint="default" w:ascii="仿宋_GB2312" w:hAnsi="Times New Roman" w:eastAsia="仿宋_GB2312" w:cs="Times New Roman"/>
          <w:sz w:val="32"/>
          <w:szCs w:val="32"/>
          <w:highlight w:val="none"/>
          <w:lang w:val="en-US" w:eastAsia="zh-CN"/>
        </w:rPr>
        <w:t>养老保险缴费基数上调</w:t>
      </w:r>
      <w:r>
        <w:rPr>
          <w:rFonts w:hint="eastAsia" w:ascii="仿宋_GB2312" w:hAnsi="Times New Roman" w:eastAsia="仿宋_GB2312" w:cs="Times New Roman"/>
          <w:sz w:val="32"/>
          <w:szCs w:val="32"/>
          <w:highlight w:val="none"/>
          <w:lang w:val="en-US" w:eastAsia="zh-CN"/>
        </w:rPr>
        <w:t>而增长。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16、住房保障支出（类）住房改革支出（款）住房公积金（项）：支出决算数为99.16万元，与上年决算相比增加27.54万元，增长38.45%，主要原因是：</w:t>
      </w:r>
      <w:r>
        <w:rPr>
          <w:rFonts w:hint="default" w:ascii="仿宋_GB2312" w:hAnsi="Times New Roman" w:eastAsia="仿宋_GB2312" w:cs="Times New Roman"/>
          <w:sz w:val="32"/>
          <w:szCs w:val="32"/>
          <w:highlight w:val="none"/>
          <w:lang w:val="en-US" w:eastAsia="zh-CN"/>
        </w:rPr>
        <w:t>本年住房公积金缴费基数上调</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suppressLineNumbers w:val="0"/>
        <w:shd w:val="clear"/>
        <w:kinsoku/>
        <w:wordWrap/>
        <w:overflowPunct/>
        <w:topLinePunct w:val="0"/>
        <w:autoSpaceDE/>
        <w:autoSpaceDN/>
        <w:bidi w:val="0"/>
        <w:adjustRightInd/>
        <w:snapToGrid/>
        <w:spacing w:line="560" w:lineRule="exact"/>
        <w:ind w:left="0" w:firstLine="640" w:firstLineChars="200"/>
        <w:jc w:val="both"/>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17、其他支出（类）其他支出（款）其他支出（项）：支出决算数为2.49万元，与上年决算相比减少301.95万元，下降99.18%，主要原因是：</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2024年四老人员生活补助支出调整至其他科目。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六、一般公共预算财政拨款基本支出决算情况说明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一般公共预算财政拨款基本支出4,572.65万元，其中：人员经费4,244.88万元，包括：基本工资、津贴补贴、奖金、机关事业单位基本养老保险缴费、职业年金缴费、职工基本医疗保险缴费、公务员医疗补助缴费、其他社会保障缴费、住房公积金、其他工资福利支出、退休费、抚恤金、生活补助和奖励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公用经费327.77万元，包括：办公费、水费、电费、邮电费、取暖费、物业管理费、差旅费、培训费、劳务费、工会经费、福利费、公务用车运行维护费和其他商品和服务支出​。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七、政府性基金预算财政拨款收入支出决算情况说明​如不公开此处内容请勾选此按钮​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2024年度政府性基金预算财政拨款收入总计389.96万元，其中：年初结转和结余0万元，本年收入389.96万元。政府性基金预算财政拨款支出总计389.96万元，其中：年末结转和结余0万元，本年支出389.96万元。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eastAsia="仿宋_GB2312"/>
          <w:b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政府性基金预算财政拨款收入支出总体与上年相比，减少140.04万元</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w:t>
      </w:r>
      <w:r>
        <w:rPr>
          <w:rFonts w:ascii="仿宋_GB2312" w:hAnsi="仿宋_GB2312" w:eastAsia="仿宋_GB2312" w:cs="仿宋_GB2312"/>
          <w:i w:val="0"/>
          <w:iCs w:val="0"/>
          <w:caps w:val="0"/>
          <w:color w:val="auto"/>
          <w:spacing w:val="0"/>
          <w:kern w:val="0"/>
          <w:sz w:val="32"/>
          <w:szCs w:val="32"/>
          <w:shd w:val="clear" w:fill="FFFFFF"/>
          <w:lang w:val="en-US" w:eastAsia="zh-CN" w:bidi="ar"/>
        </w:rPr>
        <w:t>下降26.42%，主要原因是：巴州库尔勒市党校食宿综合楼项目施工费以前年度已支付70%款项，本年度该工程进行决算审计后支付25%余款，所以较上年大幅减少。与年初预算相比，年初预算数0万元，决算数389.96万元，预决算差异率100%，主要原因是：</w:t>
      </w:r>
      <w:r>
        <w:rPr>
          <w:rFonts w:ascii="仿宋_GB2312" w:eastAsia="仿宋_GB2312"/>
          <w:b w:val="0"/>
          <w:sz w:val="32"/>
          <w:szCs w:val="32"/>
        </w:rPr>
        <w:t>巴州库尔勒市党校食宿综合楼项目为本年年中追加的预算项目，年初未安排此项预算。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政府性基金预算财政拨款支出389.96万元。</w:t>
      </w:r>
    </w:p>
    <w:p>
      <w:pPr>
        <w:keepNext w:val="0"/>
        <w:keepLines w:val="0"/>
        <w:pageBreakBefore w:val="0"/>
        <w:widowControl/>
        <w:numPr>
          <w:ilvl w:val="0"/>
          <w:numId w:val="0"/>
        </w:numPr>
        <w:kinsoku/>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1、城乡社区支出（类）国有土地使用权出让收入安排的支出（款）其他国有土地使用权出让收入安排的支出（项）：支出决算数为389.96万元，与上年决算相比减少140.04万元，下降26.42%，主要原因是：</w:t>
      </w:r>
      <w:r>
        <w:rPr>
          <w:rFonts w:ascii="仿宋_GB2312" w:eastAsia="仿宋_GB2312"/>
          <w:b w:val="0"/>
          <w:sz w:val="32"/>
          <w:szCs w:val="32"/>
        </w:rPr>
        <w:t>巴州库尔勒市党校食宿综合楼项目施工费以前年度已支付70%款项，本年度该工程进行决算审计后支付25%余款，所以较上年大幅减少。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八、国有资本经营预算财政拨款收入支出决算情况说明​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本部门本年度无国有资本经营预算财政拨款收入、支出及结转和结余，国有资本经营预算财政拨款收入支出决算表为空表。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九、财政拨款“三公”经费支出决算情况说明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eastAsia="仿宋_GB2312"/>
          <w:b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2024年度财政拨款“三公”经费支出11.97万元，比上年减少2.76万元，下降18.7</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4%，主要原因是：</w:t>
      </w:r>
      <w:r>
        <w:rPr>
          <w:rFonts w:hint="default" w:ascii="Times New Roman" w:hAnsi="Times New Roman" w:eastAsia="方正仿宋_GBK" w:cs="Times New Roman"/>
          <w:color w:val="auto"/>
          <w:sz w:val="31"/>
          <w:szCs w:val="31"/>
          <w:highlight w:val="none"/>
          <w:lang w:val="en-US" w:eastAsia="zh-CN"/>
        </w:rPr>
        <w:t>厉行节约，车辆运行经费减少</w:t>
      </w:r>
      <w:r>
        <w:rPr>
          <w:rFonts w:hint="default" w:ascii="Times New Roman" w:hAnsi="Times New Roman" w:eastAsia="方正仿宋_GBK" w:cs="Times New Roman"/>
          <w:color w:val="auto"/>
          <w:sz w:val="31"/>
          <w:szCs w:val="31"/>
          <w:highlight w:val="none"/>
        </w:rPr>
        <w:t>。</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其中：因公出国（境）费支出0万元,占0%，与上年相比无变化，主要原因是：</w:t>
      </w:r>
      <w:r>
        <w:rPr>
          <w:rFonts w:ascii="仿宋_GB2312" w:eastAsia="仿宋_GB2312"/>
          <w:b w:val="0"/>
          <w:sz w:val="32"/>
          <w:szCs w:val="32"/>
          <w:highlight w:val="none"/>
        </w:rPr>
        <w:t>本年我单位无因公出国（境）费支出；</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公务用车购置及运行维护费支出11.97万元，占100%，比上年减少2.76万元，下降18.74%，主要原因是：</w:t>
      </w:r>
      <w:r>
        <w:rPr>
          <w:rFonts w:hint="default" w:ascii="Times New Roman" w:hAnsi="Times New Roman" w:eastAsia="方正仿宋_GBK" w:cs="Times New Roman"/>
          <w:color w:val="auto"/>
          <w:sz w:val="31"/>
          <w:szCs w:val="31"/>
          <w:highlight w:val="none"/>
          <w:lang w:val="en-US" w:eastAsia="zh-CN"/>
        </w:rPr>
        <w:t>厉行</w:t>
      </w:r>
      <w:r>
        <w:rPr>
          <w:rFonts w:hint="default" w:ascii="Times New Roman" w:hAnsi="Times New Roman" w:eastAsia="方正仿宋_GBK" w:cs="Times New Roman"/>
          <w:color w:val="auto"/>
          <w:sz w:val="31"/>
          <w:szCs w:val="31"/>
          <w:lang w:val="en-US" w:eastAsia="zh-CN"/>
        </w:rPr>
        <w:t>节约，车辆运行经费减少</w:t>
      </w:r>
      <w:r>
        <w:rPr>
          <w:rFonts w:hint="eastAsia" w:ascii="Times New Roman" w:hAnsi="Times New Roman" w:eastAsia="方正仿宋_GBK" w:cs="Times New Roman"/>
          <w:color w:val="auto"/>
          <w:sz w:val="31"/>
          <w:szCs w:val="31"/>
          <w:lang w:val="en-US" w:eastAsia="zh-CN"/>
        </w:rPr>
        <w:t>；</w:t>
      </w:r>
      <w:r>
        <w:rPr>
          <w:rFonts w:ascii="仿宋_GB2312" w:hAnsi="仿宋_GB2312" w:eastAsia="仿宋_GB2312" w:cs="仿宋_GB2312"/>
          <w:i w:val="0"/>
          <w:iCs w:val="0"/>
          <w:caps w:val="0"/>
          <w:color w:val="auto"/>
          <w:spacing w:val="0"/>
          <w:kern w:val="0"/>
          <w:sz w:val="32"/>
          <w:szCs w:val="32"/>
          <w:shd w:val="clear" w:fill="FFFFFF"/>
          <w:lang w:val="en-US" w:eastAsia="zh-CN" w:bidi="ar"/>
        </w:rPr>
        <w:t>公务接待费支出0万元，占0%，与上年相比无变化主要原因是：</w:t>
      </w:r>
      <w:r>
        <w:rPr>
          <w:rFonts w:ascii="仿宋_GB2312" w:eastAsia="仿宋_GB2312"/>
          <w:b w:val="0"/>
          <w:sz w:val="32"/>
          <w:szCs w:val="32"/>
        </w:rPr>
        <w:t>我单位无公务接待费支出。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具体情况如下：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因公出国（境）费支出0万元，</w:t>
      </w:r>
      <w:r>
        <w:rPr>
          <w:rFonts w:ascii="仿宋_GB2312" w:eastAsia="仿宋_GB2312"/>
          <w:b w:val="0"/>
          <w:sz w:val="32"/>
          <w:szCs w:val="32"/>
        </w:rPr>
        <w:t>开支内容包括我单位无因公出国（境）费支出。</w:t>
      </w:r>
      <w:r>
        <w:rPr>
          <w:rFonts w:ascii="仿宋_GB2312" w:hAnsi="仿宋_GB2312" w:eastAsia="仿宋_GB2312" w:cs="仿宋_GB2312"/>
          <w:i w:val="0"/>
          <w:iCs w:val="0"/>
          <w:caps w:val="0"/>
          <w:color w:val="auto"/>
          <w:spacing w:val="0"/>
          <w:kern w:val="0"/>
          <w:sz w:val="32"/>
          <w:szCs w:val="32"/>
          <w:shd w:val="clear" w:fill="FFFFFF"/>
          <w:lang w:val="en-US" w:eastAsia="zh-CN" w:bidi="ar"/>
        </w:rPr>
        <w:t>单位全年安排的因公出国（境）团组0个，因公出国（境）0人次。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公务用车购置及运行维护费11.97万元，其中：公务用车购置费0万元，公务用车运行维护费11.97万元。公务用车运行维护费开支内容包括</w:t>
      </w:r>
      <w:r>
        <w:rPr>
          <w:rFonts w:ascii="仿宋_GB2312" w:eastAsia="仿宋_GB2312"/>
          <w:b w:val="0"/>
          <w:sz w:val="32"/>
          <w:szCs w:val="32"/>
          <w:highlight w:val="none"/>
        </w:rPr>
        <w:t>车辆保险费、车辆保养维修费、车辆燃油费。</w:t>
      </w:r>
      <w:r>
        <w:rPr>
          <w:rFonts w:ascii="仿宋_GB2312" w:hAnsi="仿宋_GB2312" w:eastAsia="仿宋_GB2312" w:cs="仿宋_GB2312"/>
          <w:i w:val="0"/>
          <w:iCs w:val="0"/>
          <w:caps w:val="0"/>
          <w:color w:val="auto"/>
          <w:spacing w:val="0"/>
          <w:kern w:val="0"/>
          <w:sz w:val="32"/>
          <w:szCs w:val="32"/>
          <w:highlight w:val="none"/>
          <w:shd w:val="clear" w:fill="FFFFFF"/>
          <w:lang w:val="en-US" w:eastAsia="zh-CN" w:bidi="ar"/>
        </w:rPr>
        <w:t>公务用车</w:t>
      </w:r>
      <w:r>
        <w:rPr>
          <w:rFonts w:ascii="仿宋_GB2312" w:hAnsi="仿宋_GB2312" w:eastAsia="仿宋_GB2312" w:cs="仿宋_GB2312"/>
          <w:i w:val="0"/>
          <w:iCs w:val="0"/>
          <w:caps w:val="0"/>
          <w:color w:val="auto"/>
          <w:spacing w:val="0"/>
          <w:kern w:val="0"/>
          <w:sz w:val="32"/>
          <w:szCs w:val="32"/>
          <w:shd w:val="clear" w:fill="FFFFFF"/>
          <w:lang w:val="en-US" w:eastAsia="zh-CN" w:bidi="ar"/>
        </w:rPr>
        <w:t>购置数0辆，公务用车保有量8辆。国有资产占用情况中固定资产车辆8辆，与公务用车保有量差异原因是：</w:t>
      </w:r>
      <w:r>
        <w:rPr>
          <w:rFonts w:ascii="仿宋_GB2312" w:eastAsia="仿宋_GB2312"/>
          <w:b w:val="0"/>
          <w:sz w:val="32"/>
          <w:szCs w:val="32"/>
        </w:rPr>
        <w:t>无差异。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公务接待费0万元，开支内容包括</w:t>
      </w:r>
      <w:r>
        <w:rPr>
          <w:rFonts w:ascii="仿宋_GB2312" w:eastAsia="仿宋_GB2312"/>
          <w:b w:val="0"/>
          <w:sz w:val="32"/>
          <w:szCs w:val="32"/>
        </w:rPr>
        <w:t>本年未安排公务接待费支出，无开支内容。</w:t>
      </w:r>
      <w:r>
        <w:rPr>
          <w:rFonts w:ascii="仿宋_GB2312" w:hAnsi="仿宋_GB2312" w:eastAsia="仿宋_GB2312" w:cs="仿宋_GB2312"/>
          <w:i w:val="0"/>
          <w:iCs w:val="0"/>
          <w:caps w:val="0"/>
          <w:color w:val="auto"/>
          <w:spacing w:val="0"/>
          <w:kern w:val="0"/>
          <w:sz w:val="32"/>
          <w:szCs w:val="32"/>
          <w:shd w:val="clear" w:fill="FFFFFF"/>
          <w:lang w:val="en-US" w:eastAsia="zh-CN" w:bidi="ar"/>
        </w:rPr>
        <w:t>单位全年安排的国内公务接待0批次，0人次。</w:t>
      </w:r>
    </w:p>
    <w:p>
      <w:pPr>
        <w:keepNext w:val="0"/>
        <w:keepLines w:val="0"/>
        <w:pageBreakBefore w:val="0"/>
        <w:widowControl/>
        <w:kinsoku/>
        <w:overflowPunct/>
        <w:topLinePunct w:val="0"/>
        <w:autoSpaceDE/>
        <w:autoSpaceDN/>
        <w:bidi w:val="0"/>
        <w:spacing w:before="0" w:beforeLines="0" w:beforeAutospacing="0" w:after="0" w:afterLines="0" w:afterAutospacing="0" w:line="560" w:lineRule="exact"/>
        <w:ind w:firstLine="640" w:firstLineChars="200"/>
        <w:jc w:val="both"/>
        <w:textAlignment w:val="auto"/>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与全年预算相比，财政拨款“三公”经费支出全年预算数11.97万元，决算数11.97万元，预决算差异率0%，主要原因是：</w:t>
      </w:r>
      <w:r>
        <w:rPr>
          <w:rFonts w:ascii="仿宋_GB2312" w:eastAsia="仿宋_GB2312"/>
          <w:b w:val="0"/>
          <w:sz w:val="32"/>
          <w:szCs w:val="32"/>
        </w:rPr>
        <w:t>预决算一致，无差异。</w:t>
      </w:r>
      <w:r>
        <w:rPr>
          <w:rFonts w:ascii="仿宋_GB2312" w:hAnsi="仿宋_GB2312" w:eastAsia="仿宋_GB2312" w:cs="仿宋_GB2312"/>
          <w:i w:val="0"/>
          <w:iCs w:val="0"/>
          <w:caps w:val="0"/>
          <w:color w:val="auto"/>
          <w:spacing w:val="0"/>
          <w:kern w:val="0"/>
          <w:sz w:val="32"/>
          <w:szCs w:val="32"/>
          <w:shd w:val="clear" w:fill="FFFFFF"/>
          <w:lang w:val="en-US" w:eastAsia="zh-CN" w:bidi="ar"/>
        </w:rPr>
        <w:t>其中：因公出国（境）费全年预算数0万元，决算数0万元，预决算差异率0%，主要原因是：</w:t>
      </w:r>
      <w:r>
        <w:rPr>
          <w:rFonts w:ascii="仿宋_GB2312" w:eastAsia="仿宋_GB2312"/>
          <w:b w:val="0"/>
          <w:sz w:val="32"/>
          <w:szCs w:val="32"/>
        </w:rPr>
        <w:t>我单位无因公出国（境）费支出。</w:t>
      </w:r>
      <w:r>
        <w:rPr>
          <w:rFonts w:ascii="仿宋_GB2312" w:hAnsi="仿宋_GB2312" w:eastAsia="仿宋_GB2312" w:cs="仿宋_GB2312"/>
          <w:i w:val="0"/>
          <w:iCs w:val="0"/>
          <w:caps w:val="0"/>
          <w:color w:val="auto"/>
          <w:spacing w:val="0"/>
          <w:kern w:val="0"/>
          <w:sz w:val="32"/>
          <w:szCs w:val="32"/>
          <w:shd w:val="clear" w:fill="FFFFFF"/>
          <w:lang w:val="en-US" w:eastAsia="zh-CN" w:bidi="ar"/>
        </w:rPr>
        <w:t>公务用车购置费全年预算数0万元，决算数0万元，预决算差异率0%，主要原因是：</w:t>
      </w:r>
      <w:r>
        <w:rPr>
          <w:rFonts w:ascii="仿宋_GB2312" w:eastAsia="仿宋_GB2312"/>
          <w:b w:val="0"/>
          <w:sz w:val="32"/>
          <w:szCs w:val="32"/>
        </w:rPr>
        <w:t>我单位无公务用车购置费支出。</w:t>
      </w:r>
      <w:r>
        <w:rPr>
          <w:rFonts w:ascii="仿宋_GB2312" w:hAnsi="仿宋_GB2312" w:eastAsia="仿宋_GB2312" w:cs="仿宋_GB2312"/>
          <w:i w:val="0"/>
          <w:iCs w:val="0"/>
          <w:caps w:val="0"/>
          <w:color w:val="auto"/>
          <w:spacing w:val="0"/>
          <w:kern w:val="0"/>
          <w:sz w:val="32"/>
          <w:szCs w:val="32"/>
          <w:shd w:val="clear" w:fill="FFFFFF"/>
          <w:lang w:val="en-US" w:eastAsia="zh-CN" w:bidi="ar"/>
        </w:rPr>
        <w:t>公务用车运行维护费全年预算数11.97万元，决算数11.97万元，预决算差异率0%，主要原因是：</w:t>
      </w:r>
      <w:r>
        <w:rPr>
          <w:rFonts w:ascii="仿宋_GB2312" w:eastAsia="仿宋_GB2312"/>
          <w:b w:val="0"/>
          <w:sz w:val="32"/>
          <w:szCs w:val="32"/>
        </w:rPr>
        <w:t>预决算一致，无差异。</w:t>
      </w:r>
      <w:r>
        <w:rPr>
          <w:rFonts w:ascii="仿宋_GB2312" w:hAnsi="仿宋_GB2312" w:eastAsia="仿宋_GB2312" w:cs="仿宋_GB2312"/>
          <w:i w:val="0"/>
          <w:iCs w:val="0"/>
          <w:caps w:val="0"/>
          <w:color w:val="auto"/>
          <w:spacing w:val="0"/>
          <w:kern w:val="0"/>
          <w:sz w:val="32"/>
          <w:szCs w:val="32"/>
          <w:shd w:val="clear" w:fill="FFFFFF"/>
          <w:lang w:val="en-US" w:eastAsia="zh-CN" w:bidi="ar"/>
        </w:rPr>
        <w:t>公务接待费全年预算数0万元，决算数0万元，预决算差异率0%，主要原因是：</w:t>
      </w:r>
      <w:r>
        <w:rPr>
          <w:rFonts w:ascii="仿宋_GB2312" w:eastAsia="仿宋_GB2312"/>
          <w:b w:val="0"/>
          <w:sz w:val="32"/>
          <w:szCs w:val="32"/>
        </w:rPr>
        <w:t>我单位无公务接待费支出。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十、其他重要事项的情况说明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2024年度中共库尔勒市委员会组织部（行政单位和参照公务员法管理事业单位）</w:t>
      </w:r>
      <w:r>
        <w:rPr>
          <w:rFonts w:ascii="仿宋_GB2312" w:hAnsi="仿宋_GB2312" w:eastAsia="仿宋_GB2312" w:cs="仿宋_GB2312"/>
          <w:i w:val="0"/>
          <w:iCs w:val="0"/>
          <w:caps w:val="0"/>
          <w:color w:val="auto"/>
          <w:spacing w:val="0"/>
          <w:kern w:val="0"/>
          <w:sz w:val="32"/>
          <w:szCs w:val="32"/>
          <w:shd w:val="clear" w:fill="FFFFFF"/>
          <w:lang w:val="en-US" w:eastAsia="zh-CN" w:bidi="ar"/>
        </w:rPr>
        <w:t>机关运行经费支出284.58万元，比上年增加33.03万元，增长13.13%，主要原因是</w:t>
      </w:r>
      <w:r>
        <w:rPr>
          <w:rFonts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r>
        <w:rPr>
          <w:rFonts w:hint="eastAsia" w:ascii="仿宋_GB2312" w:eastAsia="仿宋_GB2312"/>
          <w:b w:val="0"/>
          <w:color w:val="000000" w:themeColor="text1"/>
          <w:sz w:val="32"/>
          <w:szCs w:val="32"/>
          <w:lang w:val="en-US" w:eastAsia="zh-CN"/>
          <w14:textFill>
            <w14:solidFill>
              <w14:schemeClr w14:val="tx1"/>
            </w14:solidFill>
          </w14:textFill>
        </w:rPr>
        <w:t>增加了老干部活动经费支出</w:t>
      </w:r>
      <w:r>
        <w:rPr>
          <w:rFonts w:ascii="仿宋_GB2312" w:eastAsia="仿宋_GB2312"/>
          <w:b w:val="0"/>
          <w:color w:val="000000" w:themeColor="text1"/>
          <w:sz w:val="32"/>
          <w:szCs w:val="32"/>
          <w14:textFill>
            <w14:solidFill>
              <w14:schemeClr w14:val="tx1"/>
            </w14:solidFill>
          </w14:textFill>
        </w:rPr>
        <w:t>。</w:t>
      </w:r>
    </w:p>
    <w:p>
      <w:pPr>
        <w:keepNext w:val="0"/>
        <w:keepLines w:val="0"/>
        <w:pageBreakBefore w:val="0"/>
        <w:widowControl/>
        <w:kinsoku/>
        <w:overflowPunct/>
        <w:topLinePunct w:val="0"/>
        <w:autoSpaceDE/>
        <w:autoSpaceDN/>
        <w:bidi w:val="0"/>
        <w:spacing w:before="0" w:beforeLines="0" w:beforeAutospacing="0" w:after="0" w:afterLines="0" w:afterAutospacing="0" w:line="560" w:lineRule="exact"/>
        <w:ind w:firstLine="640" w:firstLineChars="200"/>
        <w:jc w:val="both"/>
        <w:textAlignment w:val="auto"/>
        <w:rPr>
          <w:rFonts w:ascii="仿宋_GB2312" w:hAnsi="仿宋_GB2312" w:eastAsia="仿宋_GB2312" w:cs="仿宋_GB2312"/>
          <w:i w:val="0"/>
          <w:iCs w:val="0"/>
          <w:caps w:val="0"/>
          <w:color w:val="auto"/>
          <w:spacing w:val="0"/>
          <w:sz w:val="32"/>
          <w:szCs w:val="32"/>
          <w:highlight w:val="none"/>
          <w:u w:val="single"/>
        </w:rPr>
      </w:pPr>
      <w:r>
        <w:rPr>
          <w:rFonts w:hint="eastAsia" w:ascii="仿宋_GB2312" w:hAnsi="仿宋_GB2312" w:eastAsia="仿宋_GB2312" w:cs="仿宋_GB2312"/>
          <w:i w:val="0"/>
          <w:iCs w:val="0"/>
          <w:caps w:val="0"/>
          <w:color w:val="000000" w:themeColor="text1"/>
          <w:spacing w:val="0"/>
          <w:kern w:val="0"/>
          <w:sz w:val="32"/>
          <w:szCs w:val="32"/>
          <w:highlight w:val="none"/>
          <w:u w:val="none"/>
          <w:shd w:val="clear" w:fill="FFFFFF"/>
          <w:lang w:val="en-US" w:eastAsia="zh-CN" w:bidi="ar"/>
          <w14:textFill>
            <w14:solidFill>
              <w14:schemeClr w14:val="tx1"/>
            </w14:solidFill>
          </w14:textFill>
        </w:rPr>
        <w:t>中共库尔勒市委员会组织部（事业单位）</w:t>
      </w:r>
      <w:r>
        <w:rPr>
          <w:rFonts w:ascii="仿宋_GB2312" w:hAnsi="仿宋_GB2312" w:eastAsia="仿宋_GB2312" w:cs="仿宋_GB2312"/>
          <w:i w:val="0"/>
          <w:iCs w:val="0"/>
          <w:caps w:val="0"/>
          <w:color w:val="000000" w:themeColor="text1"/>
          <w:spacing w:val="0"/>
          <w:kern w:val="0"/>
          <w:sz w:val="32"/>
          <w:szCs w:val="32"/>
          <w:highlight w:val="none"/>
          <w:u w:val="none"/>
          <w:shd w:val="clear" w:fill="FFFFFF"/>
          <w:lang w:val="en-US" w:eastAsia="zh-CN" w:bidi="ar"/>
          <w14:textFill>
            <w14:solidFill>
              <w14:schemeClr w14:val="tx1"/>
            </w14:solidFill>
          </w14:textFill>
        </w:rPr>
        <w:t>公用经费支出43.19万元，</w:t>
      </w:r>
      <w:r>
        <w:rPr>
          <w:rFonts w:ascii="仿宋_GB2312" w:eastAsia="仿宋_GB2312"/>
          <w:b w:val="0"/>
          <w:sz w:val="32"/>
          <w:szCs w:val="32"/>
          <w:highlight w:val="none"/>
        </w:rPr>
        <w:t>比上年增加33.26万元，增长334.94%，主要原因是：上年度未缴纳办公用房取暖费，本年度缴纳了2024年度公用房取暖费，导致2024年公用经费支出较上年大幅增加。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（二）政府采购情况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2024年度政府采购支出总额231.22万元，其中：政府采购货物支出65.8万元、政府采购工程支出0万元、政府采购服务支出165.42万元。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授予中小企业合同金额231万元，占政府采购支出总额的99.9%，其中：授予小微企业合同金额231万元，占政府采购支出总额的99.9%。</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（三）国有资产占用情况说明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截至2024年12月31日，房屋4,838平方米，价值783.96万元。车辆8辆，价值133.65万元，其中：副部（省）级及以上领导用车0辆、主要负责人用车0辆、机要通信用车0辆、应急保障用车0辆、执法执勤用车0辆、特种专业技术用车0辆、离退休干部服务用车0辆、其他用车8辆，其他用车主要是：</w:t>
      </w:r>
      <w:r>
        <w:rPr>
          <w:rFonts w:ascii="仿宋_GB2312" w:eastAsia="仿宋_GB2312"/>
          <w:b w:val="0"/>
          <w:sz w:val="32"/>
          <w:szCs w:val="32"/>
        </w:rPr>
        <w:t>公务用车;</w:t>
      </w:r>
      <w:r>
        <w:rPr>
          <w:rFonts w:ascii="仿宋_GB2312" w:hAnsi="仿宋_GB2312" w:eastAsia="仿宋_GB2312" w:cs="仿宋_GB2312"/>
          <w:i w:val="0"/>
          <w:iCs w:val="0"/>
          <w:caps w:val="0"/>
          <w:color w:val="auto"/>
          <w:spacing w:val="0"/>
          <w:kern w:val="0"/>
          <w:sz w:val="32"/>
          <w:szCs w:val="32"/>
          <w:shd w:val="clear" w:fill="FFFFFF"/>
          <w:lang w:val="en-US" w:eastAsia="zh-CN" w:bidi="ar"/>
        </w:rPr>
        <w:t>单价100万元（含）以上设备（不含车辆）1台（套）。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十一、预算绩效的情况说明</w:t>
      </w:r>
    </w:p>
    <w:p>
      <w:pPr>
        <w:keepNext w:val="0"/>
        <w:keepLines w:val="0"/>
        <w:pageBreakBefore w:val="0"/>
        <w:widowControl/>
        <w:kinsoku/>
        <w:overflowPunct/>
        <w:topLinePunct w:val="0"/>
        <w:autoSpaceDE/>
        <w:autoSpaceDN/>
        <w:bidi w:val="0"/>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根据预算绩效管理要求，本部门2024年度预算绩效管理形成整体支出绩效自评表</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0</w:t>
      </w:r>
      <w:r>
        <w:rPr>
          <w:rFonts w:ascii="仿宋_GB2312" w:hAnsi="仿宋_GB2312" w:eastAsia="仿宋_GB2312" w:cs="仿宋_GB2312"/>
          <w:i w:val="0"/>
          <w:iCs w:val="0"/>
          <w:caps w:val="0"/>
          <w:color w:val="auto"/>
          <w:spacing w:val="0"/>
          <w:kern w:val="0"/>
          <w:sz w:val="32"/>
          <w:szCs w:val="32"/>
          <w:shd w:val="clear" w:fill="FFFFFF"/>
          <w:lang w:val="en-US" w:eastAsia="zh-CN" w:bidi="ar"/>
        </w:rPr>
        <w:t>个，全年预算总额</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0</w:t>
      </w:r>
      <w:r>
        <w:rPr>
          <w:rFonts w:ascii="仿宋_GB2312" w:hAnsi="仿宋_GB2312" w:eastAsia="仿宋_GB2312" w:cs="仿宋_GB2312"/>
          <w:i w:val="0"/>
          <w:iCs w:val="0"/>
          <w:caps w:val="0"/>
          <w:color w:val="auto"/>
          <w:spacing w:val="0"/>
          <w:kern w:val="0"/>
          <w:sz w:val="32"/>
          <w:szCs w:val="32"/>
          <w:shd w:val="clear" w:fill="FFFFFF"/>
          <w:lang w:val="en-US" w:eastAsia="zh-CN" w:bidi="ar"/>
        </w:rPr>
        <w:t>万元，实际执行总额</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0</w:t>
      </w:r>
      <w:r>
        <w:rPr>
          <w:rFonts w:ascii="仿宋_GB2312" w:hAnsi="仿宋_GB2312" w:eastAsia="仿宋_GB2312" w:cs="仿宋_GB2312"/>
          <w:i w:val="0"/>
          <w:iCs w:val="0"/>
          <w:caps w:val="0"/>
          <w:color w:val="auto"/>
          <w:spacing w:val="0"/>
          <w:kern w:val="0"/>
          <w:sz w:val="32"/>
          <w:szCs w:val="32"/>
          <w:shd w:val="clear" w:fill="FFFFFF"/>
          <w:lang w:val="en-US" w:eastAsia="zh-CN" w:bidi="ar"/>
        </w:rPr>
        <w:t>万元；预算绩效评价项目</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19</w:t>
      </w:r>
      <w:bookmarkStart w:id="2" w:name="_GoBack"/>
      <w:bookmarkEnd w:id="2"/>
      <w:r>
        <w:rPr>
          <w:rFonts w:ascii="仿宋_GB2312" w:hAnsi="仿宋_GB2312" w:eastAsia="仿宋_GB2312" w:cs="仿宋_GB2312"/>
          <w:i w:val="0"/>
          <w:iCs w:val="0"/>
          <w:caps w:val="0"/>
          <w:color w:val="auto"/>
          <w:spacing w:val="0"/>
          <w:kern w:val="0"/>
          <w:sz w:val="32"/>
          <w:szCs w:val="32"/>
          <w:shd w:val="clear" w:fill="FFFFFF"/>
          <w:lang w:val="en-US" w:eastAsia="zh-CN" w:bidi="ar"/>
        </w:rPr>
        <w:t>个，全年预算数</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3274.47</w:t>
      </w:r>
      <w:r>
        <w:rPr>
          <w:rFonts w:ascii="仿宋_GB2312" w:hAnsi="仿宋_GB2312" w:eastAsia="仿宋_GB2312" w:cs="仿宋_GB2312"/>
          <w:i w:val="0"/>
          <w:iCs w:val="0"/>
          <w:caps w:val="0"/>
          <w:color w:val="auto"/>
          <w:spacing w:val="0"/>
          <w:kern w:val="0"/>
          <w:sz w:val="32"/>
          <w:szCs w:val="32"/>
          <w:shd w:val="clear" w:fill="FFFFFF"/>
          <w:lang w:val="en-US" w:eastAsia="zh-CN" w:bidi="ar"/>
        </w:rPr>
        <w:t>万元，全年执行数</w:t>
      </w:r>
      <w:r>
        <w:rPr>
          <w:rFonts w:hint="eastAsia" w:ascii="仿宋_GB2312" w:hAnsi="仿宋_GB2312" w:eastAsia="仿宋_GB2312" w:cs="仿宋_GB2312"/>
          <w:i w:val="0"/>
          <w:iCs w:val="0"/>
          <w:caps w:val="0"/>
          <w:color w:val="auto"/>
          <w:spacing w:val="0"/>
          <w:kern w:val="0"/>
          <w:sz w:val="31"/>
          <w:szCs w:val="31"/>
          <w:shd w:val="clear" w:fill="FFFFFF"/>
          <w:lang w:val="en-US" w:eastAsia="zh-CN" w:bidi="ar"/>
        </w:rPr>
        <w:t>1375.03</w:t>
      </w:r>
      <w:r>
        <w:rPr>
          <w:rFonts w:ascii="仿宋_GB2312" w:hAnsi="仿宋_GB2312" w:eastAsia="仿宋_GB2312" w:cs="仿宋_GB2312"/>
          <w:i w:val="0"/>
          <w:iCs w:val="0"/>
          <w:caps w:val="0"/>
          <w:color w:val="auto"/>
          <w:spacing w:val="0"/>
          <w:kern w:val="0"/>
          <w:sz w:val="32"/>
          <w:szCs w:val="32"/>
          <w:shd w:val="clear" w:fill="FFFFFF"/>
          <w:lang w:val="en-US" w:eastAsia="zh-CN" w:bidi="ar"/>
        </w:rPr>
        <w:t>万元。</w:t>
      </w:r>
      <w:r>
        <w:rPr>
          <w:rFonts w:ascii="仿宋_GB2312" w:eastAsia="仿宋_GB2312"/>
          <w:b w:val="0"/>
          <w:sz w:val="32"/>
          <w:szCs w:val="32"/>
        </w:rPr>
        <w:t>预算绩效管理取得的成效：一是全面反映单位支出的详细情况清晰的归集所有收支项目，增强了部门预算编制的完整性、准确性和规范性，提高了预算编制的透明度；二是进一步增强了我单位的绩效意识和责任意识。发现的问题及原因：一是在固定资产使用管理方面，不同程度的存在一些管理不够规范、跟踪不够及时、衔接不够充分等问题。下一步改进措施：一是立足实际，坚持推行精细化管理，建立健全固定资产管理制度，严格执行资产管理制度；二是定期对固定资产明细账、台账、实物进行账账核对账实核对。具体附部门整体支出绩效自评表，项目支出绩效自评表和部门评价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十二、其他需说明的事项​（若有其他需说明的事项请勾选）​</w:t>
      </w:r>
    </w:p>
    <w:p>
      <w:pPr>
        <w:keepNext w:val="0"/>
        <w:keepLines w:val="0"/>
        <w:pageBreakBefore w:val="0"/>
        <w:widowControl/>
        <w:kinsoku/>
        <w:overflowPunct/>
        <w:topLinePunct w:val="0"/>
        <w:autoSpaceDE/>
        <w:autoSpaceDN/>
        <w:bidi w:val="0"/>
        <w:spacing w:before="0" w:beforeLines="0" w:beforeAutospacing="0" w:after="0" w:afterLines="0" w:afterAutospacing="0" w:line="560" w:lineRule="exact"/>
        <w:ind w:firstLine="640" w:firstLineChars="200"/>
        <w:jc w:val="both"/>
        <w:textAlignment w:val="auto"/>
        <w:rPr>
          <w:rFonts w:ascii="仿宋_GB2312" w:eastAsia="仿宋_GB2312"/>
          <w:b w:val="0"/>
          <w:sz w:val="32"/>
          <w:szCs w:val="32"/>
          <w:lang w:val="en-US" w:eastAsia="zh-CN"/>
        </w:rPr>
      </w:pPr>
      <w:r>
        <w:rPr>
          <w:rFonts w:hint="default" w:ascii="仿宋_GB2312" w:eastAsia="仿宋_GB2312"/>
          <w:b w:val="0"/>
          <w:sz w:val="32"/>
          <w:szCs w:val="32"/>
          <w:lang w:val="en-US" w:eastAsia="zh-CN"/>
        </w:rPr>
        <w:t>我部门202</w:t>
      </w:r>
      <w:r>
        <w:rPr>
          <w:rFonts w:hint="eastAsia" w:ascii="仿宋_GB2312" w:eastAsia="仿宋_GB2312"/>
          <w:b w:val="0"/>
          <w:sz w:val="32"/>
          <w:szCs w:val="32"/>
          <w:lang w:val="en-US" w:eastAsia="zh-CN"/>
        </w:rPr>
        <w:t>4</w:t>
      </w:r>
      <w:r>
        <w:rPr>
          <w:rFonts w:hint="default" w:ascii="仿宋_GB2312" w:eastAsia="仿宋_GB2312"/>
          <w:b w:val="0"/>
          <w:sz w:val="32"/>
          <w:szCs w:val="32"/>
          <w:lang w:val="en-US" w:eastAsia="zh-CN"/>
        </w:rPr>
        <w:t>年度预算绩效管理整体支出绩效自评表0个，全年预算总额0万元，实际执行总额0万元</w:t>
      </w:r>
      <w:r>
        <w:rPr>
          <w:rFonts w:hint="eastAsia" w:ascii="仿宋_GB2312" w:eastAsia="仿宋_GB2312"/>
          <w:b w:val="0"/>
          <w:sz w:val="32"/>
          <w:szCs w:val="32"/>
          <w:lang w:val="en-US" w:eastAsia="zh-CN"/>
        </w:rPr>
        <w:t>，</w:t>
      </w:r>
      <w:r>
        <w:rPr>
          <w:rFonts w:hint="default" w:ascii="仿宋_GB2312" w:eastAsia="仿宋_GB2312"/>
          <w:b w:val="0"/>
          <w:sz w:val="32"/>
          <w:szCs w:val="32"/>
          <w:lang w:val="en-US" w:eastAsia="zh-CN"/>
        </w:rPr>
        <w:t>我部门整体绩效自评表，由各单位自行编制并公开。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第三部分 专业名词解释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一、财政拨款收入：</w:t>
      </w:r>
      <w:r>
        <w:rPr>
          <w:rFonts w:ascii="仿宋_GB2312" w:hAnsi="仿宋_GB2312" w:eastAsia="仿宋_GB2312" w:cs="仿宋_GB2312"/>
          <w:i w:val="0"/>
          <w:iCs w:val="0"/>
          <w:caps w:val="0"/>
          <w:color w:val="auto"/>
          <w:spacing w:val="0"/>
          <w:kern w:val="0"/>
          <w:sz w:val="32"/>
          <w:szCs w:val="32"/>
          <w:shd w:val="clear" w:fill="FFFFFF"/>
          <w:lang w:val="en-US" w:eastAsia="zh-CN" w:bidi="ar"/>
        </w:rPr>
        <w:t>指同级财政当年拨付的资金。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二、上级补助收入：</w:t>
      </w:r>
      <w:r>
        <w:rPr>
          <w:rFonts w:ascii="仿宋_GB2312" w:hAnsi="仿宋_GB2312" w:eastAsia="仿宋_GB2312" w:cs="仿宋_GB2312"/>
          <w:i w:val="0"/>
          <w:iCs w:val="0"/>
          <w:caps w:val="0"/>
          <w:color w:val="auto"/>
          <w:spacing w:val="0"/>
          <w:kern w:val="0"/>
          <w:sz w:val="32"/>
          <w:szCs w:val="32"/>
          <w:shd w:val="clear" w:fill="FFFFFF"/>
          <w:lang w:val="en-US" w:eastAsia="zh-CN" w:bidi="ar"/>
        </w:rPr>
        <w:t>指事业单位从主管部门和上级单位取得的非财政补助收入。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三、事业收入：</w:t>
      </w:r>
      <w:r>
        <w:rPr>
          <w:rFonts w:ascii="仿宋_GB2312" w:hAnsi="仿宋_GB2312" w:eastAsia="仿宋_GB2312" w:cs="仿宋_GB2312"/>
          <w:i w:val="0"/>
          <w:iCs w:val="0"/>
          <w:caps w:val="0"/>
          <w:color w:val="auto"/>
          <w:spacing w:val="0"/>
          <w:kern w:val="0"/>
          <w:sz w:val="32"/>
          <w:szCs w:val="32"/>
          <w:shd w:val="clear" w:fill="FFFFFF"/>
          <w:lang w:val="en-US" w:eastAsia="zh-CN" w:bidi="ar"/>
        </w:rPr>
        <w:t>指事业单位开展专业业务活动及其辅助活动所取得的收入。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四、经营收入：</w:t>
      </w:r>
      <w:r>
        <w:rPr>
          <w:rFonts w:ascii="仿宋_GB2312" w:hAnsi="仿宋_GB2312" w:eastAsia="仿宋_GB2312" w:cs="仿宋_GB2312"/>
          <w:i w:val="0"/>
          <w:iCs w:val="0"/>
          <w:caps w:val="0"/>
          <w:color w:val="auto"/>
          <w:spacing w:val="0"/>
          <w:kern w:val="0"/>
          <w:sz w:val="32"/>
          <w:szCs w:val="32"/>
          <w:shd w:val="clear" w:fill="FFFFFF"/>
          <w:lang w:val="en-US" w:eastAsia="zh-CN" w:bidi="ar"/>
        </w:rPr>
        <w:t>指事业单位在专业业务活动及其辅助活动之外开展非独立核算经营活动取得的收入。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五、附属单位上缴收入：</w:t>
      </w:r>
      <w:r>
        <w:rPr>
          <w:rFonts w:ascii="仿宋_GB2312" w:hAnsi="仿宋_GB2312" w:eastAsia="仿宋_GB2312" w:cs="仿宋_GB2312"/>
          <w:i w:val="0"/>
          <w:iCs w:val="0"/>
          <w:caps w:val="0"/>
          <w:color w:val="auto"/>
          <w:spacing w:val="0"/>
          <w:kern w:val="0"/>
          <w:sz w:val="32"/>
          <w:szCs w:val="32"/>
          <w:shd w:val="clear" w:fill="FFFFFF"/>
          <w:lang w:val="en-US" w:eastAsia="zh-CN" w:bidi="ar"/>
        </w:rPr>
        <w:t>指事业单位附属的独立核算单位按有关规定上缴的收入。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六、其他收入：</w:t>
      </w:r>
      <w:r>
        <w:rPr>
          <w:rFonts w:ascii="仿宋_GB2312" w:hAnsi="仿宋_GB2312" w:eastAsia="仿宋_GB2312" w:cs="仿宋_GB2312"/>
          <w:i w:val="0"/>
          <w:iCs w:val="0"/>
          <w:caps w:val="0"/>
          <w:color w:val="auto"/>
          <w:spacing w:val="0"/>
          <w:kern w:val="0"/>
          <w:sz w:val="32"/>
          <w:szCs w:val="32"/>
          <w:shd w:val="clear" w:fill="FFFFFF"/>
          <w:lang w:val="en-US" w:eastAsia="zh-CN" w:bidi="ar"/>
        </w:rPr>
        <w:t>指除上述“财政拨款收入”、“事业收入”、“经营收入”、“附属单位上缴收入”等之外取得的收入。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七、年初结转和结余：</w:t>
      </w:r>
      <w:r>
        <w:rPr>
          <w:rFonts w:ascii="仿宋_GB2312" w:hAnsi="仿宋_GB2312" w:eastAsia="仿宋_GB2312" w:cs="仿宋_GB2312"/>
          <w:i w:val="0"/>
          <w:iCs w:val="0"/>
          <w:caps w:val="0"/>
          <w:color w:val="auto"/>
          <w:spacing w:val="0"/>
          <w:kern w:val="0"/>
          <w:sz w:val="32"/>
          <w:szCs w:val="32"/>
          <w:shd w:val="clear" w:fill="FFFFFF"/>
          <w:lang w:val="en-US" w:eastAsia="zh-CN" w:bidi="ar"/>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八、年末结转和结余：</w:t>
      </w:r>
      <w:r>
        <w:rPr>
          <w:rFonts w:ascii="仿宋_GB2312" w:hAnsi="仿宋_GB2312" w:eastAsia="仿宋_GB2312" w:cs="仿宋_GB2312"/>
          <w:i w:val="0"/>
          <w:iCs w:val="0"/>
          <w:caps w:val="0"/>
          <w:color w:val="auto"/>
          <w:spacing w:val="0"/>
          <w:kern w:val="0"/>
          <w:sz w:val="32"/>
          <w:szCs w:val="32"/>
          <w:shd w:val="clear" w:fill="FFFFFF"/>
          <w:lang w:val="en-US" w:eastAsia="zh-CN" w:bidi="ar"/>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九、基本支出：</w:t>
      </w:r>
      <w:r>
        <w:rPr>
          <w:rFonts w:ascii="仿宋_GB2312" w:hAnsi="仿宋_GB2312" w:eastAsia="仿宋_GB2312" w:cs="仿宋_GB2312"/>
          <w:i w:val="0"/>
          <w:iCs w:val="0"/>
          <w:caps w:val="0"/>
          <w:color w:val="auto"/>
          <w:spacing w:val="0"/>
          <w:kern w:val="0"/>
          <w:sz w:val="32"/>
          <w:szCs w:val="32"/>
          <w:shd w:val="clear" w:fill="FFFFFF"/>
          <w:lang w:val="en-US" w:eastAsia="zh-CN" w:bidi="ar"/>
        </w:rPr>
        <w:t>指为保障机构正常运转、完成日常工作任务而发生的人员支出和公用支出。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十、项目支出：</w:t>
      </w:r>
      <w:r>
        <w:rPr>
          <w:rFonts w:ascii="仿宋_GB2312" w:hAnsi="仿宋_GB2312" w:eastAsia="仿宋_GB2312" w:cs="仿宋_GB2312"/>
          <w:i w:val="0"/>
          <w:iCs w:val="0"/>
          <w:caps w:val="0"/>
          <w:color w:val="auto"/>
          <w:spacing w:val="0"/>
          <w:kern w:val="0"/>
          <w:sz w:val="32"/>
          <w:szCs w:val="32"/>
          <w:shd w:val="clear" w:fill="FFFFFF"/>
          <w:lang w:val="en-US" w:eastAsia="zh-CN" w:bidi="ar"/>
        </w:rPr>
        <w:t>指在基本支出之外为完成特定行政任务和事业发展目标所发生的支出。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十一、经营支出：</w:t>
      </w:r>
      <w:r>
        <w:rPr>
          <w:rFonts w:ascii="仿宋_GB2312" w:hAnsi="仿宋_GB2312" w:eastAsia="仿宋_GB2312" w:cs="仿宋_GB2312"/>
          <w:i w:val="0"/>
          <w:iCs w:val="0"/>
          <w:caps w:val="0"/>
          <w:color w:val="auto"/>
          <w:spacing w:val="0"/>
          <w:kern w:val="0"/>
          <w:sz w:val="32"/>
          <w:szCs w:val="32"/>
          <w:shd w:val="clear" w:fill="FFFFFF"/>
          <w:lang w:val="en-US" w:eastAsia="zh-CN" w:bidi="ar"/>
        </w:rPr>
        <w:t>指事业单位在专业业务活动及其辅助活动之外开展非独立核算经营活动发生的支出。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十二、对附属单位补助支出：</w:t>
      </w:r>
      <w:r>
        <w:rPr>
          <w:rFonts w:ascii="仿宋_GB2312" w:hAnsi="仿宋_GB2312" w:eastAsia="仿宋_GB2312" w:cs="仿宋_GB2312"/>
          <w:i w:val="0"/>
          <w:iCs w:val="0"/>
          <w:caps w:val="0"/>
          <w:color w:val="auto"/>
          <w:spacing w:val="0"/>
          <w:kern w:val="0"/>
          <w:sz w:val="32"/>
          <w:szCs w:val="32"/>
          <w:shd w:val="clear" w:fill="FFFFFF"/>
          <w:lang w:val="en-US" w:eastAsia="zh-CN" w:bidi="ar"/>
        </w:rPr>
        <w:t>指事业单位发生的用非财政预算资金对附属单位的补助支出。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十三、“三公”经费：</w:t>
      </w:r>
      <w:r>
        <w:rPr>
          <w:rFonts w:ascii="仿宋_GB2312" w:hAnsi="仿宋_GB2312" w:eastAsia="仿宋_GB2312" w:cs="仿宋_GB2312"/>
          <w:i w:val="0"/>
          <w:iCs w:val="0"/>
          <w:caps w:val="0"/>
          <w:color w:val="auto"/>
          <w:spacing w:val="0"/>
          <w:kern w:val="0"/>
          <w:sz w:val="32"/>
          <w:szCs w:val="32"/>
          <w:shd w:val="clear" w:fill="FFFFFF"/>
          <w:lang w:val="en-US" w:eastAsia="zh-CN" w:bidi="ar"/>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3"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b/>
          <w:bCs/>
          <w:i w:val="0"/>
          <w:iCs w:val="0"/>
          <w:caps w:val="0"/>
          <w:color w:val="auto"/>
          <w:spacing w:val="0"/>
          <w:kern w:val="0"/>
          <w:sz w:val="32"/>
          <w:szCs w:val="32"/>
          <w:shd w:val="clear" w:fill="FFFFFF"/>
          <w:lang w:val="en-US" w:eastAsia="zh-CN" w:bidi="ar"/>
        </w:rPr>
        <w:t>十四、机关运行经费：</w:t>
      </w:r>
      <w:r>
        <w:rPr>
          <w:rFonts w:ascii="仿宋_GB2312" w:hAnsi="仿宋_GB2312" w:eastAsia="仿宋_GB2312" w:cs="仿宋_GB2312"/>
          <w:i w:val="0"/>
          <w:iCs w:val="0"/>
          <w:caps w:val="0"/>
          <w:color w:val="auto"/>
          <w:spacing w:val="0"/>
          <w:kern w:val="0"/>
          <w:sz w:val="32"/>
          <w:szCs w:val="32"/>
          <w:shd w:val="clear" w:fill="FFFFFF"/>
          <w:lang w:val="en-US" w:eastAsia="zh-CN" w:bidi="ar"/>
        </w:rPr>
        <w:t>行政单位和参照公务员法管理的事业单位财政拨款基本支出中的公用经费支出。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kern w:val="0"/>
          <w:sz w:val="32"/>
          <w:szCs w:val="32"/>
          <w:shd w:val="clear" w:fill="FFFFFF"/>
          <w:lang w:val="en-US" w:eastAsia="zh-CN" w:bidi="ar"/>
        </w:rPr>
      </w:pPr>
    </w:p>
    <w:p>
      <w:pPr>
        <w:rPr>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黑体" w:hAnsi="宋体" w:eastAsia="黑体" w:cs="黑体"/>
          <w:i w:val="0"/>
          <w:iCs w:val="0"/>
          <w:caps w:val="0"/>
          <w:color w:val="auto"/>
          <w:spacing w:val="0"/>
          <w:sz w:val="32"/>
          <w:szCs w:val="32"/>
        </w:rPr>
      </w:pPr>
      <w:r>
        <w:rPr>
          <w:rFonts w:ascii="黑体" w:hAnsi="宋体" w:eastAsia="黑体" w:cs="黑体"/>
          <w:i w:val="0"/>
          <w:iCs w:val="0"/>
          <w:caps w:val="0"/>
          <w:color w:val="auto"/>
          <w:spacing w:val="0"/>
          <w:kern w:val="0"/>
          <w:sz w:val="32"/>
          <w:szCs w:val="32"/>
          <w:shd w:val="clear" w:fill="FFFFFF"/>
          <w:lang w:val="en-US" w:eastAsia="zh-CN" w:bidi="ar"/>
        </w:rPr>
        <w:t>第四部分 部门决算报表（见附表）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一、《收入支出决算总表》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二、《收入决算表》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三、《支出决算表》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四、《财政拨款收入支出决算总表》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五、《一般公共预算财政拨款支出决算表》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六、《一般公共预算财政拨款基本支出决算表》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七、《政府性基金预算财政拨款收入支出决算表》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八</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w:t>
      </w:r>
      <w:r>
        <w:rPr>
          <w:rFonts w:ascii="仿宋_GB2312" w:hAnsi="仿宋_GB2312" w:eastAsia="仿宋_GB2312" w:cs="仿宋_GB2312"/>
          <w:i w:val="0"/>
          <w:iCs w:val="0"/>
          <w:caps w:val="0"/>
          <w:color w:val="auto"/>
          <w:spacing w:val="0"/>
          <w:kern w:val="0"/>
          <w:sz w:val="32"/>
          <w:szCs w:val="32"/>
          <w:shd w:val="clear" w:fill="FFFFFF"/>
          <w:lang w:val="en-US" w:eastAsia="zh-CN" w:bidi="ar"/>
        </w:rPr>
        <w:t>《国有资本经营预算财政拨款收入支出决算表》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val="0"/>
        <w:snapToGrid w:val="0"/>
        <w:spacing w:before="0" w:beforeAutospacing="0" w:line="560" w:lineRule="exact"/>
        <w:ind w:left="0" w:right="0" w:firstLine="640" w:firstLineChars="200"/>
        <w:jc w:val="both"/>
        <w:textAlignment w:val="auto"/>
        <w:outlineLvl w:val="9"/>
        <w:rPr>
          <w:rFonts w:ascii="仿宋_GB2312" w:hAnsi="仿宋_GB2312" w:eastAsia="仿宋_GB2312" w:cs="仿宋_GB2312"/>
          <w:i w:val="0"/>
          <w:iCs w:val="0"/>
          <w:caps w:val="0"/>
          <w:color w:val="auto"/>
          <w:spacing w:val="0"/>
          <w:sz w:val="32"/>
          <w:szCs w:val="32"/>
        </w:rPr>
      </w:pPr>
      <w:r>
        <w:rPr>
          <w:rFonts w:ascii="仿宋_GB2312" w:hAnsi="仿宋_GB2312" w:eastAsia="仿宋_GB2312" w:cs="仿宋_GB2312"/>
          <w:i w:val="0"/>
          <w:iCs w:val="0"/>
          <w:caps w:val="0"/>
          <w:color w:val="auto"/>
          <w:spacing w:val="0"/>
          <w:kern w:val="0"/>
          <w:sz w:val="32"/>
          <w:szCs w:val="32"/>
          <w:shd w:val="clear" w:fill="FFFFFF"/>
          <w:lang w:val="en-US" w:eastAsia="zh-CN" w:bidi="ar"/>
        </w:rPr>
        <w:t>九、《财政拨款“三公”经费支出决算表》</w:t>
      </w:r>
    </w:p>
    <w:p>
      <w:pPr>
        <w:keepNext w:val="0"/>
        <w:keepLines w:val="0"/>
        <w:pageBreakBefore w:val="0"/>
        <w:shd w:val="clear"/>
        <w:kinsoku/>
        <w:overflowPunct/>
        <w:topLinePunct w:val="0"/>
        <w:autoSpaceDE/>
        <w:autoSpaceDN/>
        <w:bidi w:val="0"/>
        <w:adjustRightInd w:val="0"/>
        <w:snapToGrid w:val="0"/>
        <w:textAlignment w:val="auto"/>
        <w:rPr>
          <w:color w:val="auto"/>
          <w:sz w:val="32"/>
          <w:szCs w:val="32"/>
        </w:rPr>
      </w:pPr>
    </w:p>
    <w:p>
      <w:pPr>
        <w:pStyle w:val="2"/>
        <w:rPr>
          <w:color w:val="auto"/>
          <w:sz w:val="32"/>
          <w:szCs w:val="32"/>
        </w:rPr>
      </w:pPr>
    </w:p>
    <w:p>
      <w:pPr>
        <w:rPr>
          <w:color w:val="auto"/>
          <w:sz w:val="32"/>
          <w:szCs w:val="32"/>
        </w:rPr>
      </w:pPr>
    </w:p>
    <w:p>
      <w:pPr>
        <w:pStyle w:val="2"/>
        <w:rPr>
          <w:color w:val="auto"/>
          <w:sz w:val="32"/>
          <w:szCs w:val="32"/>
        </w:rPr>
      </w:pPr>
    </w:p>
    <w:p>
      <w:pPr>
        <w:rPr>
          <w:color w:val="auto"/>
          <w:sz w:val="32"/>
          <w:szCs w:val="32"/>
        </w:rPr>
      </w:pPr>
    </w:p>
    <w:p>
      <w:pPr>
        <w:pStyle w:val="2"/>
        <w:rPr>
          <w:color w:val="auto"/>
          <w:sz w:val="32"/>
          <w:szCs w:val="32"/>
        </w:rPr>
      </w:pPr>
    </w:p>
    <w:p>
      <w:pPr>
        <w:rPr>
          <w:color w:val="auto"/>
          <w:sz w:val="32"/>
          <w:szCs w:val="32"/>
        </w:rPr>
      </w:pPr>
    </w:p>
    <w:p>
      <w:pPr>
        <w:pStyle w:val="2"/>
        <w:rPr>
          <w:color w:val="auto"/>
          <w:sz w:val="32"/>
          <w:szCs w:val="32"/>
        </w:rPr>
      </w:pPr>
    </w:p>
    <w:p>
      <w:pPr>
        <w:rPr>
          <w:color w:val="auto"/>
          <w:sz w:val="32"/>
          <w:szCs w:val="32"/>
        </w:rPr>
      </w:pPr>
    </w:p>
    <w:p>
      <w:pPr>
        <w:pStyle w:val="2"/>
        <w:rPr>
          <w:color w:val="auto"/>
          <w:sz w:val="32"/>
          <w:szCs w:val="32"/>
        </w:rPr>
      </w:pPr>
    </w:p>
    <w:p>
      <w:pPr>
        <w:rPr>
          <w:color w:val="auto"/>
          <w:sz w:val="32"/>
          <w:szCs w:val="32"/>
        </w:rPr>
      </w:pPr>
    </w:p>
    <w:p>
      <w:r>
        <w:drawing>
          <wp:anchor distT="0" distB="0" distL="114300" distR="114300" simplePos="0" relativeHeight="251659264" behindDoc="1" locked="0" layoutInCell="1" allowOverlap="1">
            <wp:simplePos x="0" y="0"/>
            <wp:positionH relativeFrom="column">
              <wp:posOffset>-409575</wp:posOffset>
            </wp:positionH>
            <wp:positionV relativeFrom="page">
              <wp:posOffset>1296670</wp:posOffset>
            </wp:positionV>
            <wp:extent cx="5579745" cy="7585075"/>
            <wp:effectExtent l="0" t="0" r="0" b="15875"/>
            <wp:wrapTight wrapText="bothSides">
              <wp:wrapPolygon>
                <wp:start x="0" y="0"/>
                <wp:lineTo x="0" y="21537"/>
                <wp:lineTo x="21534" y="21537"/>
                <wp:lineTo x="21534" y="0"/>
                <wp:lineTo x="0" y="0"/>
              </wp:wrapPolygon>
            </wp:wrapTight>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5579745" cy="7585075"/>
                    </a:xfrm>
                    <a:prstGeom prst="rect">
                      <a:avLst/>
                    </a:prstGeom>
                    <a:noFill/>
                    <a:ln>
                      <a:noFill/>
                    </a:ln>
                  </pic:spPr>
                </pic:pic>
              </a:graphicData>
            </a:graphic>
          </wp:anchor>
        </w:drawing>
      </w:r>
    </w:p>
    <w:p>
      <w:pPr>
        <w:pStyle w:val="2"/>
        <w:sectPr>
          <w:pgSz w:w="10500" w:h="16820"/>
          <w:pgMar w:top="1871" w:right="1474" w:bottom="1474" w:left="1474" w:header="0" w:footer="0" w:gutter="0"/>
          <w:paperSrc w:first="6" w:other="6"/>
          <w:pgNumType w:fmt="numberInDash"/>
          <w:cols w:space="0" w:num="1"/>
          <w:titlePg/>
          <w:rtlGutter w:val="0"/>
          <w:docGrid w:linePitch="0" w:charSpace="0"/>
        </w:sectPr>
      </w:pPr>
    </w:p>
    <w:p>
      <w:pPr>
        <w:pStyle w:val="2"/>
        <w:sectPr>
          <w:pgSz w:w="10500" w:h="16820"/>
          <w:pgMar w:top="1871" w:right="989" w:bottom="1531" w:left="1531" w:header="0" w:footer="0" w:gutter="0"/>
          <w:paperSrc w:first="6" w:other="6"/>
          <w:pgNumType w:fmt="numberInDash"/>
          <w:cols w:space="0" w:num="1"/>
          <w:titlePg/>
          <w:rtlGutter w:val="0"/>
          <w:docGrid w:linePitch="0" w:charSpace="0"/>
        </w:sectPr>
      </w:pPr>
      <w:r>
        <w:drawing>
          <wp:anchor distT="0" distB="0" distL="114300" distR="114300" simplePos="0" relativeHeight="251660288" behindDoc="1" locked="0" layoutInCell="1" allowOverlap="1">
            <wp:simplePos x="0" y="0"/>
            <wp:positionH relativeFrom="column">
              <wp:posOffset>-447675</wp:posOffset>
            </wp:positionH>
            <wp:positionV relativeFrom="page">
              <wp:posOffset>1397635</wp:posOffset>
            </wp:positionV>
            <wp:extent cx="5732145" cy="7447915"/>
            <wp:effectExtent l="0" t="0" r="1905" b="635"/>
            <wp:wrapTight wrapText="bothSides">
              <wp:wrapPolygon>
                <wp:start x="0" y="0"/>
                <wp:lineTo x="0" y="21547"/>
                <wp:lineTo x="21535" y="21547"/>
                <wp:lineTo x="21535" y="0"/>
                <wp:lineTo x="0" y="0"/>
              </wp:wrapPolygon>
            </wp:wrapTight>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5732145" cy="7447915"/>
                    </a:xfrm>
                    <a:prstGeom prst="rect">
                      <a:avLst/>
                    </a:prstGeom>
                    <a:noFill/>
                    <a:ln>
                      <a:noFill/>
                    </a:ln>
                  </pic:spPr>
                </pic:pic>
              </a:graphicData>
            </a:graphic>
          </wp:anchor>
        </w:drawing>
      </w:r>
    </w:p>
    <w:p>
      <w:pPr>
        <w:pStyle w:val="2"/>
      </w:pPr>
      <w:r>
        <w:drawing>
          <wp:anchor distT="0" distB="0" distL="114300" distR="114300" simplePos="0" relativeHeight="251661312" behindDoc="1" locked="0" layoutInCell="1" allowOverlap="1">
            <wp:simplePos x="0" y="0"/>
            <wp:positionH relativeFrom="column">
              <wp:posOffset>-428625</wp:posOffset>
            </wp:positionH>
            <wp:positionV relativeFrom="page">
              <wp:posOffset>1216660</wp:posOffset>
            </wp:positionV>
            <wp:extent cx="5707380" cy="8134350"/>
            <wp:effectExtent l="0" t="0" r="7620" b="0"/>
            <wp:wrapTight wrapText="bothSides">
              <wp:wrapPolygon>
                <wp:start x="0" y="0"/>
                <wp:lineTo x="0" y="21549"/>
                <wp:lineTo x="21557" y="21549"/>
                <wp:lineTo x="21557" y="0"/>
                <wp:lineTo x="0" y="0"/>
              </wp:wrapPolygon>
            </wp:wrapTight>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5707380" cy="8134350"/>
                    </a:xfrm>
                    <a:prstGeom prst="rect">
                      <a:avLst/>
                    </a:prstGeom>
                    <a:noFill/>
                    <a:ln>
                      <a:noFill/>
                    </a:ln>
                  </pic:spPr>
                </pic:pic>
              </a:graphicData>
            </a:graphic>
          </wp:anchor>
        </w:drawing>
      </w:r>
    </w:p>
    <w:p>
      <w:pPr>
        <w:pStyle w:val="2"/>
      </w:pPr>
      <w:r>
        <w:drawing>
          <wp:anchor distT="0" distB="0" distL="114300" distR="114300" simplePos="0" relativeHeight="251662336" behindDoc="1" locked="0" layoutInCell="1" allowOverlap="1">
            <wp:simplePos x="0" y="0"/>
            <wp:positionH relativeFrom="column">
              <wp:posOffset>-399415</wp:posOffset>
            </wp:positionH>
            <wp:positionV relativeFrom="page">
              <wp:posOffset>1226185</wp:posOffset>
            </wp:positionV>
            <wp:extent cx="5605780" cy="8007350"/>
            <wp:effectExtent l="0" t="0" r="13970" b="0"/>
            <wp:wrapTight wrapText="bothSides">
              <wp:wrapPolygon>
                <wp:start x="0" y="0"/>
                <wp:lineTo x="0" y="21531"/>
                <wp:lineTo x="21507" y="21531"/>
                <wp:lineTo x="21507" y="0"/>
                <wp:lineTo x="0" y="0"/>
              </wp:wrapPolygon>
            </wp:wrapTight>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tretch>
                      <a:fillRect/>
                    </a:stretch>
                  </pic:blipFill>
                  <pic:spPr>
                    <a:xfrm>
                      <a:off x="0" y="0"/>
                      <a:ext cx="5605780" cy="8007350"/>
                    </a:xfrm>
                    <a:prstGeom prst="rect">
                      <a:avLst/>
                    </a:prstGeom>
                    <a:noFill/>
                    <a:ln>
                      <a:noFill/>
                    </a:ln>
                  </pic:spPr>
                </pic:pic>
              </a:graphicData>
            </a:graphic>
          </wp:anchor>
        </w:drawing>
      </w:r>
    </w:p>
    <w:p>
      <w:pPr>
        <w:pStyle w:val="2"/>
      </w:pPr>
      <w:r>
        <w:drawing>
          <wp:anchor distT="0" distB="0" distL="114300" distR="114300" simplePos="0" relativeHeight="251663360" behindDoc="1" locked="0" layoutInCell="1" allowOverlap="1">
            <wp:simplePos x="0" y="0"/>
            <wp:positionH relativeFrom="column">
              <wp:posOffset>-314325</wp:posOffset>
            </wp:positionH>
            <wp:positionV relativeFrom="page">
              <wp:posOffset>1340485</wp:posOffset>
            </wp:positionV>
            <wp:extent cx="5434330" cy="7884795"/>
            <wp:effectExtent l="0" t="0" r="13970" b="0"/>
            <wp:wrapTight wrapText="bothSides">
              <wp:wrapPolygon>
                <wp:start x="0" y="0"/>
                <wp:lineTo x="0" y="21553"/>
                <wp:lineTo x="21504" y="21553"/>
                <wp:lineTo x="21504" y="0"/>
                <wp:lineTo x="0" y="0"/>
              </wp:wrapPolygon>
            </wp:wrapTight>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8"/>
                    <a:stretch>
                      <a:fillRect/>
                    </a:stretch>
                  </pic:blipFill>
                  <pic:spPr>
                    <a:xfrm>
                      <a:off x="0" y="0"/>
                      <a:ext cx="5434330" cy="7884795"/>
                    </a:xfrm>
                    <a:prstGeom prst="rect">
                      <a:avLst/>
                    </a:prstGeom>
                    <a:noFill/>
                    <a:ln>
                      <a:noFill/>
                    </a:ln>
                  </pic:spPr>
                </pic:pic>
              </a:graphicData>
            </a:graphic>
          </wp:anchor>
        </w:drawing>
      </w:r>
    </w:p>
    <w:p>
      <w:pPr>
        <w:pStyle w:val="2"/>
      </w:pPr>
      <w:r>
        <w:drawing>
          <wp:anchor distT="0" distB="0" distL="114300" distR="114300" simplePos="0" relativeHeight="251664384" behindDoc="1" locked="0" layoutInCell="1" allowOverlap="1">
            <wp:simplePos x="0" y="0"/>
            <wp:positionH relativeFrom="column">
              <wp:posOffset>-476250</wp:posOffset>
            </wp:positionH>
            <wp:positionV relativeFrom="page">
              <wp:posOffset>1311910</wp:posOffset>
            </wp:positionV>
            <wp:extent cx="5739765" cy="7900670"/>
            <wp:effectExtent l="0" t="0" r="13335" b="62230"/>
            <wp:wrapTight wrapText="bothSides">
              <wp:wrapPolygon>
                <wp:start x="0" y="0"/>
                <wp:lineTo x="0" y="21562"/>
                <wp:lineTo x="21507" y="21562"/>
                <wp:lineTo x="21507" y="0"/>
                <wp:lineTo x="0" y="0"/>
              </wp:wrapPolygon>
            </wp:wrapTight>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5739765" cy="7900670"/>
                    </a:xfrm>
                    <a:prstGeom prst="rect">
                      <a:avLst/>
                    </a:prstGeom>
                    <a:noFill/>
                    <a:ln>
                      <a:noFill/>
                    </a:ln>
                  </pic:spPr>
                </pic:pic>
              </a:graphicData>
            </a:graphic>
          </wp:anchor>
        </w:drawing>
      </w:r>
    </w:p>
    <w:p>
      <w:pPr>
        <w:pStyle w:val="2"/>
      </w:pPr>
      <w:r>
        <w:drawing>
          <wp:anchor distT="0" distB="0" distL="114300" distR="114300" simplePos="0" relativeHeight="251665408" behindDoc="1" locked="0" layoutInCell="1" allowOverlap="1">
            <wp:simplePos x="0" y="0"/>
            <wp:positionH relativeFrom="column">
              <wp:posOffset>-276225</wp:posOffset>
            </wp:positionH>
            <wp:positionV relativeFrom="page">
              <wp:posOffset>1416685</wp:posOffset>
            </wp:positionV>
            <wp:extent cx="5495925" cy="2701290"/>
            <wp:effectExtent l="0" t="0" r="0" b="3810"/>
            <wp:wrapTight wrapText="bothSides">
              <wp:wrapPolygon>
                <wp:start x="0" y="0"/>
                <wp:lineTo x="0" y="21478"/>
                <wp:lineTo x="21563" y="21478"/>
                <wp:lineTo x="21563" y="0"/>
                <wp:lineTo x="0" y="0"/>
              </wp:wrapPolygon>
            </wp:wrapTight>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0"/>
                    <a:stretch>
                      <a:fillRect/>
                    </a:stretch>
                  </pic:blipFill>
                  <pic:spPr>
                    <a:xfrm>
                      <a:off x="0" y="0"/>
                      <a:ext cx="5495925" cy="2701290"/>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
      <w:pPr>
        <w:pStyle w:val="2"/>
      </w:pPr>
    </w:p>
    <w:p/>
    <w:p>
      <w:pPr>
        <w:pStyle w:val="2"/>
      </w:pPr>
      <w:r>
        <w:drawing>
          <wp:anchor distT="0" distB="0" distL="114300" distR="114300" simplePos="0" relativeHeight="251666432" behindDoc="1" locked="0" layoutInCell="1" allowOverlap="1">
            <wp:simplePos x="0" y="0"/>
            <wp:positionH relativeFrom="column">
              <wp:posOffset>-209550</wp:posOffset>
            </wp:positionH>
            <wp:positionV relativeFrom="page">
              <wp:posOffset>1283335</wp:posOffset>
            </wp:positionV>
            <wp:extent cx="5165090" cy="1986280"/>
            <wp:effectExtent l="0" t="0" r="0" b="0"/>
            <wp:wrapTight wrapText="bothSides">
              <wp:wrapPolygon>
                <wp:start x="0" y="0"/>
                <wp:lineTo x="0" y="21338"/>
                <wp:lineTo x="21510" y="21338"/>
                <wp:lineTo x="21510"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165090" cy="1986280"/>
                    </a:xfrm>
                    <a:prstGeom prst="rect">
                      <a:avLst/>
                    </a:prstGeom>
                    <a:noFill/>
                    <a:ln>
                      <a:noFill/>
                    </a:ln>
                  </pic:spPr>
                </pic:pic>
              </a:graphicData>
            </a:graphic>
          </wp:anchor>
        </w:drawing>
      </w:r>
    </w:p>
    <w:p/>
    <w:p>
      <w:pPr>
        <w:pStyle w:val="2"/>
      </w:pPr>
    </w:p>
    <w:p/>
    <w:p/>
    <w:p>
      <w:pPr>
        <w:pStyle w:val="2"/>
      </w:pPr>
    </w:p>
    <w:p/>
    <w:p>
      <w:pPr>
        <w:pStyle w:val="2"/>
      </w:pPr>
    </w:p>
    <w:p/>
    <w:p>
      <w:pPr>
        <w:pStyle w:val="2"/>
      </w:pPr>
    </w:p>
    <w:p/>
    <w:p>
      <w:pPr>
        <w:pStyle w:val="2"/>
      </w:pPr>
    </w:p>
    <w:p/>
    <w:p>
      <w:pPr>
        <w:pStyle w:val="2"/>
      </w:pPr>
    </w:p>
    <w:p/>
    <w:p>
      <w:pPr>
        <w:pStyle w:val="2"/>
      </w:pPr>
    </w:p>
    <w:p/>
    <w:p>
      <w:pPr>
        <w:pStyle w:val="2"/>
      </w:pPr>
    </w:p>
    <w:p/>
    <w:p>
      <w:pPr>
        <w:pStyle w:val="2"/>
      </w:pPr>
      <w:r>
        <w:drawing>
          <wp:anchor distT="0" distB="0" distL="114300" distR="114300" simplePos="0" relativeHeight="251667456" behindDoc="1" locked="0" layoutInCell="1" allowOverlap="1">
            <wp:simplePos x="0" y="0"/>
            <wp:positionH relativeFrom="column">
              <wp:posOffset>-295910</wp:posOffset>
            </wp:positionH>
            <wp:positionV relativeFrom="page">
              <wp:posOffset>1235710</wp:posOffset>
            </wp:positionV>
            <wp:extent cx="5426710" cy="1722755"/>
            <wp:effectExtent l="0" t="0" r="2540" b="10795"/>
            <wp:wrapTight wrapText="bothSides">
              <wp:wrapPolygon>
                <wp:start x="0" y="0"/>
                <wp:lineTo x="0" y="21258"/>
                <wp:lineTo x="21534" y="21258"/>
                <wp:lineTo x="21534"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426710" cy="1722755"/>
                    </a:xfrm>
                    <a:prstGeom prst="rect">
                      <a:avLst/>
                    </a:prstGeom>
                    <a:noFill/>
                    <a:ln>
                      <a:noFill/>
                    </a:ln>
                  </pic:spPr>
                </pic:pic>
              </a:graphicData>
            </a:graphic>
          </wp:anchor>
        </w:drawing>
      </w:r>
    </w:p>
    <w:p/>
    <w:sectPr>
      <w:pgSz w:w="10500" w:h="16820"/>
      <w:pgMar w:top="1871" w:right="989" w:bottom="1531" w:left="1531" w:header="0" w:footer="0" w:gutter="0"/>
      <w:paperSrc w:first="6" w:other="6"/>
      <w:pgNumType w:fmt="numberInDash"/>
      <w:cols w:space="0" w:num="1"/>
      <w:titlePg/>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701EC9"/>
    <w:rsid w:val="00110B2E"/>
    <w:rsid w:val="018C4EE4"/>
    <w:rsid w:val="02E21A7C"/>
    <w:rsid w:val="034D5884"/>
    <w:rsid w:val="036F5CF3"/>
    <w:rsid w:val="03B0678A"/>
    <w:rsid w:val="03B61090"/>
    <w:rsid w:val="03C37252"/>
    <w:rsid w:val="04BE467D"/>
    <w:rsid w:val="064B6B7E"/>
    <w:rsid w:val="066528E7"/>
    <w:rsid w:val="06A75704"/>
    <w:rsid w:val="070B627B"/>
    <w:rsid w:val="07636CC2"/>
    <w:rsid w:val="081A15E0"/>
    <w:rsid w:val="086A773C"/>
    <w:rsid w:val="0892728C"/>
    <w:rsid w:val="08A5116B"/>
    <w:rsid w:val="0C5A5C61"/>
    <w:rsid w:val="0C900D2C"/>
    <w:rsid w:val="0D035922"/>
    <w:rsid w:val="105D5765"/>
    <w:rsid w:val="111E78D8"/>
    <w:rsid w:val="11470850"/>
    <w:rsid w:val="1331717D"/>
    <w:rsid w:val="13383079"/>
    <w:rsid w:val="1424650A"/>
    <w:rsid w:val="17115EA7"/>
    <w:rsid w:val="17E64963"/>
    <w:rsid w:val="17E66B50"/>
    <w:rsid w:val="18900DFA"/>
    <w:rsid w:val="196C3819"/>
    <w:rsid w:val="1A300F6B"/>
    <w:rsid w:val="1ACE6DD4"/>
    <w:rsid w:val="1B3A0D08"/>
    <w:rsid w:val="1B7A60CF"/>
    <w:rsid w:val="1D2B5FD4"/>
    <w:rsid w:val="1F0A218D"/>
    <w:rsid w:val="1F2C672B"/>
    <w:rsid w:val="208F279E"/>
    <w:rsid w:val="226A13BB"/>
    <w:rsid w:val="22BB175B"/>
    <w:rsid w:val="243E39F1"/>
    <w:rsid w:val="24787AF2"/>
    <w:rsid w:val="24890A8E"/>
    <w:rsid w:val="24E0418C"/>
    <w:rsid w:val="258D1B63"/>
    <w:rsid w:val="26AA1FC9"/>
    <w:rsid w:val="28967257"/>
    <w:rsid w:val="28A14576"/>
    <w:rsid w:val="293A53A1"/>
    <w:rsid w:val="2A63519B"/>
    <w:rsid w:val="2A653ABD"/>
    <w:rsid w:val="2A67308C"/>
    <w:rsid w:val="2A762051"/>
    <w:rsid w:val="2B6045E6"/>
    <w:rsid w:val="2D8E4BBD"/>
    <w:rsid w:val="2DD37E71"/>
    <w:rsid w:val="2E3316F4"/>
    <w:rsid w:val="2E3A0544"/>
    <w:rsid w:val="2F4D464B"/>
    <w:rsid w:val="30082154"/>
    <w:rsid w:val="32755222"/>
    <w:rsid w:val="32C96EA5"/>
    <w:rsid w:val="33607CA0"/>
    <w:rsid w:val="33F209EC"/>
    <w:rsid w:val="346814FF"/>
    <w:rsid w:val="35C2245E"/>
    <w:rsid w:val="35F2061B"/>
    <w:rsid w:val="37CC14F7"/>
    <w:rsid w:val="38B40F59"/>
    <w:rsid w:val="39E93FE2"/>
    <w:rsid w:val="3A2E16F5"/>
    <w:rsid w:val="3BBB21A8"/>
    <w:rsid w:val="3CA154F8"/>
    <w:rsid w:val="3EFE1250"/>
    <w:rsid w:val="40701EC9"/>
    <w:rsid w:val="40B307FD"/>
    <w:rsid w:val="40FB272C"/>
    <w:rsid w:val="418C67E7"/>
    <w:rsid w:val="42414D66"/>
    <w:rsid w:val="42436CA3"/>
    <w:rsid w:val="4418064E"/>
    <w:rsid w:val="44897189"/>
    <w:rsid w:val="449C2934"/>
    <w:rsid w:val="4847637C"/>
    <w:rsid w:val="49860FCB"/>
    <w:rsid w:val="49A85547"/>
    <w:rsid w:val="49BC47FF"/>
    <w:rsid w:val="4A7F24CF"/>
    <w:rsid w:val="4AA65D1A"/>
    <w:rsid w:val="4BAC0A78"/>
    <w:rsid w:val="4C530769"/>
    <w:rsid w:val="4CFF0946"/>
    <w:rsid w:val="4D596D34"/>
    <w:rsid w:val="4DA51E6F"/>
    <w:rsid w:val="4ED1269F"/>
    <w:rsid w:val="4F79084F"/>
    <w:rsid w:val="50EB34FE"/>
    <w:rsid w:val="538E0470"/>
    <w:rsid w:val="559777D9"/>
    <w:rsid w:val="57585512"/>
    <w:rsid w:val="584F42C0"/>
    <w:rsid w:val="58ED5734"/>
    <w:rsid w:val="590E6B82"/>
    <w:rsid w:val="5E4E6FB5"/>
    <w:rsid w:val="5F3A179C"/>
    <w:rsid w:val="60AF596A"/>
    <w:rsid w:val="638162EF"/>
    <w:rsid w:val="63BA0505"/>
    <w:rsid w:val="679629EE"/>
    <w:rsid w:val="68E0022E"/>
    <w:rsid w:val="6A9521A5"/>
    <w:rsid w:val="6AB84BCD"/>
    <w:rsid w:val="6AF76A4F"/>
    <w:rsid w:val="6B0D481E"/>
    <w:rsid w:val="6BF450D3"/>
    <w:rsid w:val="6D612947"/>
    <w:rsid w:val="6D84688F"/>
    <w:rsid w:val="6F604C67"/>
    <w:rsid w:val="700D6B0D"/>
    <w:rsid w:val="718F3ECA"/>
    <w:rsid w:val="71930A6B"/>
    <w:rsid w:val="720C4098"/>
    <w:rsid w:val="73610592"/>
    <w:rsid w:val="74D47292"/>
    <w:rsid w:val="754571A5"/>
    <w:rsid w:val="75BC449B"/>
    <w:rsid w:val="788D0387"/>
    <w:rsid w:val="7A3550CB"/>
    <w:rsid w:val="7C756812"/>
    <w:rsid w:val="7C7C3450"/>
    <w:rsid w:val="7C8749C7"/>
    <w:rsid w:val="7D194160"/>
    <w:rsid w:val="7D354368"/>
    <w:rsid w:val="7E0307E1"/>
    <w:rsid w:val="7EF802F9"/>
    <w:rsid w:val="7FA34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9"/>
    <w:pPr>
      <w:keepNext/>
      <w:keepLines/>
      <w:widowControl w:val="0"/>
      <w:spacing w:before="260" w:after="260"/>
      <w:ind w:firstLine="200" w:firstLineChars="200"/>
      <w:jc w:val="center"/>
      <w:outlineLvl w:val="2"/>
    </w:pPr>
    <w:rPr>
      <w:rFonts w:ascii="Calibri" w:hAnsi="Calibri" w:eastAsia="黑体" w:cs="Times New Roman"/>
      <w:bCs/>
      <w:kern w:val="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0"/>
  </w:style>
  <w:style w:type="paragraph" w:styleId="5">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2025-08-13T03:29:00Z</dcterms:created>
  <dc:creator>Administrator</dc:creator>
  <cp:lastModifiedBy>lenovo</cp:lastModifiedBy>
  <dcterms:modified xsi:type="dcterms:W3CDTF">2025-08-20T03:56:46Z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A3422D8C9C63431EA74C08CCE657A317</vt:lpwstr>
  </property>
</Properties>
</file>