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eastAsia" w:eastAsia="方正小标宋_GBK" w:cs="Times New Roman"/>
          <w:kern w:val="0"/>
          <w:sz w:val="48"/>
          <w:szCs w:val="48"/>
          <w:lang w:val="en-US" w:eastAsia="zh-CN"/>
        </w:rPr>
      </w:pPr>
      <w:r>
        <w:rPr>
          <w:rFonts w:hint="eastAsia" w:eastAsia="方正小标宋_GBK" w:cs="Times New Roman"/>
          <w:kern w:val="0"/>
          <w:sz w:val="48"/>
          <w:szCs w:val="48"/>
          <w:lang w:val="en-US" w:eastAsia="zh-CN"/>
        </w:rPr>
        <w:t>部门专项-党校食宿综合楼运转经费</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项目支出绩效评价报告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0"/>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ascii="Times New Roman" w:hAnsi="Times New Roman" w:eastAsia="仿宋_GB2312" w:cs="Times New Roman"/>
          <w:kern w:val="0"/>
          <w:sz w:val="36"/>
          <w:szCs w:val="36"/>
          <w:lang w:val="en-US" w:eastAsia="zh-CN"/>
        </w:rPr>
        <w:t>部门专项-党校食宿综合楼运转经费</w:t>
      </w:r>
    </w:p>
    <w:p>
      <w:pPr>
        <w:spacing w:line="540" w:lineRule="exact"/>
        <w:jc w:val="center"/>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中共库尔勒市委员会党校</w:t>
      </w:r>
    </w:p>
    <w:p>
      <w:pPr>
        <w:spacing w:line="700" w:lineRule="exact"/>
        <w:ind w:firstLine="360" w:firstLineChars="1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中共库尔勒市委员会组织部</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李美玲</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29</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40" w:lineRule="exact"/>
        <w:ind w:firstLine="640"/>
        <w:rPr>
          <w:rStyle w:val="16"/>
          <w:rFonts w:hint="default" w:ascii="Times New Roman" w:hAnsi="Times New Roman" w:eastAsia="黑体" w:cs="Times New Roman"/>
          <w:b w:val="0"/>
          <w:spacing w:val="-4"/>
          <w:sz w:val="32"/>
          <w:szCs w:val="32"/>
        </w:rPr>
      </w:pPr>
    </w:p>
    <w:p>
      <w:pPr>
        <w:spacing w:line="540" w:lineRule="exact"/>
        <w:rPr>
          <w:rStyle w:val="16"/>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党校</w:t>
      </w:r>
      <w:r>
        <w:rPr>
          <w:rFonts w:hint="eastAsia" w:eastAsia="仿宋_GB2312" w:cs="Times New Roman"/>
          <w:sz w:val="32"/>
          <w:szCs w:val="32"/>
          <w:highlight w:val="none"/>
          <w:lang w:val="en-US" w:eastAsia="zh-CN"/>
        </w:rPr>
        <w:t>是党领导的培养党的领导干部的学校，是党委的重要部门，是培训党的各级领导干部的主渠道，是党的思想建设的重要阵地，是党和国家的哲学社会科学研究机构和重要智库。库尔勒市委</w:t>
      </w:r>
      <w:r>
        <w:rPr>
          <w:rFonts w:hint="eastAsia" w:ascii="Times New Roman" w:hAnsi="Times New Roman" w:eastAsia="仿宋_GB2312" w:cs="Times New Roman"/>
          <w:sz w:val="32"/>
          <w:szCs w:val="32"/>
          <w:highlight w:val="none"/>
          <w:lang w:val="en-US" w:eastAsia="zh-CN"/>
        </w:rPr>
        <w:t>党校建立以来，培训轮训了大批具有马克思主义理论修养的党的领导干部，使广大干部掌握了马列主义的基本立场、观点和方法，提高了分析、解决实际问题的能力和贯彻执行党的正确路线的自觉性，这就大大增强了党的自身建设，并为实现党的中心任务作出了重要贡献。</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中国共产党党校（行政学院）工作条例》提出，行政管理和后勤服务是党校各项工作运转的重要保障，党校的教室、宿舍、食堂和图书馆等设施是干部教育培训必须的基础设施，相关经费由同级财政性资金等途径解决。党校工作所需经费，列入各级财政预算，各级财政应当加大继承干部教育培训经费投入</w:t>
      </w:r>
      <w:r>
        <w:rPr>
          <w:rFonts w:hint="eastAsia" w:ascii="Times New Roman" w:hAnsi="Times New Roman" w:eastAsia="仿宋_GB2312" w:cs="Times New Roman"/>
          <w:sz w:val="32"/>
          <w:szCs w:val="32"/>
          <w:highlight w:val="none"/>
          <w:lang w:val="en-US" w:eastAsia="zh-CN"/>
        </w:rPr>
        <w:t>。</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40" w:lineRule="exact"/>
        <w:ind w:firstLine="640" w:firstLineChars="200"/>
        <w:jc w:val="left"/>
        <w:rPr>
          <w:rFonts w:hint="default" w:eastAsia="仿宋_GB2312" w:cs="Times New Roman"/>
          <w:sz w:val="32"/>
          <w:szCs w:val="32"/>
          <w:lang w:val="en-US" w:eastAsia="zh-CN"/>
        </w:rPr>
      </w:pPr>
      <w:r>
        <w:rPr>
          <w:rFonts w:hint="default" w:eastAsia="仿宋_GB2312" w:cs="Times New Roman"/>
          <w:sz w:val="32"/>
          <w:szCs w:val="32"/>
          <w:lang w:val="en-US" w:eastAsia="zh-CN"/>
        </w:rPr>
        <w:t>项目主要内容：</w:t>
      </w:r>
      <w:r>
        <w:rPr>
          <w:rFonts w:hint="eastAsia" w:eastAsia="仿宋_GB2312" w:cs="Times New Roman"/>
          <w:sz w:val="30"/>
          <w:szCs w:val="30"/>
          <w:highlight w:val="none"/>
          <w:lang w:val="en-US" w:eastAsia="zh-CN"/>
        </w:rPr>
        <w:t>根</w:t>
      </w:r>
      <w:r>
        <w:rPr>
          <w:rFonts w:hint="eastAsia" w:eastAsia="仿宋_GB2312" w:cs="Times New Roman"/>
          <w:sz w:val="32"/>
          <w:szCs w:val="32"/>
          <w:lang w:val="en-US" w:eastAsia="zh-CN"/>
        </w:rPr>
        <w:t>据《中国共产党党校（行政学院）工作条例》和干部培训相关要求，确立党校食宿综合楼运转经费项目。为满足学员食宿需求和确保食宿综合楼能够正常运转，年初预算安排了党校食宿综合楼运转经费。</w:t>
      </w:r>
    </w:p>
    <w:p>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hint="eastAsia" w:eastAsia="仿宋_GB2312" w:cs="Times New Roman"/>
          <w:sz w:val="32"/>
          <w:szCs w:val="32"/>
          <w:lang w:val="en-US" w:eastAsia="zh-CN"/>
        </w:rPr>
        <w:t>党校食宿综合楼于2024年8月正式交付使用，由于是试营业期间，暂时聘用服务人员8人，我单位按时发放了聘用人员工资及社保，按时缴纳水电费，购置食宿综合楼厨具用具等设备。项目实施后，保障了食宿综合楼正常运转，满足了学员食宿需求。</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60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发放</w:t>
      </w:r>
      <w:r>
        <w:rPr>
          <w:rFonts w:hint="eastAsia" w:ascii="Times New Roman" w:hAnsi="Times New Roman" w:eastAsia="仿宋_GB2312" w:cs="Times New Roman"/>
          <w:sz w:val="32"/>
          <w:szCs w:val="32"/>
          <w:highlight w:val="none"/>
          <w:lang w:val="en-US" w:eastAsia="zh-CN"/>
        </w:rPr>
        <w:t>聘用人员工资</w:t>
      </w:r>
      <w:r>
        <w:rPr>
          <w:rFonts w:hint="eastAsia" w:eastAsia="仿宋_GB2312" w:cs="Times New Roman"/>
          <w:sz w:val="32"/>
          <w:szCs w:val="32"/>
          <w:highlight w:val="none"/>
          <w:lang w:val="en-US" w:eastAsia="zh-CN"/>
        </w:rPr>
        <w:t>及社保缴费9.18万元</w:t>
      </w:r>
      <w:r>
        <w:rPr>
          <w:rFonts w:hint="eastAsia" w:ascii="Times New Roman" w:hAnsi="Times New Roman" w:eastAsia="仿宋_GB2312" w:cs="Times New Roman"/>
          <w:sz w:val="32"/>
          <w:szCs w:val="32"/>
          <w:highlight w:val="none"/>
          <w:lang w:val="en-US" w:eastAsia="zh-CN"/>
        </w:rPr>
        <w:t>和维护食宿综合楼运转经费</w:t>
      </w:r>
      <w:r>
        <w:rPr>
          <w:rFonts w:hint="eastAsia" w:eastAsia="仿宋_GB2312" w:cs="Times New Roman"/>
          <w:sz w:val="32"/>
          <w:szCs w:val="32"/>
          <w:highlight w:val="none"/>
          <w:lang w:val="en-US" w:eastAsia="zh-CN"/>
        </w:rPr>
        <w:t>20.82万元</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目标1、党校食宿综合楼1栋正常运转，发放聘用人员不少于15人的工资及社保医保缴费； 目标2、项目实施后，保障新建食宿综合楼正常运转，满足学员食宿需求。</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2.阶段性目标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上半年：完成聘用人员15人的1-6月工资及社保医保缴费，保障食宿楼正常运转；</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下半年：完成聘用人员15人的7-12月工资及社保医保缴费，保障食宿楼正常运转。</w:t>
      </w:r>
    </w:p>
    <w:p>
      <w:pPr>
        <w:shd w:val="clear"/>
        <w:spacing w:line="600" w:lineRule="exact"/>
        <w:ind w:firstLine="640" w:firstLineChars="200"/>
        <w:outlineLvl w:val="0"/>
        <w:rPr>
          <w:rFonts w:hint="default" w:eastAsia="仿宋_GB2312" w:cs="Times New Roman"/>
          <w:sz w:val="32"/>
          <w:szCs w:val="32"/>
          <w:highlight w:val="none"/>
          <w:lang w:val="en-US" w:eastAsia="zh-CN"/>
        </w:rPr>
      </w:pP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1.绩效评价完整性</w:t>
      </w:r>
    </w:p>
    <w:p>
      <w:pPr>
        <w:spacing w:line="540" w:lineRule="exact"/>
        <w:ind w:firstLine="640" w:firstLineChars="200"/>
        <w:jc w:val="both"/>
        <w:rPr>
          <w:rFonts w:hint="default" w:ascii="Times New Roman" w:hAnsi="Times New Roman" w:eastAsia="仿宋_GB2312" w:cs="Times New Roman"/>
          <w:b w:val="0"/>
          <w:bCs w:val="0"/>
          <w:kern w:val="2"/>
          <w:sz w:val="32"/>
          <w:szCs w:val="32"/>
          <w:highlight w:val="none"/>
          <w:lang w:val="en-US" w:eastAsia="zh-CN" w:bidi="ar-SA"/>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b w:val="0"/>
          <w:bCs w:val="0"/>
          <w:kern w:val="2"/>
          <w:sz w:val="32"/>
          <w:szCs w:val="32"/>
          <w:highlight w:val="none"/>
          <w:lang w:val="en-US" w:eastAsia="zh-CN" w:bidi="ar-SA"/>
        </w:rPr>
        <w:t>预算绩效评价报告在编制过程中，严格遵循相关法规与标准，确保评价内容的全面性与准确性。报告涵盖了项目从预算编制、执行到完成的全过程，对项目的各项绩效指标进行了细致的梳理与评估。</w:t>
      </w:r>
    </w:p>
    <w:p>
      <w:pPr>
        <w:spacing w:line="540" w:lineRule="exact"/>
        <w:ind w:firstLine="640" w:firstLineChars="200"/>
        <w:jc w:val="left"/>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在评价指标体系的构建上，充分考虑了</w:t>
      </w: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b w:val="0"/>
          <w:bCs w:val="0"/>
          <w:kern w:val="2"/>
          <w:sz w:val="32"/>
          <w:szCs w:val="32"/>
          <w:highlight w:val="none"/>
          <w:lang w:val="en-US" w:eastAsia="zh-CN" w:bidi="ar-SA"/>
        </w:rPr>
        <w:t>的性质、目标以及预期成果，选取了具有代表性和可衡量性的关键指标，涵盖了社会效益，力求全方位反映</w:t>
      </w: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b w:val="0"/>
          <w:bCs w:val="0"/>
          <w:kern w:val="2"/>
          <w:sz w:val="32"/>
          <w:szCs w:val="32"/>
          <w:highlight w:val="none"/>
          <w:lang w:val="en-US" w:eastAsia="zh-CN" w:bidi="ar-SA"/>
        </w:rPr>
        <w:t>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在数据收集与分析环节，</w:t>
      </w:r>
      <w:r>
        <w:rPr>
          <w:rFonts w:hint="eastAsia" w:eastAsia="仿宋_GB2312" w:cs="Times New Roman"/>
          <w:b w:val="0"/>
          <w:bCs w:val="0"/>
          <w:kern w:val="2"/>
          <w:sz w:val="32"/>
          <w:szCs w:val="32"/>
          <w:highlight w:val="none"/>
          <w:lang w:val="en-US" w:eastAsia="zh-CN" w:bidi="ar-SA"/>
        </w:rPr>
        <w:t>我校</w:t>
      </w:r>
      <w:r>
        <w:rPr>
          <w:rFonts w:hint="default" w:ascii="Times New Roman" w:hAnsi="Times New Roman" w:eastAsia="仿宋_GB2312" w:cs="Times New Roman"/>
          <w:b w:val="0"/>
          <w:bCs w:val="0"/>
          <w:kern w:val="2"/>
          <w:sz w:val="32"/>
          <w:szCs w:val="32"/>
          <w:highlight w:val="none"/>
          <w:lang w:val="en-US" w:eastAsia="zh-CN" w:bidi="ar-SA"/>
        </w:rPr>
        <w:t>采用了多种科学合理的方法，如问卷调查、数据分析等，确保</w:t>
      </w:r>
      <w:r>
        <w:rPr>
          <w:rFonts w:hint="eastAsia" w:eastAsia="仿宋_GB2312" w:cs="Times New Roman"/>
          <w:b w:val="0"/>
          <w:bCs w:val="0"/>
          <w:kern w:val="2"/>
          <w:sz w:val="32"/>
          <w:szCs w:val="32"/>
          <w:highlight w:val="none"/>
          <w:lang w:val="en-US" w:eastAsia="zh-CN" w:bidi="ar-SA"/>
        </w:rPr>
        <w:t>学员打分测评</w:t>
      </w:r>
      <w:r>
        <w:rPr>
          <w:rFonts w:hint="default" w:ascii="Times New Roman" w:hAnsi="Times New Roman" w:eastAsia="仿宋_GB2312" w:cs="Times New Roman"/>
          <w:b w:val="0"/>
          <w:bCs w:val="0"/>
          <w:kern w:val="2"/>
          <w:sz w:val="32"/>
          <w:szCs w:val="32"/>
          <w:highlight w:val="none"/>
          <w:lang w:val="en-US" w:eastAsia="zh-CN" w:bidi="ar-SA"/>
        </w:rPr>
        <w:t>结论的科学性和可靠性。在报告的撰写结构上，按照统一的格式和规范进行编排，内容层次分明、条理清晰。</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b w:val="0"/>
          <w:bCs w:val="0"/>
          <w:kern w:val="2"/>
          <w:sz w:val="32"/>
          <w:szCs w:val="32"/>
          <w:highlight w:val="none"/>
          <w:lang w:val="en-US" w:eastAsia="zh-CN" w:bidi="ar-SA"/>
        </w:rPr>
        <w:t>预算绩效评价报告在内容、方法和数据等方面均具备较高的完整性，能够真实、客观地反映项目的绩效情况，为项目管理决策提供了有价值的参考依据。在未来的工作中，</w:t>
      </w:r>
      <w:r>
        <w:rPr>
          <w:rFonts w:hint="eastAsia" w:eastAsia="仿宋_GB2312" w:cs="Times New Roman"/>
          <w:b w:val="0"/>
          <w:bCs w:val="0"/>
          <w:kern w:val="2"/>
          <w:sz w:val="32"/>
          <w:szCs w:val="32"/>
          <w:highlight w:val="none"/>
          <w:lang w:val="en-US" w:eastAsia="zh-CN" w:bidi="ar-SA"/>
        </w:rPr>
        <w:t>我校</w:t>
      </w:r>
      <w:r>
        <w:rPr>
          <w:rFonts w:hint="default" w:ascii="Times New Roman" w:hAnsi="Times New Roman" w:eastAsia="仿宋_GB2312" w:cs="Times New Roman"/>
          <w:b w:val="0"/>
          <w:bCs w:val="0"/>
          <w:kern w:val="2"/>
          <w:sz w:val="32"/>
          <w:szCs w:val="32"/>
          <w:highlight w:val="none"/>
          <w:lang w:val="en-US" w:eastAsia="zh-CN" w:bidi="ar-SA"/>
        </w:rPr>
        <w:t>将继续完善绩效评价体系，不断提升评价工作的质量和水平，</w:t>
      </w:r>
      <w:r>
        <w:rPr>
          <w:rFonts w:hint="default" w:ascii="Times New Roman" w:hAnsi="Times New Roman" w:eastAsia="仿宋_GB2312" w:cs="Times New Roman"/>
          <w:b w:val="0"/>
          <w:bCs w:val="0"/>
          <w:kern w:val="28"/>
          <w:sz w:val="32"/>
          <w:szCs w:val="32"/>
          <w:lang w:val="en-US" w:eastAsia="zh-CN" w:bidi="ar-SA"/>
        </w:rPr>
        <w:t>以更好地服务于项目的管理和优化。</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2.绩效评价的目的</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通过对</w:t>
      </w: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b w:val="0"/>
          <w:bCs w:val="0"/>
          <w:kern w:val="28"/>
          <w:sz w:val="32"/>
          <w:szCs w:val="32"/>
          <w:lang w:val="en-US" w:eastAsia="zh-CN" w:bidi="ar-SA"/>
        </w:rPr>
        <w:t>预算执行情况及各项绩效目标达成程度的系统性分析，全面、客观地评估</w:t>
      </w: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eastAsia" w:eastAsia="仿宋_GB2312" w:cs="Times New Roman"/>
          <w:sz w:val="32"/>
          <w:szCs w:val="32"/>
          <w:lang w:val="en-US" w:eastAsia="zh-CN"/>
        </w:rPr>
        <w:t>运行以来</w:t>
      </w:r>
      <w:r>
        <w:rPr>
          <w:rFonts w:hint="eastAsia" w:eastAsia="仿宋_GB2312" w:cs="Times New Roman"/>
          <w:b w:val="0"/>
          <w:bCs w:val="0"/>
          <w:kern w:val="28"/>
          <w:sz w:val="32"/>
          <w:szCs w:val="32"/>
          <w:lang w:val="en-US" w:eastAsia="zh-CN" w:bidi="ar-SA"/>
        </w:rPr>
        <w:t>干部培训工作中取得的成效</w:t>
      </w:r>
      <w:r>
        <w:rPr>
          <w:rFonts w:hint="default" w:ascii="Times New Roman" w:hAnsi="Times New Roman" w:eastAsia="仿宋_GB2312" w:cs="Times New Roman"/>
          <w:b w:val="0"/>
          <w:bCs w:val="0"/>
          <w:kern w:val="28"/>
          <w:sz w:val="32"/>
          <w:szCs w:val="32"/>
          <w:lang w:val="en-US" w:eastAsia="zh-CN" w:bidi="ar-SA"/>
        </w:rPr>
        <w:t>，为</w:t>
      </w: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b w:val="0"/>
          <w:bCs w:val="0"/>
          <w:kern w:val="28"/>
          <w:sz w:val="32"/>
          <w:szCs w:val="32"/>
          <w:lang w:val="en-US" w:eastAsia="zh-CN" w:bidi="ar-SA"/>
        </w:rPr>
        <w:t>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eastAsia" w:eastAsia="仿宋_GB2312" w:cs="Times New Roman"/>
          <w:sz w:val="32"/>
          <w:szCs w:val="32"/>
          <w:lang w:val="en-US" w:eastAsia="zh-CN"/>
        </w:rPr>
        <w:t>预算资金投入50万元，实际执行30万元，保障食宿综合楼期间的正常运转。资金支付及时率达到60%。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明确</w:t>
      </w:r>
      <w:r>
        <w:rPr>
          <w:rFonts w:hint="eastAsia" w:eastAsia="仿宋_GB2312" w:cs="Times New Roman"/>
          <w:sz w:val="32"/>
          <w:szCs w:val="32"/>
          <w:lang w:val="en-US" w:eastAsia="zh-CN"/>
        </w:rPr>
        <w:t>党校食宿综合楼运转经费</w:t>
      </w:r>
      <w:r>
        <w:rPr>
          <w:rFonts w:hint="default" w:ascii="Times New Roman" w:hAnsi="Times New Roman" w:eastAsia="仿宋_GB2312" w:cs="Times New Roman"/>
          <w:b w:val="0"/>
          <w:bCs w:val="0"/>
          <w:kern w:val="28"/>
          <w:sz w:val="32"/>
          <w:szCs w:val="32"/>
          <w:lang w:val="en-US" w:eastAsia="zh-CN" w:bidi="ar-SA"/>
        </w:rPr>
        <w:t>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（4）促进项目持续改进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b w:val="0"/>
          <w:bCs w:val="0"/>
          <w:kern w:val="28"/>
          <w:sz w:val="32"/>
          <w:szCs w:val="32"/>
          <w:lang w:val="en-US" w:eastAsia="zh-CN" w:bidi="ar-SA"/>
        </w:rPr>
        <w:t>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3.绩效评价的对象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党校食宿综合楼运转经费</w:t>
      </w:r>
      <w:r>
        <w:rPr>
          <w:rFonts w:hint="default" w:ascii="Times New Roman" w:hAnsi="Times New Roman" w:eastAsia="仿宋_GB2312" w:cs="Times New Roman"/>
          <w:b w:val="0"/>
          <w:bCs w:val="0"/>
          <w:kern w:val="28"/>
          <w:sz w:val="32"/>
          <w:szCs w:val="32"/>
          <w:lang w:val="en-US" w:eastAsia="zh-CN" w:bidi="ar-SA"/>
        </w:rPr>
        <w:t>项目预算绩效评价报告的评价对象是</w:t>
      </w:r>
      <w:r>
        <w:rPr>
          <w:rFonts w:hint="eastAsia" w:ascii="Times New Roman" w:hAnsi="Times New Roman" w:eastAsia="仿宋_GB2312" w:cs="Times New Roman"/>
          <w:b w:val="0"/>
          <w:bCs w:val="0"/>
          <w:kern w:val="28"/>
          <w:sz w:val="32"/>
          <w:szCs w:val="32"/>
          <w:lang w:val="en-US" w:eastAsia="zh-CN" w:bidi="ar-SA"/>
        </w:rPr>
        <w:t>党校食宿综合楼运转经费</w:t>
      </w:r>
      <w:r>
        <w:rPr>
          <w:rFonts w:hint="default" w:ascii="Times New Roman" w:hAnsi="Times New Roman" w:eastAsia="仿宋_GB2312" w:cs="Times New Roman"/>
          <w:b w:val="0"/>
          <w:bCs w:val="0"/>
          <w:kern w:val="28"/>
          <w:sz w:val="32"/>
          <w:szCs w:val="32"/>
          <w:lang w:val="en-US" w:eastAsia="zh-CN" w:bidi="ar-SA"/>
        </w:rPr>
        <w:t>项目及其预算执行情况。该项目由</w:t>
      </w:r>
      <w:r>
        <w:rPr>
          <w:rFonts w:hint="eastAsia" w:ascii="Times New Roman" w:hAnsi="Times New Roman" w:eastAsia="仿宋_GB2312" w:cs="Times New Roman"/>
          <w:b w:val="0"/>
          <w:bCs w:val="0"/>
          <w:kern w:val="28"/>
          <w:sz w:val="32"/>
          <w:szCs w:val="32"/>
          <w:lang w:val="en-US" w:eastAsia="zh-CN" w:bidi="ar-SA"/>
        </w:rPr>
        <w:t>中共库尔勒市委员会党校</w:t>
      </w:r>
      <w:r>
        <w:rPr>
          <w:rFonts w:hint="default" w:ascii="Times New Roman" w:hAnsi="Times New Roman" w:eastAsia="仿宋_GB2312" w:cs="Times New Roman"/>
          <w:b w:val="0"/>
          <w:bCs w:val="0"/>
          <w:kern w:val="28"/>
          <w:sz w:val="32"/>
          <w:szCs w:val="32"/>
          <w:lang w:val="en-US" w:eastAsia="zh-CN" w:bidi="ar-SA"/>
        </w:rPr>
        <w:t>负责实施，旨在</w:t>
      </w:r>
      <w:r>
        <w:rPr>
          <w:rFonts w:hint="eastAsia" w:ascii="Times New Roman" w:hAnsi="Times New Roman" w:eastAsia="仿宋_GB2312" w:cs="Times New Roman"/>
          <w:b w:val="0"/>
          <w:bCs w:val="0"/>
          <w:kern w:val="28"/>
          <w:sz w:val="32"/>
          <w:szCs w:val="32"/>
          <w:lang w:val="en-US" w:eastAsia="zh-CN" w:bidi="ar-SA"/>
        </w:rPr>
        <w:t>满足学员食宿需求。</w:t>
      </w:r>
      <w:r>
        <w:rPr>
          <w:rFonts w:hint="default" w:ascii="Times New Roman" w:hAnsi="Times New Roman" w:eastAsia="仿宋_GB2312" w:cs="Times New Roman"/>
          <w:b w:val="0"/>
          <w:bCs w:val="0"/>
          <w:kern w:val="28"/>
          <w:sz w:val="32"/>
          <w:szCs w:val="32"/>
          <w:lang w:val="en-US" w:eastAsia="zh-CN" w:bidi="ar-SA"/>
        </w:rPr>
        <w:t>项目预算涵盖从</w:t>
      </w:r>
      <w:r>
        <w:rPr>
          <w:rFonts w:hint="eastAsia" w:ascii="Times New Roman" w:hAnsi="Times New Roman" w:eastAsia="仿宋_GB2312" w:cs="Times New Roman"/>
          <w:b w:val="0"/>
          <w:bCs w:val="0"/>
          <w:kern w:val="28"/>
          <w:sz w:val="32"/>
          <w:szCs w:val="32"/>
          <w:lang w:val="en-US" w:eastAsia="zh-CN" w:bidi="ar-SA"/>
        </w:rPr>
        <w:t>2024年1月1日</w:t>
      </w:r>
      <w:r>
        <w:rPr>
          <w:rFonts w:hint="default" w:ascii="Times New Roman" w:hAnsi="Times New Roman" w:eastAsia="仿宋_GB2312" w:cs="Times New Roman"/>
          <w:b w:val="0"/>
          <w:bCs w:val="0"/>
          <w:kern w:val="28"/>
          <w:sz w:val="32"/>
          <w:szCs w:val="32"/>
          <w:lang w:val="en-US" w:eastAsia="zh-CN" w:bidi="ar-SA"/>
        </w:rPr>
        <w:t>至</w:t>
      </w:r>
      <w:r>
        <w:rPr>
          <w:rFonts w:hint="eastAsia" w:ascii="Times New Roman" w:hAnsi="Times New Roman" w:eastAsia="仿宋_GB2312" w:cs="Times New Roman"/>
          <w:b w:val="0"/>
          <w:bCs w:val="0"/>
          <w:kern w:val="28"/>
          <w:sz w:val="32"/>
          <w:szCs w:val="32"/>
          <w:lang w:val="en-US" w:eastAsia="zh-CN" w:bidi="ar-SA"/>
        </w:rPr>
        <w:t>2024年12月31日</w:t>
      </w:r>
      <w:r>
        <w:rPr>
          <w:rFonts w:hint="default" w:ascii="Times New Roman" w:hAnsi="Times New Roman" w:eastAsia="仿宋_GB2312" w:cs="Times New Roman"/>
          <w:b w:val="0"/>
          <w:bCs w:val="0"/>
          <w:kern w:val="28"/>
          <w:sz w:val="32"/>
          <w:szCs w:val="32"/>
          <w:lang w:val="en-US" w:eastAsia="zh-CN" w:bidi="ar-SA"/>
        </w:rPr>
        <w:t>的全部资金投入与支出，涉及资金总额为</w:t>
      </w:r>
      <w:r>
        <w:rPr>
          <w:rFonts w:hint="eastAsia" w:ascii="Times New Roman" w:hAnsi="Times New Roman" w:eastAsia="仿宋_GB2312" w:cs="Times New Roman"/>
          <w:b w:val="0"/>
          <w:bCs w:val="0"/>
          <w:kern w:val="28"/>
          <w:sz w:val="32"/>
          <w:szCs w:val="32"/>
          <w:lang w:val="en-US" w:eastAsia="zh-CN" w:bidi="ar-SA"/>
        </w:rPr>
        <w:t>30</w:t>
      </w:r>
      <w:r>
        <w:rPr>
          <w:rFonts w:hint="default" w:ascii="Times New Roman" w:hAnsi="Times New Roman" w:eastAsia="仿宋_GB2312" w:cs="Times New Roman"/>
          <w:b w:val="0"/>
          <w:bCs w:val="0"/>
          <w:kern w:val="28"/>
          <w:sz w:val="32"/>
          <w:szCs w:val="32"/>
          <w:lang w:val="en-US" w:eastAsia="zh-CN" w:bidi="ar-SA"/>
        </w:rPr>
        <w:t>万元。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4.绩效评价的范围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eastAsia" w:ascii="Times New Roman" w:hAnsi="Times New Roman" w:eastAsia="仿宋_GB2312" w:cs="Times New Roman"/>
          <w:b w:val="0"/>
          <w:bCs w:val="0"/>
          <w:kern w:val="28"/>
          <w:sz w:val="32"/>
          <w:szCs w:val="32"/>
          <w:lang w:val="en-US" w:eastAsia="zh-CN" w:bidi="ar-SA"/>
        </w:rPr>
        <w:t>党校食宿综合楼运转经费</w:t>
      </w:r>
      <w:r>
        <w:rPr>
          <w:rFonts w:hint="default" w:ascii="Times New Roman" w:hAnsi="Times New Roman" w:eastAsia="仿宋_GB2312" w:cs="Times New Roman"/>
          <w:b w:val="0"/>
          <w:bCs w:val="0"/>
          <w:kern w:val="28"/>
          <w:sz w:val="32"/>
          <w:szCs w:val="32"/>
          <w:lang w:val="en-US" w:eastAsia="zh-CN" w:bidi="ar-SA"/>
        </w:rPr>
        <w:t>项目</w:t>
      </w:r>
      <w:r>
        <w:rPr>
          <w:rFonts w:hint="default" w:ascii="Times New Roman" w:hAnsi="Times New Roman" w:eastAsia="仿宋_GB2312" w:cs="Times New Roman"/>
          <w:b w:val="0"/>
          <w:bCs w:val="0"/>
          <w:lang w:val="en-US" w:eastAsia="zh-CN"/>
        </w:rPr>
        <w:t>预算绩效评价报告的评价范围广泛而全面，涵盖了从项目立项至评价时点期间的所有关键预算活动和财务流程</w:t>
      </w:r>
      <w:r>
        <w:rPr>
          <w:rFonts w:hint="eastAsia" w:ascii="Times New Roman" w:hAnsi="Times New Roman" w:eastAsia="仿宋_GB2312" w:cs="Times New Roman"/>
          <w:b w:val="0"/>
          <w:bCs w:val="0"/>
          <w:lang w:val="en-US" w:eastAsia="zh-CN"/>
        </w:rPr>
        <w:t>，具体如下。</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项目预算编制与执行：全面审视</w:t>
      </w:r>
      <w:r>
        <w:rPr>
          <w:rFonts w:hint="eastAsia" w:ascii="Times New Roman" w:hAnsi="Times New Roman" w:eastAsia="仿宋_GB2312" w:cs="Times New Roman"/>
          <w:b w:val="0"/>
          <w:bCs w:val="0"/>
          <w:kern w:val="28"/>
          <w:sz w:val="32"/>
          <w:szCs w:val="32"/>
          <w:lang w:val="en-US" w:eastAsia="zh-CN" w:bidi="ar-SA"/>
        </w:rPr>
        <w:t>党校食宿综合楼运转经费</w:t>
      </w:r>
      <w:r>
        <w:rPr>
          <w:rFonts w:hint="default" w:ascii="Times New Roman" w:hAnsi="Times New Roman" w:eastAsia="仿宋_GB2312" w:cs="Times New Roman"/>
          <w:b w:val="0"/>
          <w:bCs w:val="0"/>
          <w:kern w:val="28"/>
          <w:sz w:val="32"/>
          <w:szCs w:val="32"/>
          <w:lang w:val="en-US" w:eastAsia="zh-CN" w:bidi="ar-SA"/>
        </w:rPr>
        <w:t>项目</w:t>
      </w:r>
      <w:r>
        <w:rPr>
          <w:rFonts w:hint="default" w:ascii="Times New Roman" w:hAnsi="Times New Roman" w:eastAsia="仿宋_GB2312" w:cs="Times New Roman"/>
          <w:b w:val="0"/>
          <w:bCs w:val="0"/>
          <w:lang w:val="en-US" w:eastAsia="zh-CN"/>
        </w:rPr>
        <w:t>预算的编制依据、合理性、科学性以及实际执行情况，包括预算调整的原因和效果。</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资金管理：深入分析</w:t>
      </w:r>
      <w:r>
        <w:rPr>
          <w:rFonts w:hint="eastAsia" w:ascii="Times New Roman" w:hAnsi="Times New Roman" w:eastAsia="仿宋_GB2312" w:cs="Times New Roman"/>
          <w:b w:val="0"/>
          <w:bCs w:val="0"/>
          <w:kern w:val="28"/>
          <w:sz w:val="32"/>
          <w:szCs w:val="32"/>
          <w:lang w:val="en-US" w:eastAsia="zh-CN" w:bidi="ar-SA"/>
        </w:rPr>
        <w:t>党校食宿综合楼运转经费</w:t>
      </w:r>
      <w:r>
        <w:rPr>
          <w:rFonts w:hint="default" w:ascii="Times New Roman" w:hAnsi="Times New Roman" w:eastAsia="仿宋_GB2312" w:cs="Times New Roman"/>
          <w:b w:val="0"/>
          <w:bCs w:val="0"/>
          <w:kern w:val="28"/>
          <w:sz w:val="32"/>
          <w:szCs w:val="32"/>
          <w:lang w:val="en-US" w:eastAsia="zh-CN" w:bidi="ar-SA"/>
        </w:rPr>
        <w:t>项目</w:t>
      </w:r>
      <w:r>
        <w:rPr>
          <w:rFonts w:hint="default" w:ascii="Times New Roman" w:hAnsi="Times New Roman" w:eastAsia="仿宋_GB2312" w:cs="Times New Roman"/>
          <w:b w:val="0"/>
          <w:bCs w:val="0"/>
          <w:lang w:val="en-US" w:eastAsia="zh-CN"/>
        </w:rPr>
        <w:t>资金的分配、使用和监管情况，确保资金使用的合规性、高效性和透明度。</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项目实施进度与产出：评估</w:t>
      </w:r>
      <w:r>
        <w:rPr>
          <w:rFonts w:hint="eastAsia" w:ascii="Times New Roman" w:hAnsi="Times New Roman" w:eastAsia="仿宋_GB2312" w:cs="Times New Roman"/>
          <w:b w:val="0"/>
          <w:bCs w:val="0"/>
          <w:kern w:val="28"/>
          <w:sz w:val="32"/>
          <w:szCs w:val="32"/>
          <w:lang w:val="en-US" w:eastAsia="zh-CN" w:bidi="ar-SA"/>
        </w:rPr>
        <w:t>党校食宿综合楼运转经费</w:t>
      </w:r>
      <w:r>
        <w:rPr>
          <w:rFonts w:hint="default" w:ascii="Times New Roman" w:hAnsi="Times New Roman" w:eastAsia="仿宋_GB2312" w:cs="Times New Roman"/>
          <w:b w:val="0"/>
          <w:bCs w:val="0"/>
          <w:kern w:val="28"/>
          <w:sz w:val="32"/>
          <w:szCs w:val="32"/>
          <w:lang w:val="en-US" w:eastAsia="zh-CN" w:bidi="ar-SA"/>
        </w:rPr>
        <w:t>项目</w:t>
      </w:r>
      <w:r>
        <w:rPr>
          <w:rFonts w:hint="default" w:ascii="Times New Roman" w:hAnsi="Times New Roman" w:eastAsia="仿宋_GB2312" w:cs="Times New Roman"/>
          <w:b w:val="0"/>
          <w:bCs w:val="0"/>
          <w:lang w:val="en-US" w:eastAsia="zh-CN"/>
        </w:rPr>
        <w:t>是否按照既定计划顺利推进，各项任务是否按时完成，以及项目产出的数量、质量和时效性是否符合预期。</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社会影响：考察</w:t>
      </w:r>
      <w:r>
        <w:rPr>
          <w:rFonts w:hint="eastAsia" w:ascii="Times New Roman" w:hAnsi="Times New Roman" w:eastAsia="仿宋_GB2312" w:cs="Times New Roman"/>
          <w:b w:val="0"/>
          <w:bCs w:val="0"/>
          <w:kern w:val="28"/>
          <w:sz w:val="32"/>
          <w:szCs w:val="32"/>
          <w:lang w:val="en-US" w:eastAsia="zh-CN" w:bidi="ar-SA"/>
        </w:rPr>
        <w:t>党校食宿综合楼运转经费</w:t>
      </w:r>
      <w:r>
        <w:rPr>
          <w:rFonts w:hint="default" w:ascii="Times New Roman" w:hAnsi="Times New Roman" w:eastAsia="仿宋_GB2312" w:cs="Times New Roman"/>
          <w:b w:val="0"/>
          <w:bCs w:val="0"/>
          <w:kern w:val="28"/>
          <w:sz w:val="32"/>
          <w:szCs w:val="32"/>
          <w:lang w:val="en-US" w:eastAsia="zh-CN" w:bidi="ar-SA"/>
        </w:rPr>
        <w:t>项目</w:t>
      </w:r>
      <w:r>
        <w:rPr>
          <w:rFonts w:hint="default" w:ascii="Times New Roman" w:hAnsi="Times New Roman" w:eastAsia="仿宋_GB2312" w:cs="Times New Roman"/>
          <w:b w:val="0"/>
          <w:bCs w:val="0"/>
          <w:lang w:val="en-US" w:eastAsia="zh-CN"/>
        </w:rPr>
        <w:t>对社会方面的综合影响。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w:t>
      </w:r>
      <w:r>
        <w:rPr>
          <w:rFonts w:hint="eastAsia" w:ascii="Times New Roman" w:hAnsi="Times New Roman" w:eastAsia="仿宋_GB2312" w:cs="Times New Roman"/>
          <w:b w:val="0"/>
          <w:bCs w:val="0"/>
          <w:kern w:val="28"/>
          <w:sz w:val="32"/>
          <w:szCs w:val="32"/>
          <w:lang w:val="en-US" w:eastAsia="zh-CN" w:bidi="ar-SA"/>
        </w:rPr>
        <w:t>党校食宿综合楼运转经费</w:t>
      </w:r>
      <w:r>
        <w:rPr>
          <w:rFonts w:hint="default" w:ascii="Times New Roman" w:hAnsi="Times New Roman" w:eastAsia="仿宋_GB2312" w:cs="Times New Roman"/>
          <w:b w:val="0"/>
          <w:bCs w:val="0"/>
          <w:kern w:val="28"/>
          <w:sz w:val="32"/>
          <w:szCs w:val="32"/>
          <w:lang w:val="en-US" w:eastAsia="zh-CN" w:bidi="ar-SA"/>
        </w:rPr>
        <w:t>项目</w:t>
      </w:r>
      <w:r>
        <w:rPr>
          <w:rFonts w:hint="default" w:ascii="Times New Roman" w:hAnsi="Times New Roman" w:eastAsia="仿宋_GB2312" w:cs="Times New Roman"/>
          <w:b w:val="0"/>
          <w:bCs w:val="0"/>
        </w:rPr>
        <w:t>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w:t>
      </w:r>
      <w:r>
        <w:rPr>
          <w:rFonts w:hint="eastAsia" w:ascii="Times New Roman" w:hAnsi="Times New Roman" w:eastAsia="仿宋_GB2312" w:cs="Times New Roman"/>
          <w:b w:val="0"/>
          <w:bCs w:val="0"/>
        </w:rPr>
        <w:t>“谁支出、谁自评”</w:t>
      </w:r>
      <w:r>
        <w:rPr>
          <w:rFonts w:hint="eastAsia" w:ascii="方正仿宋_GBK" w:hAnsi="方正仿宋_GBK" w:eastAsia="方正仿宋_GBK" w:cs="方正仿宋_GBK"/>
          <w:b w:val="0"/>
          <w:bCs w:val="0"/>
        </w:rPr>
        <w:t>。</w:t>
      </w:r>
      <w:r>
        <w:rPr>
          <w:rFonts w:hint="default" w:ascii="Times New Roman" w:hAnsi="Times New Roman" w:eastAsia="仿宋_GB2312" w:cs="Times New Roman"/>
          <w:b w:val="0"/>
          <w:bCs w:val="0"/>
        </w:rPr>
        <w:t>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w:t>
      </w:r>
      <w:r>
        <w:rPr>
          <w:rFonts w:hint="eastAsia" w:eastAsia="仿宋_GB2312" w:cs="Times New Roman"/>
          <w:color w:val="000000"/>
          <w:spacing w:val="17"/>
          <w:sz w:val="32"/>
          <w:szCs w:val="32"/>
          <w:lang w:val="en-US" w:eastAsia="zh-CN"/>
        </w:rPr>
        <w:t>采用了</w:t>
      </w:r>
      <w:r>
        <w:rPr>
          <w:rFonts w:hint="default" w:ascii="Times New Roman" w:hAnsi="Times New Roman" w:eastAsia="仿宋_GB2312" w:cs="Times New Roman"/>
          <w:color w:val="000000"/>
          <w:spacing w:val="17"/>
          <w:sz w:val="32"/>
          <w:szCs w:val="32"/>
        </w:rPr>
        <w:t>成本效益分析法。</w:t>
      </w:r>
      <w:r>
        <w:rPr>
          <w:rFonts w:hint="eastAsia" w:eastAsia="仿宋_GB2312" w:cs="Times New Roman"/>
          <w:color w:val="000000"/>
          <w:spacing w:val="17"/>
          <w:sz w:val="32"/>
          <w:szCs w:val="32"/>
          <w:lang w:val="en-US" w:eastAsia="zh-CN"/>
        </w:rPr>
        <w:t>原因是成本效益分析法能直观分析</w:t>
      </w:r>
      <w:r>
        <w:rPr>
          <w:rFonts w:hint="eastAsia" w:ascii="Times New Roman" w:hAnsi="Times New Roman" w:eastAsia="仿宋_GB2312" w:cs="Times New Roman"/>
          <w:b w:val="0"/>
          <w:bCs w:val="0"/>
          <w:kern w:val="28"/>
          <w:sz w:val="32"/>
          <w:szCs w:val="32"/>
          <w:lang w:val="en-US" w:eastAsia="zh-CN" w:bidi="ar-SA"/>
        </w:rPr>
        <w:t>党校食宿综合楼运转经费</w:t>
      </w:r>
      <w:r>
        <w:rPr>
          <w:rFonts w:hint="default" w:ascii="Times New Roman" w:hAnsi="Times New Roman" w:eastAsia="仿宋_GB2312" w:cs="Times New Roman"/>
          <w:b w:val="0"/>
          <w:bCs w:val="0"/>
          <w:kern w:val="28"/>
          <w:sz w:val="32"/>
          <w:szCs w:val="32"/>
          <w:lang w:val="en-US" w:eastAsia="zh-CN" w:bidi="ar-SA"/>
        </w:rPr>
        <w:t>项目</w:t>
      </w:r>
      <w:r>
        <w:rPr>
          <w:rFonts w:hint="eastAsia" w:eastAsia="仿宋_GB2312" w:cs="Times New Roman"/>
          <w:b w:val="0"/>
          <w:bCs w:val="0"/>
          <w:kern w:val="28"/>
          <w:sz w:val="32"/>
          <w:szCs w:val="32"/>
          <w:lang w:val="en-US" w:eastAsia="zh-CN" w:bidi="ar-SA"/>
        </w:rPr>
        <w:t>的全部成本和效益来评估项目价值。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4</w:t>
      </w:r>
      <w:r>
        <w:rPr>
          <w:rFonts w:hint="default" w:ascii="Times New Roman" w:hAnsi="Times New Roman" w:eastAsia="仿宋_GB2312" w:cs="Times New Roman"/>
          <w:color w:val="000000"/>
          <w:spacing w:val="17"/>
          <w:sz w:val="32"/>
          <w:szCs w:val="32"/>
          <w:lang w:val="en-US" w:eastAsia="zh-CN"/>
        </w:rPr>
        <w:t>.</w:t>
      </w:r>
      <w:r>
        <w:rPr>
          <w:rFonts w:hint="default" w:ascii="Times New Roman" w:hAnsi="Times New Roman" w:eastAsia="仿宋_GB2312" w:cs="Times New Roman"/>
          <w:color w:val="000000"/>
          <w:spacing w:val="17"/>
          <w:sz w:val="32"/>
          <w:szCs w:val="32"/>
        </w:rPr>
        <w:t>评价标准</w:t>
      </w:r>
    </w:p>
    <w:p>
      <w:pPr>
        <w:spacing w:line="560" w:lineRule="exact"/>
        <w:ind w:firstLine="708" w:firstLineChars="200"/>
        <w:rPr>
          <w:rFonts w:hint="default" w:ascii="Times New Roman" w:hAnsi="Times New Roman" w:eastAsia="仿宋_GB2312" w:cs="Times New Roman"/>
          <w:color w:val="000000"/>
          <w:spacing w:val="17"/>
          <w:sz w:val="32"/>
          <w:szCs w:val="32"/>
          <w:lang w:eastAsia="zh-CN"/>
        </w:rPr>
      </w:pPr>
      <w:r>
        <w:rPr>
          <w:rFonts w:hint="default" w:ascii="Times New Roman" w:hAnsi="Times New Roman" w:eastAsia="仿宋_GB2312" w:cs="Times New Roman"/>
          <w:color w:val="000000"/>
          <w:spacing w:val="17"/>
          <w:sz w:val="32"/>
          <w:szCs w:val="32"/>
        </w:rPr>
        <w:t>绩效评价标准通常包括计划标准、行业标准、历史标准等，用于对绩效指标完成情况进行比较、分析、评价。本次评价采用了</w:t>
      </w:r>
      <w:r>
        <w:rPr>
          <w:rFonts w:hint="eastAsia" w:eastAsia="仿宋_GB2312" w:cs="Times New Roman"/>
          <w:color w:val="000000"/>
          <w:spacing w:val="17"/>
          <w:sz w:val="32"/>
          <w:szCs w:val="32"/>
          <w:lang w:val="en-US" w:eastAsia="zh-CN"/>
        </w:rPr>
        <w:t>计划</w:t>
      </w:r>
      <w:r>
        <w:rPr>
          <w:rFonts w:hint="default" w:ascii="Times New Roman" w:hAnsi="Times New Roman" w:eastAsia="仿宋_GB2312" w:cs="Times New Roman"/>
          <w:color w:val="000000"/>
          <w:spacing w:val="17"/>
          <w:sz w:val="32"/>
          <w:szCs w:val="32"/>
        </w:rPr>
        <w:t>标准。</w:t>
      </w:r>
    </w:p>
    <w:p>
      <w:pPr>
        <w:spacing w:line="560" w:lineRule="exact"/>
        <w:ind w:firstLine="708" w:firstLineChars="200"/>
        <w:rPr>
          <w:rFonts w:hint="default" w:ascii="Times New Roman" w:hAnsi="Times New Roman" w:eastAsia="仿宋_GB2312" w:cs="Times New Roman"/>
          <w:color w:val="000000"/>
          <w:spacing w:val="17"/>
          <w:sz w:val="32"/>
          <w:szCs w:val="32"/>
          <w:lang w:val="en-US" w:eastAsia="zh-CN"/>
        </w:rPr>
      </w:pPr>
      <w:r>
        <w:rPr>
          <w:rFonts w:hint="eastAsia" w:eastAsia="仿宋_GB2312" w:cs="Times New Roman"/>
          <w:color w:val="000000"/>
          <w:spacing w:val="17"/>
          <w:sz w:val="32"/>
          <w:szCs w:val="32"/>
          <w:lang w:val="en-US" w:eastAsia="zh-CN"/>
        </w:rPr>
        <w:t>根据</w:t>
      </w:r>
      <w:r>
        <w:rPr>
          <w:rFonts w:hint="eastAsia" w:ascii="Times New Roman" w:hAnsi="Times New Roman" w:eastAsia="仿宋_GB2312" w:cs="Times New Roman"/>
          <w:b w:val="0"/>
          <w:bCs w:val="0"/>
          <w:kern w:val="28"/>
          <w:sz w:val="32"/>
          <w:szCs w:val="32"/>
          <w:lang w:val="en-US" w:eastAsia="zh-CN" w:bidi="ar-SA"/>
        </w:rPr>
        <w:t>党校食宿综合楼运转经费</w:t>
      </w:r>
      <w:r>
        <w:rPr>
          <w:rFonts w:hint="default" w:ascii="Times New Roman" w:hAnsi="Times New Roman" w:eastAsia="仿宋_GB2312" w:cs="Times New Roman"/>
          <w:b w:val="0"/>
          <w:bCs w:val="0"/>
          <w:kern w:val="28"/>
          <w:sz w:val="32"/>
          <w:szCs w:val="32"/>
          <w:lang w:val="en-US" w:eastAsia="zh-CN" w:bidi="ar-SA"/>
        </w:rPr>
        <w:t>项目</w:t>
      </w:r>
      <w:r>
        <w:rPr>
          <w:rFonts w:hint="eastAsia" w:eastAsia="仿宋_GB2312" w:cs="Times New Roman"/>
          <w:color w:val="000000"/>
          <w:spacing w:val="17"/>
          <w:sz w:val="32"/>
          <w:szCs w:val="32"/>
          <w:lang w:val="en-US" w:eastAsia="zh-CN"/>
        </w:rPr>
        <w:t>年初既定</w:t>
      </w:r>
      <w:r>
        <w:rPr>
          <w:rFonts w:hint="default" w:ascii="Times New Roman" w:hAnsi="Times New Roman" w:eastAsia="仿宋_GB2312" w:cs="Times New Roman"/>
          <w:color w:val="000000"/>
          <w:spacing w:val="17"/>
          <w:sz w:val="32"/>
          <w:szCs w:val="32"/>
        </w:rPr>
        <w:t>的目</w:t>
      </w:r>
      <w:r>
        <w:rPr>
          <w:rFonts w:hint="default" w:ascii="Times New Roman" w:hAnsi="Times New Roman" w:eastAsia="仿宋_GB2312" w:cs="Times New Roman"/>
          <w:color w:val="000000"/>
          <w:spacing w:val="17"/>
          <w:sz w:val="32"/>
          <w:szCs w:val="32"/>
          <w:lang w:val="en-US" w:eastAsia="zh-CN"/>
        </w:rPr>
        <w:t>标、计划、预算、定额等作为评价标准。</w:t>
      </w:r>
    </w:p>
    <w:p>
      <w:pPr>
        <w:pStyle w:val="10"/>
        <w:numPr>
          <w:ilvl w:val="0"/>
          <w:numId w:val="1"/>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（1）前期准备与规划</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在项目绩效评价工作启动之初，成立了专门的评价工作小组，</w:t>
      </w:r>
      <w:r>
        <w:rPr>
          <w:rFonts w:hint="eastAsia" w:eastAsia="仿宋_GB2312" w:cs="Times New Roman"/>
          <w:sz w:val="32"/>
          <w:szCs w:val="32"/>
          <w:highlight w:val="none"/>
          <w:lang w:val="en-US" w:eastAsia="zh-CN"/>
        </w:rPr>
        <w:t>组长由党校常务副校长李美玲担任，副组长由副校长王白中担任分，</w:t>
      </w:r>
      <w:r>
        <w:rPr>
          <w:rFonts w:hint="default" w:ascii="Times New Roman" w:hAnsi="Times New Roman" w:eastAsia="仿宋_GB2312" w:cs="Times New Roman"/>
          <w:sz w:val="32"/>
          <w:szCs w:val="32"/>
          <w:highlight w:val="none"/>
          <w:lang w:val="en-US" w:eastAsia="zh-CN"/>
        </w:rPr>
        <w:t>小组成员由</w:t>
      </w:r>
      <w:r>
        <w:rPr>
          <w:rFonts w:hint="eastAsia" w:eastAsia="仿宋_GB2312" w:cs="Times New Roman"/>
          <w:sz w:val="32"/>
          <w:szCs w:val="32"/>
          <w:highlight w:val="none"/>
          <w:lang w:val="en-US" w:eastAsia="zh-CN"/>
        </w:rPr>
        <w:t>总务室主任哈斯木·热合曼、办公室主任李咏民、会计刘凤报账员徐海军</w:t>
      </w:r>
      <w:r>
        <w:rPr>
          <w:rFonts w:hint="default" w:ascii="Times New Roman" w:hAnsi="Times New Roman" w:eastAsia="仿宋_GB2312" w:cs="Times New Roman"/>
          <w:sz w:val="32"/>
          <w:szCs w:val="32"/>
          <w:highlight w:val="none"/>
          <w:lang w:val="en-US" w:eastAsia="zh-CN"/>
        </w:rPr>
        <w:t>组成，确保从多角度、全方位对项目绩效进行评价。同时，明确了评价工作的目标、范围、重点及时间安排，制定了详细的工作计划，为评价工作的顺利开展奠定了坚实基础。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（2）指标体系构建</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highlight w:val="none"/>
          <w:lang w:val="en-US" w:eastAsia="zh-CN"/>
        </w:rPr>
        <w:t>指标体系涵盖了项目决策、项目过程、项目产出、项目效益四个维度，选取了具有代表性和可衡量性的关键指标，并为每个指标设定了明确的评价标准与权重，确保评价结果能够全面、准确地反映项目的绩效状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数据</w:t>
      </w:r>
      <w:r>
        <w:rPr>
          <w:rFonts w:hint="eastAsia" w:ascii="Times New Roman" w:hAnsi="Times New Roman" w:eastAsia="仿宋_GB2312" w:cs="Times New Roman"/>
          <w:sz w:val="32"/>
          <w:szCs w:val="32"/>
          <w:highlight w:val="none"/>
          <w:lang w:val="en-US" w:eastAsia="zh-CN"/>
        </w:rPr>
        <w:t>收集和整理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通过</w:t>
      </w:r>
      <w:r>
        <w:rPr>
          <w:rFonts w:hint="eastAsia" w:eastAsia="仿宋_GB2312" w:cs="Times New Roman"/>
          <w:sz w:val="32"/>
          <w:szCs w:val="32"/>
          <w:highlight w:val="none"/>
          <w:lang w:val="en-US" w:eastAsia="zh-CN"/>
        </w:rPr>
        <w:t>数据收集和整理，包括财务报表、项目文档等内容。</w:t>
      </w:r>
      <w:r>
        <w:rPr>
          <w:rFonts w:hint="eastAsia" w:ascii="Times New Roman" w:hAnsi="Times New Roman" w:eastAsia="仿宋_GB2312" w:cs="Times New Roman"/>
          <w:sz w:val="32"/>
          <w:szCs w:val="32"/>
          <w:highlight w:val="none"/>
          <w:lang w:val="en-US" w:eastAsia="zh-CN"/>
        </w:rPr>
        <w:t>在数据收集过程中，严格把关，确保精准，对缺失或异常的数据进行合理的处理和补充。</w:t>
      </w:r>
      <w:r>
        <w:rPr>
          <w:rFonts w:hint="default" w:ascii="Times New Roman" w:hAnsi="Times New Roman" w:eastAsia="仿宋_GB2312" w:cs="Times New Roman"/>
          <w:sz w:val="32"/>
          <w:szCs w:val="32"/>
          <w:highlight w:val="none"/>
          <w:lang w:val="en-US" w:eastAsia="zh-CN"/>
        </w:rPr>
        <w:t>随后，对收集到的数据进行了系统的整理与分类，为后续的数据分析提供了有力支持。</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）数据分析与评估</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通过</w:t>
      </w: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highlight w:val="none"/>
          <w:lang w:val="en-US" w:eastAsia="zh-CN"/>
        </w:rPr>
        <w:t>各项绩效指标的实际完成情况与预期目标进行对比，</w:t>
      </w:r>
      <w:r>
        <w:rPr>
          <w:rFonts w:hint="eastAsia" w:eastAsia="仿宋_GB2312" w:cs="Times New Roman"/>
          <w:sz w:val="32"/>
          <w:szCs w:val="32"/>
          <w:highlight w:val="none"/>
          <w:lang w:val="en-US" w:eastAsia="zh-CN"/>
        </w:rPr>
        <w:t>项目总体完成率为56.2%，预算执行率60%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整体评价结果为良。党校食宿综合楼1月至7月在进行装修，8月正式运行，食宿综合楼使用频率较低，未按计划聘用服务人员。该项目存在年初预算不准确，未能按项目预算执行。在今后项目绩效目标设立过程中，精准预算、严格执行，避免出现偏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）报告撰写与反馈</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highlight w:val="none"/>
          <w:lang w:val="en-US" w:eastAsia="zh-CN"/>
        </w:rPr>
        <w:t>报告内容包括项目背景、评价目的、评价指标体系、绩效评价结果、存在问题与改进建议等多个部分，条理清晰、重点突出、语言简洁明了。在报告撰写完成后，充分听取</w:t>
      </w:r>
      <w:r>
        <w:rPr>
          <w:rFonts w:hint="eastAsia" w:eastAsia="仿宋_GB2312" w:cs="Times New Roman"/>
          <w:sz w:val="32"/>
          <w:szCs w:val="32"/>
          <w:highlight w:val="none"/>
          <w:lang w:val="en-US" w:eastAsia="zh-CN"/>
        </w:rPr>
        <w:t>审核部门</w:t>
      </w:r>
      <w:r>
        <w:rPr>
          <w:rFonts w:hint="default" w:ascii="Times New Roman" w:hAnsi="Times New Roman" w:eastAsia="仿宋_GB2312" w:cs="Times New Roman"/>
          <w:sz w:val="32"/>
          <w:szCs w:val="32"/>
          <w:highlight w:val="none"/>
          <w:lang w:val="en-US" w:eastAsia="zh-CN"/>
        </w:rPr>
        <w:t>意见与建议，对报告内容进行进一步的完善与优化，确保评价报告的质量与实用性。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（6）后续跟踪与改进</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2"/>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highlight w:val="none"/>
          <w:lang w:val="en-US" w:eastAsia="zh-CN"/>
        </w:rPr>
        <w:t>的综合评价基于对项目各方面绩效的深入分析与评估。从项目目标的达成情况来看，</w:t>
      </w:r>
      <w:r>
        <w:rPr>
          <w:rFonts w:hint="eastAsia" w:ascii="Times New Roman" w:hAnsi="Times New Roman" w:eastAsia="仿宋_GB2312" w:cs="Times New Roman"/>
          <w:sz w:val="32"/>
          <w:szCs w:val="32"/>
          <w:highlight w:val="none"/>
          <w:lang w:val="en-US" w:eastAsia="zh-CN"/>
        </w:rPr>
        <w:t>党校食宿综合楼运转经费</w:t>
      </w:r>
      <w:r>
        <w:rPr>
          <w:rFonts w:hint="default" w:ascii="Times New Roman" w:hAnsi="Times New Roman" w:eastAsia="仿宋_GB2312" w:cs="Times New Roman"/>
          <w:sz w:val="32"/>
          <w:szCs w:val="32"/>
          <w:highlight w:val="none"/>
          <w:lang w:val="en-US" w:eastAsia="zh-CN"/>
        </w:rPr>
        <w:t>在目标1.党校食宿综合楼1栋正常运转，发放聘用人员不少于15人的工资及社保医保缴费；目标2.项目实施后，保障新建食宿综合楼正常运转，满足学员食宿需求。等方面表现出色，达到了预期的标准与要求。同时，项目也在</w:t>
      </w:r>
      <w:r>
        <w:rPr>
          <w:rFonts w:hint="eastAsia" w:ascii="Times New Roman" w:hAnsi="Times New Roman" w:eastAsia="仿宋_GB2312" w:cs="Times New Roman"/>
          <w:sz w:val="32"/>
          <w:szCs w:val="32"/>
          <w:highlight w:val="none"/>
          <w:lang w:val="en-US" w:eastAsia="zh-CN"/>
        </w:rPr>
        <w:t>干部教育培训领域</w:t>
      </w:r>
      <w:r>
        <w:rPr>
          <w:rFonts w:hint="default" w:ascii="Times New Roman" w:hAnsi="Times New Roman" w:eastAsia="仿宋_GB2312" w:cs="Times New Roman"/>
          <w:sz w:val="32"/>
          <w:szCs w:val="32"/>
          <w:highlight w:val="none"/>
          <w:lang w:val="en-US" w:eastAsia="zh-CN"/>
        </w:rPr>
        <w:t>取得了显著的成效，如</w:t>
      </w:r>
      <w:r>
        <w:rPr>
          <w:rFonts w:hint="eastAsia" w:ascii="Times New Roman" w:hAnsi="Times New Roman" w:eastAsia="仿宋_GB2312" w:cs="Times New Roman"/>
          <w:sz w:val="32"/>
          <w:szCs w:val="32"/>
          <w:highlight w:val="none"/>
          <w:lang w:val="en-US" w:eastAsia="zh-CN"/>
        </w:rPr>
        <w:t>成功举办主体班、轮训班</w:t>
      </w:r>
      <w:r>
        <w:rPr>
          <w:rFonts w:hint="default" w:ascii="Times New Roman" w:hAnsi="Times New Roman" w:eastAsia="仿宋_GB2312" w:cs="Times New Roman"/>
          <w:sz w:val="32"/>
          <w:szCs w:val="32"/>
          <w:highlight w:val="none"/>
          <w:lang w:val="en-US" w:eastAsia="zh-CN"/>
        </w:rPr>
        <w:t>等。</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在项目管理方面，</w:t>
      </w:r>
      <w:r>
        <w:rPr>
          <w:rFonts w:hint="eastAsia" w:ascii="Times New Roman" w:hAnsi="Times New Roman" w:eastAsia="仿宋_GB2312" w:cs="Times New Roman"/>
          <w:sz w:val="32"/>
          <w:szCs w:val="32"/>
          <w:highlight w:val="none"/>
          <w:lang w:val="en-US" w:eastAsia="zh-CN"/>
        </w:rPr>
        <w:t>中共库尔勒市委员会党校</w:t>
      </w:r>
      <w:r>
        <w:rPr>
          <w:rFonts w:hint="default" w:ascii="Times New Roman" w:hAnsi="Times New Roman" w:eastAsia="仿宋_GB2312" w:cs="Times New Roman"/>
          <w:sz w:val="32"/>
          <w:szCs w:val="32"/>
          <w:highlight w:val="none"/>
          <w:lang w:val="en-US" w:eastAsia="zh-CN"/>
        </w:rPr>
        <w:t>通过有效的规划、组织与协调，项目得以顺利实施，并在预算与时间上保持了良好的控制。</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从项目效益的角度来看，本项目不仅实现了预期的社会效益方面产生了积极的影响。具体而言，</w:t>
      </w:r>
      <w:r>
        <w:rPr>
          <w:rFonts w:hint="eastAsia" w:ascii="Times New Roman" w:hAnsi="Times New Roman" w:eastAsia="仿宋_GB2312" w:cs="Times New Roman"/>
          <w:sz w:val="32"/>
          <w:szCs w:val="32"/>
          <w:highlight w:val="none"/>
          <w:lang w:val="en-US" w:eastAsia="zh-CN"/>
        </w:rPr>
        <w:t>社会效益方</w:t>
      </w:r>
      <w:r>
        <w:rPr>
          <w:rFonts w:hint="default" w:ascii="Times New Roman" w:hAnsi="Times New Roman" w:eastAsia="仿宋_GB2312" w:cs="Times New Roman"/>
          <w:sz w:val="32"/>
          <w:szCs w:val="32"/>
          <w:highlight w:val="none"/>
          <w:lang w:val="en-US" w:eastAsia="zh-CN"/>
        </w:rPr>
        <w:t>面的提升，为项目的利益相关者带来了实实在在的利益。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综上所述，</w:t>
      </w:r>
      <w:r>
        <w:rPr>
          <w:rFonts w:hint="eastAsia" w:ascii="Times New Roman" w:hAnsi="Times New Roman" w:eastAsia="仿宋_GB2312" w:cs="Times New Roman"/>
          <w:sz w:val="32"/>
          <w:szCs w:val="32"/>
          <w:highlight w:val="none"/>
          <w:lang w:val="en-US" w:eastAsia="zh-CN"/>
        </w:rPr>
        <w:t>党校食宿综合楼运转经费</w:t>
      </w:r>
      <w:r>
        <w:rPr>
          <w:rFonts w:hint="default" w:ascii="Times New Roman" w:hAnsi="Times New Roman" w:eastAsia="仿宋_GB2312" w:cs="Times New Roman"/>
          <w:sz w:val="32"/>
          <w:szCs w:val="32"/>
          <w:highlight w:val="none"/>
          <w:lang w:val="en-US" w:eastAsia="zh-CN"/>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lang w:val="en-US" w:eastAsia="zh-CN"/>
        </w:rPr>
        <w:t>93</w:t>
      </w:r>
      <w:r>
        <w:rPr>
          <w:rFonts w:hint="default" w:ascii="Times New Roman" w:hAnsi="Times New Roman" w:eastAsia="仿宋_GB2312" w:cs="Times New Roman"/>
          <w:b w:val="0"/>
          <w:bCs w:val="0"/>
        </w:rPr>
        <w:t>分，属于</w:t>
      </w:r>
      <w:r>
        <w:rPr>
          <w:rFonts w:hint="eastAsia" w:ascii="Times New Roman" w:hAnsi="Times New Roman" w:eastAsia="仿宋_GB2312" w:cs="Times New Roman"/>
          <w:b w:val="0"/>
          <w:bCs w:val="0"/>
        </w:rPr>
        <w:t>“</w:t>
      </w:r>
      <w:r>
        <w:rPr>
          <w:rFonts w:hint="eastAsia" w:ascii="Times New Roman" w:hAnsi="Times New Roman" w:eastAsia="仿宋_GB2312" w:cs="Times New Roman"/>
          <w:b w:val="0"/>
          <w:bCs w:val="0"/>
          <w:lang w:val="en-US" w:eastAsia="zh-CN"/>
        </w:rPr>
        <w:t>优</w:t>
      </w:r>
      <w:r>
        <w:rPr>
          <w:rFonts w:hint="eastAsia" w:ascii="Times New Roman" w:hAnsi="Times New Roman" w:eastAsia="仿宋_GB2312" w:cs="Times New Roman"/>
          <w:b w:val="0"/>
          <w:bCs w:val="0"/>
        </w:rPr>
        <w:t>”</w:t>
      </w:r>
      <w:r>
        <w:rPr>
          <w:rFonts w:hint="default" w:ascii="Times New Roman" w:hAnsi="Times New Roman" w:eastAsia="仿宋_GB2312" w:cs="Times New Roman"/>
          <w:b w:val="0"/>
          <w:bCs w:val="0"/>
        </w:rPr>
        <w:t xml:space="preserve">。其中，项目决策类指标权重为20分，得分为 </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19</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95</w:t>
      </w:r>
      <w:r>
        <w:rPr>
          <w:rFonts w:hint="default" w:ascii="Times New Roman" w:hAnsi="Times New Roman" w:eastAsia="仿宋_GB2312" w:cs="Times New Roman"/>
          <w:b w:val="0"/>
          <w:bCs w:val="0"/>
        </w:rPr>
        <w:t>%。项目产出类指标权重为40分，得分</w:t>
      </w:r>
      <w:r>
        <w:rPr>
          <w:rFonts w:hint="default" w:ascii="Times New Roman" w:hAnsi="Times New Roman" w:eastAsia="仿宋_GB2312" w:cs="Times New Roman"/>
          <w:b w:val="0"/>
          <w:bCs w:val="0"/>
          <w:lang w:val="en-US" w:eastAsia="zh-CN"/>
        </w:rPr>
        <w:t>为</w:t>
      </w:r>
      <w:r>
        <w:rPr>
          <w:rFonts w:hint="eastAsia" w:ascii="Times New Roman" w:hAnsi="Times New Roman" w:eastAsia="仿宋_GB2312" w:cs="Times New Roman"/>
          <w:b w:val="0"/>
          <w:bCs w:val="0"/>
          <w:lang w:val="en-US" w:eastAsia="zh-CN"/>
        </w:rPr>
        <w:t>35</w:t>
      </w:r>
      <w:r>
        <w:rPr>
          <w:rFonts w:hint="default" w:ascii="Times New Roman" w:hAnsi="Times New Roman" w:eastAsia="仿宋_GB2312" w:cs="Times New Roman"/>
          <w:b w:val="0"/>
          <w:bCs w:val="0"/>
          <w:lang w:val="en-US" w:eastAsia="zh-CN"/>
        </w:rPr>
        <w:t>分，得分率为</w:t>
      </w:r>
      <w:r>
        <w:rPr>
          <w:rFonts w:hint="eastAsia" w:ascii="Times New Roman" w:hAnsi="Times New Roman" w:eastAsia="仿宋_GB2312" w:cs="Times New Roman"/>
          <w:b w:val="0"/>
          <w:bCs w:val="0"/>
          <w:lang w:val="en-US" w:eastAsia="zh-CN"/>
        </w:rPr>
        <w:t>87.5</w:t>
      </w:r>
      <w:r>
        <w:rPr>
          <w:rFonts w:hint="default" w:ascii="Times New Roman" w:hAnsi="Times New Roman" w:eastAsia="仿宋_GB2312" w:cs="Times New Roman"/>
          <w:b w:val="0"/>
          <w:bCs w:val="0"/>
          <w:lang w:val="en-US" w:eastAsia="zh-CN"/>
        </w:rPr>
        <w:t>%。项目效益类指标权重为20分，得分为</w:t>
      </w:r>
      <w:r>
        <w:rPr>
          <w:rFonts w:hint="eastAsia" w:ascii="Times New Roman" w:hAnsi="Times New Roman" w:eastAsia="仿宋_GB2312" w:cs="Times New Roman"/>
          <w:b w:val="0"/>
          <w:bCs w:val="0"/>
          <w:lang w:val="en-US" w:eastAsia="zh-CN"/>
        </w:rPr>
        <w:t>19</w:t>
      </w:r>
      <w:r>
        <w:rPr>
          <w:rFonts w:hint="default" w:ascii="Times New Roman" w:hAnsi="Times New Roman" w:eastAsia="仿宋_GB2312" w:cs="Times New Roman"/>
          <w:b w:val="0"/>
          <w:bCs w:val="0"/>
          <w:lang w:val="en-US" w:eastAsia="zh-CN"/>
        </w:rPr>
        <w:t>分，</w:t>
      </w:r>
      <w:r>
        <w:rPr>
          <w:rFonts w:hint="default" w:ascii="Times New Roman" w:hAnsi="Times New Roman" w:eastAsia="仿宋_GB2312" w:cs="Times New Roman"/>
          <w:b w:val="0"/>
          <w:bCs w:val="0"/>
        </w:rPr>
        <w:t>得分率为</w:t>
      </w:r>
      <w:r>
        <w:rPr>
          <w:rFonts w:hint="eastAsia" w:ascii="Times New Roman" w:hAnsi="Times New Roman" w:eastAsia="仿宋_GB2312" w:cs="Times New Roman"/>
          <w:b w:val="0"/>
          <w:bCs w:val="0"/>
          <w:lang w:val="en-US" w:eastAsia="zh-CN"/>
        </w:rPr>
        <w:t>95</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ascii="Times New Roman" w:hAnsi="Times New Roman" w:eastAsia="仿宋_GB2312" w:cs="Times New Roman"/>
                <w:color w:val="000000"/>
                <w:sz w:val="21"/>
                <w:szCs w:val="21"/>
                <w:lang w:val="en-US" w:eastAsia="zh-CN"/>
              </w:rPr>
              <w:t>19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s="Times New Roman"/>
                <w:color w:val="000000"/>
                <w:sz w:val="21"/>
                <w:szCs w:val="21"/>
                <w:lang w:val="en-US" w:eastAsia="zh-CN"/>
              </w:rPr>
            </w:pPr>
            <w:r>
              <w:rPr>
                <w:rFonts w:hint="eastAsia" w:eastAsia="仿宋_GB2312" w:cs="Times New Roman"/>
                <w:color w:val="000000"/>
                <w:sz w:val="21"/>
                <w:szCs w:val="21"/>
                <w:lang w:val="en-US" w:eastAsia="zh-CN"/>
              </w:rPr>
              <w:t>35</w:t>
            </w:r>
          </w:p>
        </w:tc>
      </w:tr>
      <w:tr>
        <w:tblPrEx>
          <w:tblCellMar>
            <w:top w:w="0" w:type="dxa"/>
            <w:left w:w="108" w:type="dxa"/>
            <w:bottom w:w="0" w:type="dxa"/>
            <w:right w:w="108" w:type="dxa"/>
          </w:tblCellMar>
        </w:tblPrEx>
        <w:trPr>
          <w:trHeight w:val="9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s="Times New Roman"/>
                <w:color w:val="000000"/>
                <w:sz w:val="21"/>
                <w:szCs w:val="21"/>
                <w:lang w:val="en-US" w:eastAsia="zh-CN"/>
              </w:rPr>
            </w:pPr>
            <w:r>
              <w:rPr>
                <w:rFonts w:hint="eastAsia" w:eastAsia="仿宋_GB2312" w:cs="Times New Roman"/>
                <w:color w:val="000000"/>
                <w:sz w:val="21"/>
                <w:szCs w:val="21"/>
                <w:lang w:val="en-US" w:eastAsia="zh-CN"/>
              </w:rPr>
              <w:t>19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s="Times New Roman"/>
                <w:color w:val="000000"/>
                <w:sz w:val="21"/>
                <w:szCs w:val="21"/>
                <w:lang w:val="en-US" w:eastAsia="zh-CN"/>
              </w:rPr>
            </w:pPr>
            <w:r>
              <w:rPr>
                <w:rFonts w:hint="eastAsia" w:eastAsia="仿宋_GB2312" w:cs="Times New Roman"/>
                <w:color w:val="000000"/>
                <w:sz w:val="21"/>
                <w:szCs w:val="21"/>
                <w:lang w:val="en-US" w:eastAsia="zh-CN"/>
              </w:rPr>
              <w:t>93</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项目决策类指标包括项目立项、</w:t>
      </w:r>
      <w:r>
        <w:rPr>
          <w:rFonts w:hint="default" w:ascii="Times New Roman" w:hAnsi="Times New Roman" w:eastAsia="仿宋_GB2312" w:cs="Times New Roman"/>
          <w:sz w:val="32"/>
          <w:szCs w:val="32"/>
          <w:lang w:val="en-US" w:eastAsia="zh-CN"/>
        </w:rPr>
        <w:t>绩效目标和资金投入三方面的内容，由6个三级指标构成，权重分值为20分，实际得分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eastAsia="仿宋_GB2312" w:cs="Times New Roman"/>
          <w:sz w:val="32"/>
          <w:szCs w:val="32"/>
          <w:lang w:val="en-US" w:eastAsia="zh-CN"/>
        </w:rPr>
        <w:t>10</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w:t>
      </w:r>
      <w:r>
        <w:rPr>
          <w:rFonts w:hint="default" w:eastAsia="仿宋_GB2312" w:cs="Times New Roman"/>
          <w:sz w:val="32"/>
          <w:szCs w:val="32"/>
          <w:lang w:val="en-US" w:eastAsia="zh-CN"/>
        </w:rPr>
        <w:t>立项符合</w:t>
      </w:r>
      <w:r>
        <w:rPr>
          <w:rFonts w:hint="eastAsia" w:eastAsia="仿宋_GB2312" w:cs="Times New Roman"/>
          <w:sz w:val="32"/>
          <w:szCs w:val="32"/>
          <w:lang w:val="en-US" w:eastAsia="zh-CN"/>
        </w:rPr>
        <w:t>《中国共产党党校（行政学院）工作条例》第六十二条要求，党校（行政学院）的教室、宿舍、食堂和图书馆等设施是干部教育培训必须的基础设施，相关经费由同级财政性资金等途径解决。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党校食宿综合楼运转经费</w:t>
      </w:r>
      <w:r>
        <w:rPr>
          <w:rFonts w:hint="default" w:ascii="Times New Roman" w:hAnsi="Times New Roman" w:eastAsia="仿宋_GB2312" w:cs="Times New Roman"/>
          <w:sz w:val="32"/>
          <w:szCs w:val="32"/>
          <w:lang w:val="en-US" w:eastAsia="zh-CN"/>
        </w:rPr>
        <w:t>项目申请、设立过程符合</w:t>
      </w:r>
      <w:r>
        <w:rPr>
          <w:rFonts w:hint="eastAsia" w:ascii="Times New Roman" w:hAnsi="Times New Roman" w:eastAsia="仿宋_GB2312" w:cs="Times New Roman"/>
          <w:sz w:val="32"/>
          <w:szCs w:val="32"/>
          <w:lang w:val="en-US" w:eastAsia="zh-CN"/>
        </w:rPr>
        <w:t>《中国共产党党校（行政学院）工作条例》和库尔勒市立项相关要求</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w:t>
      </w:r>
      <w:r>
        <w:rPr>
          <w:rFonts w:hint="eastAsia" w:eastAsia="仿宋_GB2312" w:cs="Times New Roman"/>
          <w:sz w:val="32"/>
          <w:szCs w:val="32"/>
          <w:lang w:val="en-US" w:eastAsia="zh-CN"/>
        </w:rPr>
        <w:t>库尔勒市干部培训计划，市委党校主体班、短训班等班次开班计划设</w:t>
      </w:r>
      <w:r>
        <w:rPr>
          <w:rFonts w:hint="default" w:ascii="Times New Roman" w:hAnsi="Times New Roman" w:eastAsia="仿宋_GB2312" w:cs="Times New Roman"/>
          <w:sz w:val="32"/>
          <w:szCs w:val="32"/>
          <w:lang w:val="en-US" w:eastAsia="zh-CN"/>
        </w:rPr>
        <w:t>定绩效目标</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设置了明确的预期产出效益，将绩效目标细化分解为具体的绩效指标，绩效目标与项目目标任务数相对应，绩效目标设定的绩效指标清晰、细化、可衡量。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在预算编制过程中，还注重了成本控制与效益最大化的原则</w:t>
      </w:r>
      <w:r>
        <w:rPr>
          <w:rFonts w:hint="eastAsia" w:eastAsia="仿宋_GB2312" w:cs="Times New Roman"/>
          <w:sz w:val="32"/>
          <w:szCs w:val="32"/>
          <w:lang w:val="en-US" w:eastAsia="zh-CN"/>
        </w:rPr>
        <w:t>，严格控制食宿综合楼装修期间预算执行，严格控制食宿综合楼运行期间人员聘用人数。</w:t>
      </w:r>
      <w:r>
        <w:rPr>
          <w:rFonts w:hint="default" w:ascii="Times New Roman" w:hAnsi="Times New Roman" w:eastAsia="仿宋_GB2312" w:cs="Times New Roman"/>
          <w:sz w:val="32"/>
          <w:szCs w:val="32"/>
          <w:lang w:val="en-US" w:eastAsia="zh-CN"/>
        </w:rPr>
        <w:t>通过优化资源配置、提高资金使用效率等措施，确保项目在有限的预算内取得最大的社会效益。</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的资金分配遵循了公平、公正、透明的原则，确保了项目资源的合理配置与高效利用。在资金分配过程中，我们充分考虑了</w:t>
      </w: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的实际需求与目标，对不同阶段、不同任务的资金进行了科学的规划与安排。</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具体而言，资金分配紧密结合了</w:t>
      </w: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的特点与实际情况，对关键领域与重要环节给予了重点支持。同时，我们也注重了资金的均衡分配，避免了资源浪费与资金闲置。此外，资金分配还充分考虑了风险因素，对可能出现的超支情况进行了预留与调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w:t>
      </w: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的资金分配是合理的、科学的，既符合项目的实际情况，又满足了资金使用的效益最大化要求。</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此项权重分值为4分，得分为</w:t>
      </w:r>
      <w:r>
        <w:rPr>
          <w:rFonts w:hint="eastAsia" w:eastAsia="仿宋_GB2312" w:cs="Times New Roman"/>
          <w:sz w:val="32"/>
          <w:szCs w:val="32"/>
          <w:lang w:val="en-US" w:eastAsia="zh-CN"/>
        </w:rPr>
        <w:t>4</w:t>
      </w:r>
      <w:r>
        <w:rPr>
          <w:rFonts w:hint="eastAsia" w:ascii="Times New Roman" w:hAnsi="Times New Roman" w:eastAsia="仿宋_GB2312" w:cs="Times New Roman"/>
          <w:sz w:val="32"/>
          <w:szCs w:val="32"/>
          <w:lang w:val="en-US" w:eastAsia="zh-CN"/>
        </w:rPr>
        <w:t>分。</w:t>
      </w:r>
    </w:p>
    <w:p>
      <w:pPr>
        <w:shd w:val="clear"/>
        <w:spacing w:line="600" w:lineRule="exact"/>
        <w:ind w:firstLine="643" w:firstLineChars="200"/>
        <w:outlineLvl w:val="0"/>
        <w:rPr>
          <w:rFonts w:hint="default" w:ascii="Times New Roman" w:hAnsi="Times New Roman" w:eastAsia="楷体_GB2312" w:cs="Times New Roman"/>
          <w:b/>
          <w:bCs/>
          <w:kern w:val="28"/>
          <w:sz w:val="32"/>
          <w:szCs w:val="32"/>
          <w:lang w:val="en-US" w:eastAsia="zh-CN" w:bidi="ar-SA"/>
        </w:rPr>
      </w:pPr>
      <w:r>
        <w:rPr>
          <w:rFonts w:hint="eastAsia" w:ascii="Times New Roman" w:hAnsi="Times New Roman" w:eastAsia="楷体_GB2312" w:cs="Times New Roman"/>
          <w:b/>
          <w:bCs/>
          <w:kern w:val="28"/>
          <w:sz w:val="32"/>
          <w:szCs w:val="32"/>
          <w:lang w:val="en-US" w:eastAsia="zh-CN" w:bidi="ar-SA"/>
        </w:rPr>
        <w:t>（二）</w:t>
      </w:r>
      <w:r>
        <w:rPr>
          <w:rFonts w:hint="default" w:ascii="Times New Roman" w:hAnsi="Times New Roman" w:eastAsia="楷体_GB2312" w:cs="Times New Roman"/>
          <w:b/>
          <w:bCs/>
          <w:kern w:val="28"/>
          <w:sz w:val="32"/>
          <w:szCs w:val="32"/>
          <w:lang w:val="en-US" w:eastAsia="zh-CN" w:bidi="ar-SA"/>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项目过程类指标包括资金管理和组织实施两方面的内容，由5个三级指标构成，权重分值为20分，实际得分</w:t>
      </w:r>
      <w:r>
        <w:rPr>
          <w:rFonts w:hint="eastAsia" w:eastAsia="仿宋_GB2312" w:cs="Times New Roman"/>
          <w:sz w:val="32"/>
          <w:szCs w:val="32"/>
          <w:lang w:val="en-US" w:eastAsia="zh-CN"/>
        </w:rPr>
        <w:t>19</w:t>
      </w:r>
      <w:r>
        <w:rPr>
          <w:rFonts w:hint="default" w:ascii="Times New Roman" w:hAnsi="Times New Roman" w:eastAsia="仿宋_GB2312" w:cs="Times New Roman"/>
          <w:sz w:val="32"/>
          <w:szCs w:val="32"/>
          <w:lang w:val="en-US" w:eastAsia="zh-CN"/>
        </w:rPr>
        <w:t>分，得分率为</w:t>
      </w:r>
      <w:r>
        <w:rPr>
          <w:rFonts w:hint="eastAsia"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总投资</w:t>
      </w:r>
      <w:r>
        <w:rPr>
          <w:rFonts w:hint="eastAsia"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万元，财政资金及时足额到位，到位率</w:t>
      </w:r>
      <w:r>
        <w:rPr>
          <w:rFonts w:hint="eastAsia" w:eastAsia="仿宋_GB2312" w:cs="Times New Roman"/>
          <w:sz w:val="32"/>
          <w:szCs w:val="32"/>
          <w:lang w:val="en-US" w:eastAsia="zh-CN"/>
        </w:rPr>
        <w:t>10</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eastAsia" w:eastAsia="仿宋_GB2312" w:cs="Times New Roman"/>
          <w:sz w:val="32"/>
          <w:szCs w:val="32"/>
          <w:lang w:val="en-US" w:eastAsia="zh-CN"/>
        </w:rPr>
        <w:t>受食宿综合楼1月至7月装修未投入使用的影响，</w:t>
      </w:r>
      <w:r>
        <w:rPr>
          <w:rFonts w:hint="default" w:ascii="Times New Roman" w:hAnsi="Times New Roman" w:eastAsia="仿宋_GB2312" w:cs="Times New Roman"/>
          <w:sz w:val="32"/>
          <w:szCs w:val="32"/>
          <w:lang w:val="en-US" w:eastAsia="zh-CN"/>
        </w:rPr>
        <w:t>预算资金支出</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万元，预算执行率为</w:t>
      </w:r>
      <w:r>
        <w:rPr>
          <w:rFonts w:hint="eastAsia" w:eastAsia="仿宋_GB2312" w:cs="Times New Roman"/>
          <w:sz w:val="32"/>
          <w:szCs w:val="32"/>
          <w:lang w:val="en-US" w:eastAsia="zh-CN"/>
        </w:rPr>
        <w:t>60</w:t>
      </w:r>
      <w:r>
        <w:rPr>
          <w:rFonts w:hint="default" w:ascii="Times New Roman" w:hAnsi="Times New Roman"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的资金使用严格遵循了</w:t>
      </w:r>
      <w:r>
        <w:rPr>
          <w:rFonts w:hint="eastAsia" w:ascii="Times New Roman" w:hAnsi="Times New Roman" w:eastAsia="仿宋_GB2312" w:cs="Times New Roman"/>
          <w:sz w:val="32"/>
          <w:szCs w:val="32"/>
          <w:lang w:val="en-US" w:eastAsia="zh-CN"/>
        </w:rPr>
        <w:t>《中国共产党党校（行政学院）工作条例》《政府会计准则》《事业单位会计制度》等相关制度，</w:t>
      </w:r>
      <w:r>
        <w:rPr>
          <w:rFonts w:hint="default" w:ascii="Times New Roman" w:hAnsi="Times New Roman" w:eastAsia="仿宋_GB2312" w:cs="Times New Roman"/>
          <w:sz w:val="32"/>
          <w:szCs w:val="32"/>
          <w:lang w:val="en-US" w:eastAsia="zh-CN"/>
        </w:rPr>
        <w:t>确保了资金的合规性与安全性。在资金使用过程中，我们建立了完善的财务管理体系，对资金的流动进行了全程监控与记录。</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提高资金使用效率等措施，确保了项目资金的最大化利用。</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w:t>
      </w: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拥有一套完善、健全的管理制度体系，为项目的成功实施提供了坚实的制度保障。项目管理制度的制定紧密结合了项目的特点与实际情况，涵盖了项目的策划、组织、实施、监控与收尾等各个环节。</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在制度设计上，</w:t>
      </w:r>
      <w:r>
        <w:rPr>
          <w:rFonts w:hint="eastAsia" w:eastAsia="仿宋_GB2312" w:cs="Times New Roman"/>
          <w:sz w:val="32"/>
          <w:szCs w:val="32"/>
          <w:lang w:val="en-US" w:eastAsia="zh-CN"/>
        </w:rPr>
        <w:t>结合库尔勒市党校内部控制制度，</w:t>
      </w:r>
      <w:r>
        <w:rPr>
          <w:rFonts w:hint="default" w:ascii="Times New Roman" w:hAnsi="Times New Roman" w:eastAsia="仿宋_GB2312" w:cs="Times New Roman"/>
          <w:sz w:val="32"/>
          <w:szCs w:val="32"/>
          <w:lang w:val="en-US" w:eastAsia="zh-CN"/>
        </w:rPr>
        <w:t>我们注重了科学性与可操作性，确保制度能够切实指导项目的执行与管理。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w:t>
      </w: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eastAsia="zh-CN"/>
        </w:rPr>
        <w:t>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w:t>
      </w:r>
      <w:r>
        <w:rPr>
          <w:rFonts w:hint="eastAsia" w:eastAsia="仿宋_GB2312" w:cs="Times New Roman"/>
          <w:sz w:val="32"/>
          <w:szCs w:val="32"/>
          <w:lang w:val="en-US" w:eastAsia="zh-CN"/>
        </w:rPr>
        <w:t>党校食宿综合楼运转经费</w:t>
      </w:r>
      <w:r>
        <w:rPr>
          <w:rFonts w:hint="default" w:eastAsia="仿宋_GB2312" w:cs="Times New Roman"/>
          <w:sz w:val="32"/>
          <w:szCs w:val="32"/>
          <w:lang w:val="en-US" w:eastAsia="zh-CN"/>
        </w:rPr>
        <w:t>项目</w:t>
      </w:r>
      <w:r>
        <w:rPr>
          <w:rFonts w:hint="default" w:ascii="Times New Roman" w:hAnsi="Times New Roman" w:eastAsia="仿宋_GB2312" w:cs="Times New Roman"/>
          <w:sz w:val="32"/>
          <w:szCs w:val="32"/>
          <w:lang w:eastAsia="zh-CN"/>
        </w:rPr>
        <w:t>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2"/>
        <w:numPr>
          <w:ilvl w:val="0"/>
          <w:numId w:val="0"/>
        </w:numPr>
        <w:spacing w:line="560" w:lineRule="exact"/>
        <w:ind w:firstLine="643" w:firstLineChars="200"/>
        <w:rPr>
          <w:rFonts w:hint="default" w:ascii="Times New Roman" w:hAnsi="Times New Roman" w:eastAsia="楷体_GB2312" w:cs="Times New Roman"/>
          <w:b/>
          <w:bCs/>
          <w:sz w:val="32"/>
          <w:szCs w:val="32"/>
        </w:rPr>
      </w:pPr>
      <w:r>
        <w:rPr>
          <w:rFonts w:hint="eastAsia" w:eastAsia="楷体_GB2312" w:cs="Times New Roman"/>
          <w:b/>
          <w:bCs/>
          <w:sz w:val="32"/>
          <w:szCs w:val="32"/>
          <w:lang w:eastAsia="zh-CN"/>
        </w:rPr>
        <w:t>（</w:t>
      </w:r>
      <w:r>
        <w:rPr>
          <w:rFonts w:hint="eastAsia" w:eastAsia="楷体_GB2312" w:cs="Times New Roman"/>
          <w:b/>
          <w:bCs/>
          <w:sz w:val="32"/>
          <w:szCs w:val="32"/>
          <w:lang w:val="en-US" w:eastAsia="zh-CN"/>
        </w:rPr>
        <w:t>三）</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个三级指标构成，权重分为40分，实际得分</w:t>
      </w:r>
      <w:r>
        <w:rPr>
          <w:rFonts w:hint="eastAsia" w:eastAsia="仿宋_GB2312" w:cs="Times New Roman"/>
          <w:sz w:val="32"/>
          <w:szCs w:val="32"/>
          <w:lang w:val="en-US" w:eastAsia="zh-CN"/>
        </w:rPr>
        <w:t>35</w:t>
      </w:r>
      <w:r>
        <w:rPr>
          <w:rFonts w:hint="default" w:ascii="Times New Roman" w:hAnsi="Times New Roman" w:eastAsia="仿宋_GB2312" w:cs="Times New Roman"/>
          <w:sz w:val="32"/>
          <w:szCs w:val="32"/>
          <w:lang w:val="en-US" w:eastAsia="zh-CN"/>
        </w:rPr>
        <w:t>分，得分率为</w:t>
      </w:r>
      <w:r>
        <w:rPr>
          <w:rFonts w:hint="eastAsia" w:eastAsia="仿宋_GB2312" w:cs="Times New Roman"/>
          <w:sz w:val="32"/>
          <w:szCs w:val="32"/>
          <w:lang w:val="en-US" w:eastAsia="zh-CN"/>
        </w:rPr>
        <w:t>87.5</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保障食宿综合楼运转数量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≥1栋</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=1栋</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聘用服务人员个数，指标值</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≥15人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53.33</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党校食宿楼1月至7月在进行装修，8月开始正式运行，服务人员未配备到位，年初该项目预算不准确，未能按项目预算执行。</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w:t>
      </w:r>
      <w:r>
        <w:rPr>
          <w:rFonts w:hint="eastAsia" w:eastAsia="仿宋_GB2312" w:cs="Times New Roman"/>
          <w:sz w:val="32"/>
          <w:szCs w:val="32"/>
          <w:highlight w:val="none"/>
          <w:lang w:val="en-US" w:eastAsia="zh-CN"/>
        </w:rPr>
        <w:t>为9分。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指标1：资金支付准确率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=60%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60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党校食宿楼1月至7月在进行装修，8月开始正式运行，服务人员未配备到位，年初该项目预算不准确，未能按项目预算执行。</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此项权重分值为10分，得分为9分。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指标1：资金支付及时率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=60%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60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党校食宿楼1月至7月在进行装修，8月开始正式运行，服务人员未配备到位，年初该项目预算不准确，未能按项目预算执行。</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此项权重分值为10分，得分为9分。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指标1：聘用服务人员工资费用≤40万元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=9.18万元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22.95</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党校食宿楼1月至7月在进行装修，8月开始正式运行，服务人员未配备到位，年初该项目预算不准确，未能按项目预算执行。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指标2：维护食宿综合楼运转经费≤10万元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=20.82万元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因食宿综合楼需购置厨具用具等设备，将聘用人员工资调剂成运转经费，年初该项目预算不准确，未能按项目预算执行</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此项权重分值为10分，得分为8分。</w:t>
      </w:r>
    </w:p>
    <w:p>
      <w:pPr>
        <w:pStyle w:val="12"/>
        <w:numPr>
          <w:ilvl w:val="0"/>
          <w:numId w:val="0"/>
        </w:numPr>
        <w:spacing w:line="560" w:lineRule="exact"/>
        <w:ind w:firstLine="643" w:firstLineChars="200"/>
        <w:rPr>
          <w:rFonts w:hint="default" w:ascii="Times New Roman" w:hAnsi="Times New Roman" w:eastAsia="楷体_GB2312" w:cs="Times New Roman"/>
          <w:b/>
          <w:bCs/>
          <w:sz w:val="32"/>
          <w:szCs w:val="32"/>
          <w:lang w:val="en-US" w:eastAsia="zh-CN"/>
        </w:rPr>
      </w:pPr>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个三级指标构成，权重分为20分，实际得分</w:t>
      </w:r>
      <w:r>
        <w:rPr>
          <w:rFonts w:hint="eastAsia" w:eastAsia="仿宋_GB2312" w:cs="Times New Roman"/>
          <w:sz w:val="32"/>
          <w:szCs w:val="32"/>
          <w:lang w:val="en-US" w:eastAsia="zh-CN"/>
        </w:rPr>
        <w:t>19</w:t>
      </w:r>
      <w:r>
        <w:rPr>
          <w:rFonts w:hint="default" w:ascii="Times New Roman" w:hAnsi="Times New Roman" w:eastAsia="仿宋_GB2312" w:cs="Times New Roman"/>
          <w:sz w:val="32"/>
          <w:szCs w:val="32"/>
          <w:lang w:val="en-US" w:eastAsia="zh-CN"/>
        </w:rPr>
        <w:t>分，得分率为</w:t>
      </w:r>
      <w:r>
        <w:rPr>
          <w:rFonts w:hint="eastAsia"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受益服务人员人数≥15人，实际完成值：=8人，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53.33</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党校食宿楼1月至7月在进行装修，8月开始正式运行，服务人员未配备到位，年初该项目预算不准确，未能按项目预算执行</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w:t>
      </w:r>
      <w:r>
        <w:rPr>
          <w:rFonts w:hint="eastAsia" w:eastAsia="仿宋_GB2312" w:cs="Times New Roman"/>
          <w:sz w:val="32"/>
          <w:szCs w:val="32"/>
          <w:highlight w:val="none"/>
          <w:lang w:val="en-US" w:eastAsia="zh-CN"/>
        </w:rPr>
        <w:t>9</w:t>
      </w:r>
      <w:r>
        <w:rPr>
          <w:rFonts w:hint="eastAsia" w:eastAsia="仿宋_GB2312" w:cs="Times New Roman"/>
          <w:sz w:val="32"/>
          <w:szCs w:val="32"/>
          <w:lang w:val="en-US" w:eastAsia="zh-CN"/>
        </w:rPr>
        <w:t>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学员满意度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19"/>
        <w:spacing w:line="560" w:lineRule="exact"/>
        <w:ind w:firstLine="64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党校食宿综合楼运转经费</w:t>
      </w:r>
      <w:r>
        <w:rPr>
          <w:rFonts w:hint="default" w:ascii="Times New Roman" w:hAnsi="Times New Roman" w:eastAsia="仿宋_GB2312" w:cs="Times New Roman"/>
          <w:kern w:val="2"/>
          <w:sz w:val="32"/>
          <w:szCs w:val="32"/>
          <w:lang w:val="en-US" w:eastAsia="zh-CN" w:bidi="ar-SA"/>
        </w:rPr>
        <w:t>项目年初预算</w:t>
      </w:r>
      <w:r>
        <w:rPr>
          <w:rFonts w:hint="eastAsia" w:ascii="Times New Roman" w:hAnsi="Times New Roman" w:eastAsia="仿宋_GB2312" w:cs="Times New Roman"/>
          <w:kern w:val="2"/>
          <w:sz w:val="32"/>
          <w:szCs w:val="32"/>
          <w:lang w:val="en-US" w:eastAsia="zh-CN" w:bidi="ar-SA"/>
        </w:rPr>
        <w:t>50</w:t>
      </w:r>
      <w:r>
        <w:rPr>
          <w:rFonts w:hint="default" w:ascii="Times New Roman" w:hAnsi="Times New Roman" w:eastAsia="仿宋_GB2312" w:cs="Times New Roman"/>
          <w:kern w:val="2"/>
          <w:sz w:val="32"/>
          <w:szCs w:val="32"/>
          <w:lang w:val="en-US" w:eastAsia="zh-CN" w:bidi="ar-SA"/>
        </w:rPr>
        <w:t>万元，全年预算</w:t>
      </w:r>
      <w:r>
        <w:rPr>
          <w:rFonts w:hint="eastAsia" w:ascii="Times New Roman" w:hAnsi="Times New Roman" w:eastAsia="仿宋_GB2312" w:cs="Times New Roman"/>
          <w:kern w:val="2"/>
          <w:sz w:val="32"/>
          <w:szCs w:val="32"/>
          <w:lang w:val="en-US" w:eastAsia="zh-CN" w:bidi="ar-SA"/>
        </w:rPr>
        <w:t>50</w:t>
      </w:r>
      <w:r>
        <w:rPr>
          <w:rFonts w:hint="default" w:ascii="Times New Roman" w:hAnsi="Times New Roman" w:eastAsia="仿宋_GB2312" w:cs="Times New Roman"/>
          <w:kern w:val="2"/>
          <w:sz w:val="32"/>
          <w:szCs w:val="32"/>
          <w:lang w:val="en-US" w:eastAsia="zh-CN" w:bidi="ar-SA"/>
        </w:rPr>
        <w:t>万元，实际支出</w:t>
      </w:r>
      <w:r>
        <w:rPr>
          <w:rFonts w:hint="eastAsia" w:ascii="Times New Roman" w:hAnsi="Times New Roman" w:eastAsia="仿宋_GB2312" w:cs="Times New Roman"/>
          <w:kern w:val="2"/>
          <w:sz w:val="32"/>
          <w:szCs w:val="32"/>
          <w:lang w:val="en-US" w:eastAsia="zh-CN" w:bidi="ar-SA"/>
        </w:rPr>
        <w:t>30</w:t>
      </w:r>
      <w:r>
        <w:rPr>
          <w:rFonts w:hint="default" w:ascii="Times New Roman" w:hAnsi="Times New Roman" w:eastAsia="仿宋_GB2312" w:cs="Times New Roman"/>
          <w:kern w:val="2"/>
          <w:sz w:val="32"/>
          <w:szCs w:val="32"/>
          <w:lang w:val="en-US" w:eastAsia="zh-CN" w:bidi="ar-SA"/>
        </w:rPr>
        <w:t>万元，预算执行率为</w:t>
      </w:r>
      <w:r>
        <w:rPr>
          <w:rFonts w:hint="eastAsia" w:ascii="Times New Roman" w:hAnsi="Times New Roman" w:eastAsia="仿宋_GB2312" w:cs="Times New Roman"/>
          <w:kern w:val="2"/>
          <w:sz w:val="32"/>
          <w:szCs w:val="32"/>
          <w:lang w:val="en-US" w:eastAsia="zh-CN" w:bidi="ar-SA"/>
        </w:rPr>
        <w:t>60</w:t>
      </w:r>
      <w:r>
        <w:rPr>
          <w:rFonts w:hint="default" w:ascii="Times New Roman" w:hAnsi="Times New Roman" w:eastAsia="仿宋_GB2312" w:cs="Times New Roman"/>
          <w:kern w:val="2"/>
          <w:sz w:val="32"/>
          <w:szCs w:val="32"/>
          <w:lang w:val="en-US" w:eastAsia="zh-CN" w:bidi="ar-SA"/>
        </w:rPr>
        <w:t>%，项目绩效指标总体完成率为</w:t>
      </w:r>
      <w:r>
        <w:rPr>
          <w:rFonts w:hint="eastAsia" w:eastAsia="仿宋_GB2312" w:cs="Times New Roman"/>
          <w:kern w:val="2"/>
          <w:sz w:val="32"/>
          <w:szCs w:val="32"/>
          <w:lang w:val="en-US" w:eastAsia="zh-CN" w:bidi="ar-SA"/>
        </w:rPr>
        <w:t>56.2</w:t>
      </w: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Hans" w:bidi="ar-SA"/>
        </w:rPr>
        <w:t>总体</w:t>
      </w:r>
      <w:r>
        <w:rPr>
          <w:rFonts w:hint="default" w:ascii="Times New Roman" w:hAnsi="Times New Roman" w:eastAsia="仿宋_GB2312" w:cs="Times New Roman"/>
          <w:kern w:val="2"/>
          <w:sz w:val="32"/>
          <w:szCs w:val="32"/>
          <w:lang w:val="en-US" w:eastAsia="zh-CN" w:bidi="ar-SA"/>
        </w:rPr>
        <w:t>偏差率为</w:t>
      </w:r>
      <w:r>
        <w:rPr>
          <w:rFonts w:hint="eastAsia" w:eastAsia="仿宋_GB2312" w:cs="Times New Roman"/>
          <w:kern w:val="2"/>
          <w:sz w:val="32"/>
          <w:szCs w:val="32"/>
          <w:lang w:val="en-US" w:eastAsia="zh-CN" w:bidi="ar-SA"/>
        </w:rPr>
        <w:t>3.8</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Hans" w:bidi="ar-SA"/>
        </w:rPr>
        <w:t>偏差</w:t>
      </w:r>
      <w:r>
        <w:rPr>
          <w:rFonts w:hint="default" w:ascii="Times New Roman" w:hAnsi="Times New Roman" w:eastAsia="仿宋_GB2312" w:cs="Times New Roman"/>
          <w:kern w:val="2"/>
          <w:sz w:val="32"/>
          <w:szCs w:val="32"/>
          <w:lang w:val="en-US" w:eastAsia="zh-CN" w:bidi="ar-SA"/>
        </w:rPr>
        <w:t>原因原因：</w:t>
      </w:r>
      <w:r>
        <w:rPr>
          <w:rFonts w:hint="eastAsia" w:eastAsia="仿宋_GB2312" w:cs="Times New Roman"/>
          <w:sz w:val="32"/>
          <w:szCs w:val="32"/>
          <w:highlight w:val="none"/>
          <w:lang w:val="en-US" w:eastAsia="zh-CN"/>
        </w:rPr>
        <w:t>党校食宿楼1月至7月在进行装修，8月开始正式运行，服务人员未配备到位，年初该项目预算不准确，未能按项目预算执行。</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val="en-US" w:eastAsia="zh-CN"/>
        </w:rPr>
        <w:t>一是确定明确的项目目标，并将其转化成可量化的指标。在项目开始前，明确项目的目标和期望的绩效水平，并将其转化成可量化的指标。二是建立高效的管理流程，包括项目规划、人物分配、进度跟踪、沟通等环节。</w:t>
      </w:r>
    </w:p>
    <w:p>
      <w:pPr>
        <w:keepNext/>
        <w:keepLines/>
        <w:numPr>
          <w:ilvl w:val="0"/>
          <w:numId w:val="3"/>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相关绩效管理方面专业知识的系统性学习有待加强。在绩效自评过程中，由于缺乏相关绩效管理专业知识，自评价工作还存在自我审定的局限性，影响评价质量。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default" w:ascii="Times New Roman" w:hAnsi="Times New Roman" w:eastAsia="仿宋_GB2312" w:cs="Times New Roman"/>
          <w:sz w:val="32"/>
          <w:szCs w:val="32"/>
        </w:rPr>
      </w:pPr>
    </w:p>
    <w:p>
      <w:pPr>
        <w:pStyle w:val="13"/>
        <w:spacing w:after="0" w:line="560" w:lineRule="exact"/>
        <w:ind w:left="0" w:leftChars="0" w:firstLine="640"/>
        <w:rPr>
          <w:rFonts w:hint="default" w:ascii="Times New Roman" w:hAnsi="Times New Roman" w:eastAsia="仿宋_GB2312" w:cs="Times New Roman"/>
          <w:sz w:val="32"/>
          <w:szCs w:val="32"/>
        </w:rPr>
      </w:pPr>
    </w:p>
    <w:p>
      <w:pPr>
        <w:pStyle w:val="13"/>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lang w:val="en-US" w:eastAsia="zh-CN"/>
        </w:rPr>
        <w:t>部门专项-党校食宿综合楼运转经费</w:t>
      </w:r>
      <w:r>
        <w:rPr>
          <w:rFonts w:hint="eastAsia" w:ascii="仿宋_GB2312" w:hAnsi="仿宋_GB2312" w:eastAsia="仿宋_GB2312" w:cs="仿宋_GB2312"/>
          <w:b/>
          <w:bCs/>
          <w:sz w:val="28"/>
          <w:szCs w:val="40"/>
        </w:rPr>
        <w:t>项目绩效评价指标体系及综合评分表</w:t>
      </w:r>
      <w:bookmarkEnd w:id="1"/>
      <w:bookmarkEnd w:id="2"/>
    </w:p>
    <w:tbl>
      <w:tblPr>
        <w:tblStyle w:val="14"/>
        <w:tblW w:w="4537"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182"/>
        <w:gridCol w:w="999"/>
        <w:gridCol w:w="1071"/>
        <w:gridCol w:w="1725"/>
        <w:gridCol w:w="5220"/>
        <w:gridCol w:w="1300"/>
        <w:gridCol w:w="136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459"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8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7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2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0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459"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88"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7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28"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0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0"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459"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88"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7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28"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0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0"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459"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88"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7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28"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0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0"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459"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88"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7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2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0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0"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459"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88"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7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28"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0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0"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459"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88"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7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28"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0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0"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459"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88"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7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2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0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0"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459"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88"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7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28"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0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459"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88"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7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2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0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0"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459"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88"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7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2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0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0"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459"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88"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7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2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0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0"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459"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88"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7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2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0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0"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81" w:hRule="atLeast"/>
          <w:jc w:val="center"/>
        </w:trPr>
        <w:tc>
          <w:tcPr>
            <w:tcW w:w="459"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88"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7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2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0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0"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7" w:hRule="atLeast"/>
          <w:jc w:val="center"/>
        </w:trPr>
        <w:tc>
          <w:tcPr>
            <w:tcW w:w="459"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88"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7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2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0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0"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07" w:hRule="atLeast"/>
          <w:jc w:val="center"/>
        </w:trPr>
        <w:tc>
          <w:tcPr>
            <w:tcW w:w="459"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88"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7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2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0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0"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19" w:hRule="atLeast"/>
          <w:jc w:val="center"/>
        </w:trPr>
        <w:tc>
          <w:tcPr>
            <w:tcW w:w="459"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88"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7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28"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0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459"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88"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16"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7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2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05"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0"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bookmarkStart w:id="3" w:name="_GoBack"/>
      <w:bookmarkEnd w:id="3"/>
    </w:p>
    <w:p>
      <w:pPr>
        <w:rPr>
          <w:rFonts w:hint="default" w:ascii="Times New Roman" w:hAnsi="Times New Roman" w:cs="Times New Roman"/>
        </w:rPr>
      </w:pPr>
    </w:p>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505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7"/>
        <w:gridCol w:w="750"/>
        <w:gridCol w:w="986"/>
        <w:gridCol w:w="1403"/>
        <w:gridCol w:w="911"/>
        <w:gridCol w:w="1158"/>
        <w:gridCol w:w="546"/>
        <w:gridCol w:w="996"/>
        <w:gridCol w:w="932"/>
        <w:gridCol w:w="954"/>
        <w:gridCol w:w="921"/>
        <w:gridCol w:w="1018"/>
        <w:gridCol w:w="975"/>
        <w:gridCol w:w="20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4481"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部门专项-党校食宿综合楼运转经费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17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库尔勒市党校</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20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库尔勒市党校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1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5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1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default" w:ascii="仿宋_GB2312" w:hAnsi="仿宋_GB2312" w:eastAsia="仿宋_GB2312" w:cs="仿宋_GB2312"/>
                <w:i w:val="0"/>
                <w:iCs w:val="0"/>
                <w:color w:val="000000"/>
                <w:sz w:val="18"/>
                <w:szCs w:val="18"/>
                <w:u w:val="none"/>
                <w:lang w:val="en-US" w:eastAsia="zh-CN"/>
              </w:rPr>
              <w:t>50.00</w:t>
            </w:r>
            <w:r>
              <w:rPr>
                <w:rFonts w:hint="default" w:ascii="仿宋_GB2312" w:hAnsi="仿宋_GB2312" w:eastAsia="仿宋_GB2312" w:cs="仿宋_GB2312"/>
                <w:i w:val="0"/>
                <w:iCs w:val="0"/>
                <w:color w:val="000000"/>
                <w:sz w:val="18"/>
                <w:szCs w:val="18"/>
                <w:u w:val="none"/>
                <w:lang w:val="en-US" w:eastAsia="zh-CN"/>
              </w:rPr>
              <w:tab/>
            </w:r>
          </w:p>
        </w:tc>
        <w:tc>
          <w:tcPr>
            <w:tcW w:w="5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sz w:val="18"/>
                <w:szCs w:val="18"/>
                <w:u w:val="none"/>
                <w:lang w:val="en-US" w:eastAsia="zh-CN"/>
              </w:rPr>
              <w:t>50.00</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sz w:val="18"/>
                <w:szCs w:val="18"/>
                <w:u w:val="none"/>
                <w:lang w:val="en-US" w:eastAsia="zh-CN"/>
              </w:rPr>
              <w:t>30.00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sz w:val="18"/>
                <w:szCs w:val="18"/>
                <w:u w:val="none"/>
                <w:lang w:val="en-US" w:eastAsia="zh-CN"/>
              </w:rPr>
              <w:t>10</w:t>
            </w:r>
            <w:r>
              <w:rPr>
                <w:rFonts w:hint="default" w:ascii="仿宋_GB2312" w:hAnsi="仿宋_GB2312" w:eastAsia="仿宋_GB2312" w:cs="仿宋_GB2312"/>
                <w:i w:val="0"/>
                <w:iCs w:val="0"/>
                <w:color w:val="000000"/>
                <w:sz w:val="18"/>
                <w:szCs w:val="18"/>
                <w:u w:val="none"/>
                <w:lang w:val="en-US" w:eastAsia="zh-CN"/>
              </w:rPr>
              <w:tab/>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sz w:val="18"/>
                <w:szCs w:val="18"/>
                <w:u w:val="none"/>
                <w:lang w:val="en-US" w:eastAsia="zh-CN"/>
              </w:rPr>
              <w:t>60.00%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1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50</w:t>
            </w:r>
          </w:p>
        </w:tc>
        <w:tc>
          <w:tcPr>
            <w:tcW w:w="5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1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2"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317"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593"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672"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267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20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67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目标1、党校食宿综合楼1栋正常运转，发放聘用人员不少于15人的工资及社保医保缴费；</w:t>
            </w:r>
          </w:p>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目标2、项目实施后，保障新建食宿综合楼正常运转，满足学员食宿需求。</w:t>
            </w:r>
          </w:p>
        </w:tc>
        <w:tc>
          <w:tcPr>
            <w:tcW w:w="20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按时发放8名聘用人员工资及社保医保金，购置了食宿综合楼厨具用具，项目实施后，保障新建食宿综合楼正常运转，满足学员食宿需求。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lang w:val="en-US" w:eastAsia="zh-CN"/>
              </w:rPr>
            </w:pPr>
            <w:r>
              <w:rPr>
                <w:rFonts w:hint="eastAsia" w:ascii="仿宋_GB2312" w:hAnsi="仿宋_GB2312" w:eastAsia="仿宋_GB2312" w:cs="仿宋_GB2312"/>
                <w:i w:val="0"/>
                <w:iCs w:val="0"/>
                <w:color w:val="000000"/>
                <w:sz w:val="13"/>
                <w:szCs w:val="13"/>
                <w:u w:val="none"/>
                <w:lang w:val="en-US" w:eastAsia="zh-CN"/>
              </w:rPr>
              <w:t>绩效指标</w:t>
            </w:r>
          </w:p>
        </w:tc>
        <w:tc>
          <w:tcPr>
            <w:tcW w:w="261"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一级指标</w:t>
            </w:r>
          </w:p>
        </w:tc>
        <w:tc>
          <w:tcPr>
            <w:tcW w:w="343"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二级指标</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三级指标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指标值</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指标值设置依据</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上年完成值</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指标分值权重</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指标赋分规则</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佐证资料</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指标实际完成值</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完成率</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指标得分</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56"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p>
        </w:tc>
        <w:tc>
          <w:tcPr>
            <w:tcW w:w="26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产出指标</w:t>
            </w:r>
          </w:p>
        </w:tc>
        <w:tc>
          <w:tcPr>
            <w:tcW w:w="34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数量指标</w:t>
            </w:r>
          </w:p>
        </w:tc>
        <w:tc>
          <w:tcPr>
            <w:tcW w:w="489" w:type="pct"/>
            <w:tcBorders>
              <w:top w:val="single" w:color="000000" w:sz="4" w:space="0"/>
              <w:left w:val="single" w:color="auto"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3"/>
                <w:szCs w:val="13"/>
                <w:u w:val="none"/>
              </w:rPr>
            </w:pPr>
            <w:r>
              <w:rPr>
                <w:rFonts w:hint="eastAsia"/>
                <w:sz w:val="13"/>
                <w:szCs w:val="13"/>
              </w:rPr>
              <w:t>保障食宿综合楼运转数量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&gt;=1栋</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计划标准</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按照正常比例赋分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工作资料</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=1栋</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原因：食宿楼1至7月在装修，8月试运行。改进措施：正式投入使用后按预算执行。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56"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p>
        </w:tc>
        <w:tc>
          <w:tcPr>
            <w:tcW w:w="26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3"/>
                <w:szCs w:val="13"/>
                <w:u w:val="none"/>
                <w:lang w:val="en-US" w:eastAsia="zh-CN" w:bidi="ar"/>
              </w:rPr>
            </w:pPr>
          </w:p>
        </w:tc>
        <w:tc>
          <w:tcPr>
            <w:tcW w:w="34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3"/>
                <w:szCs w:val="13"/>
                <w:u w:val="none"/>
                <w:lang w:val="en-US" w:eastAsia="zh-CN" w:bidi="ar"/>
              </w:rPr>
            </w:pPr>
            <w:r>
              <w:rPr>
                <w:rFonts w:hint="eastAsia" w:ascii="仿宋_GB2312" w:hAnsi="仿宋_GB2312" w:eastAsia="仿宋_GB2312" w:cs="仿宋_GB2312"/>
                <w:i w:val="0"/>
                <w:iCs w:val="0"/>
                <w:color w:val="000000"/>
                <w:kern w:val="0"/>
                <w:sz w:val="13"/>
                <w:szCs w:val="13"/>
                <w:u w:val="none"/>
                <w:lang w:val="en-US" w:eastAsia="zh-CN" w:bidi="ar"/>
              </w:rPr>
              <w:t>数量指标</w:t>
            </w:r>
          </w:p>
        </w:tc>
        <w:tc>
          <w:tcPr>
            <w:tcW w:w="489" w:type="pct"/>
            <w:tcBorders>
              <w:top w:val="single" w:color="000000" w:sz="4" w:space="0"/>
              <w:left w:val="single" w:color="auto"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3"/>
                <w:szCs w:val="13"/>
                <w:u w:val="none"/>
              </w:rPr>
            </w:pPr>
            <w:r>
              <w:rPr>
                <w:rFonts w:hint="eastAsia"/>
                <w:sz w:val="13"/>
                <w:szCs w:val="13"/>
              </w:rPr>
              <w:t>聘用服务人员个数</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&gt;=15人</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计划标准</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按照正常比例赋分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工作资料</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=8人</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53.33%</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lang w:eastAsia="zh-CN"/>
              </w:rPr>
            </w:pPr>
            <w:r>
              <w:rPr>
                <w:rFonts w:hint="eastAsia" w:eastAsia="仿宋_GB2312"/>
                <w:sz w:val="13"/>
                <w:szCs w:val="13"/>
                <w:lang w:val="en-US" w:eastAsia="zh-CN"/>
              </w:rPr>
              <w:t>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原因：食宿楼为试运行阶段，暂不需要大量人员。改进措施：正常运行后按计划招聘人员。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trPr>
        <w:tc>
          <w:tcPr>
            <w:tcW w:w="256"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p>
        </w:tc>
        <w:tc>
          <w:tcPr>
            <w:tcW w:w="261" w:type="pct"/>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3"/>
                <w:szCs w:val="13"/>
                <w:u w:val="none"/>
              </w:rPr>
            </w:pPr>
          </w:p>
        </w:tc>
        <w:tc>
          <w:tcPr>
            <w:tcW w:w="343"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质量指标</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3"/>
                <w:szCs w:val="13"/>
                <w:u w:val="none"/>
              </w:rPr>
            </w:pPr>
            <w:r>
              <w:rPr>
                <w:rFonts w:hint="eastAsia"/>
                <w:sz w:val="13"/>
                <w:szCs w:val="13"/>
              </w:rPr>
              <w:t>资金支付准确率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=100%</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计划标准</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按照正常比例赋分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工作资料</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=100%</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3"/>
                <w:szCs w:val="13"/>
                <w:u w:val="none"/>
                <w:lang w:val="en-US" w:eastAsia="zh-CN"/>
              </w:rPr>
            </w:pPr>
            <w:r>
              <w:rPr>
                <w:rFonts w:hint="eastAsia" w:eastAsia="仿宋_GB2312"/>
                <w:sz w:val="13"/>
                <w:szCs w:val="13"/>
                <w:lang w:val="en-US" w:eastAsia="zh-CN"/>
              </w:rPr>
              <w:t>60%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lang w:eastAsia="zh-CN"/>
              </w:rPr>
            </w:pPr>
            <w:r>
              <w:rPr>
                <w:rFonts w:hint="eastAsia" w:eastAsia="仿宋_GB2312"/>
                <w:sz w:val="13"/>
                <w:szCs w:val="13"/>
                <w:lang w:val="en-US" w:eastAsia="zh-CN"/>
              </w:rPr>
              <w:t>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原因：食宿楼1至7月在装修，8月试运行。改进措施：正式投入使用后按预算执行。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56"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sz w:val="13"/>
                <w:szCs w:val="13"/>
                <w:u w:val="none"/>
              </w:rPr>
            </w:pPr>
          </w:p>
        </w:tc>
        <w:tc>
          <w:tcPr>
            <w:tcW w:w="261" w:type="pct"/>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3"/>
                <w:szCs w:val="13"/>
                <w:u w:val="none"/>
              </w:rPr>
            </w:pPr>
          </w:p>
        </w:tc>
        <w:tc>
          <w:tcPr>
            <w:tcW w:w="343"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时效指标</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3"/>
                <w:szCs w:val="13"/>
                <w:u w:val="none"/>
              </w:rPr>
            </w:pPr>
            <w:r>
              <w:rPr>
                <w:rFonts w:hint="eastAsia"/>
                <w:sz w:val="13"/>
                <w:szCs w:val="13"/>
              </w:rPr>
              <w:t>资金支付及时率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=100%</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计划标准</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按照正常比例赋分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工作资料</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=100%</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3"/>
                <w:szCs w:val="13"/>
                <w:u w:val="none"/>
                <w:lang w:val="en-US" w:eastAsia="zh-CN"/>
              </w:rPr>
            </w:pPr>
            <w:r>
              <w:rPr>
                <w:rFonts w:hint="eastAsia" w:eastAsia="仿宋_GB2312"/>
                <w:sz w:val="13"/>
                <w:szCs w:val="13"/>
                <w:lang w:val="en-US" w:eastAsia="zh-CN"/>
              </w:rPr>
              <w:t>60%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lang w:eastAsia="zh-CN"/>
              </w:rPr>
            </w:pPr>
            <w:r>
              <w:rPr>
                <w:rFonts w:hint="eastAsia" w:eastAsia="仿宋_GB2312"/>
                <w:sz w:val="13"/>
                <w:szCs w:val="13"/>
                <w:lang w:val="en-US" w:eastAsia="zh-CN"/>
              </w:rPr>
              <w:t>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3"/>
                <w:szCs w:val="13"/>
                <w:u w:val="none"/>
              </w:rPr>
            </w:pPr>
            <w:r>
              <w:rPr>
                <w:rFonts w:hint="eastAsia"/>
                <w:sz w:val="13"/>
                <w:szCs w:val="13"/>
              </w:rPr>
              <w:t>原因：食宿楼1至7月在装修，8月试运行。改进措施：正式投入使用后按预算执行。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3"/>
                <w:szCs w:val="13"/>
                <w:u w:val="none"/>
              </w:rPr>
            </w:pPr>
          </w:p>
        </w:tc>
        <w:tc>
          <w:tcPr>
            <w:tcW w:w="261" w:type="pct"/>
            <w:vMerge w:val="restar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3"/>
                <w:szCs w:val="13"/>
                <w:u w:val="none"/>
                <w:lang w:val="en-US" w:eastAsia="zh-CN"/>
              </w:rPr>
            </w:pPr>
            <w:r>
              <w:rPr>
                <w:rFonts w:hint="eastAsia" w:ascii="仿宋_GB2312" w:hAnsi="仿宋_GB2312" w:eastAsia="仿宋_GB2312" w:cs="仿宋_GB2312"/>
                <w:i w:val="0"/>
                <w:iCs w:val="0"/>
                <w:color w:val="000000"/>
                <w:sz w:val="13"/>
                <w:szCs w:val="13"/>
                <w:u w:val="none"/>
                <w:lang w:val="en-US" w:eastAsia="zh-CN"/>
              </w:rPr>
              <w:t>成本指标</w:t>
            </w:r>
          </w:p>
        </w:tc>
        <w:tc>
          <w:tcPr>
            <w:tcW w:w="343"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3"/>
                <w:szCs w:val="13"/>
                <w:highlight w:val="red"/>
                <w:u w:val="none"/>
                <w:lang w:val="en-US" w:eastAsia="zh-CN" w:bidi="ar"/>
              </w:rPr>
            </w:pPr>
            <w:r>
              <w:rPr>
                <w:rFonts w:hint="eastAsia" w:ascii="仿宋_GB2312" w:hAnsi="仿宋_GB2312" w:eastAsia="仿宋_GB2312" w:cs="仿宋_GB2312"/>
                <w:i w:val="0"/>
                <w:iCs w:val="0"/>
                <w:color w:val="000000"/>
                <w:kern w:val="0"/>
                <w:sz w:val="13"/>
                <w:szCs w:val="13"/>
                <w:highlight w:val="none"/>
                <w:u w:val="none"/>
                <w:lang w:val="en-US" w:eastAsia="zh-CN" w:bidi="ar"/>
              </w:rPr>
              <w:t>经济成本指标</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3"/>
                <w:szCs w:val="13"/>
                <w:u w:val="none"/>
              </w:rPr>
            </w:pPr>
            <w:r>
              <w:rPr>
                <w:rFonts w:hint="eastAsia"/>
                <w:sz w:val="13"/>
                <w:szCs w:val="13"/>
              </w:rPr>
              <w:t>聘用服务人员工资费用</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&lt;=40万元</w:t>
            </w:r>
          </w:p>
        </w:tc>
        <w:tc>
          <w:tcPr>
            <w:tcW w:w="403"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计划标准</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w:t>
            </w:r>
          </w:p>
        </w:tc>
        <w:tc>
          <w:tcPr>
            <w:tcW w:w="324"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按照正常比例赋分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原始凭证</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=9.18万元</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22.95%</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lang w:eastAsia="zh-CN"/>
              </w:rPr>
            </w:pPr>
            <w:r>
              <w:rPr>
                <w:rFonts w:hint="eastAsia" w:eastAsia="仿宋_GB2312"/>
                <w:sz w:val="13"/>
                <w:szCs w:val="13"/>
                <w:lang w:val="en-US" w:eastAsia="zh-CN"/>
              </w:rPr>
              <w:t>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原因：食宿楼为试营业阶段，暂不需要大量人员。改进措施：正常运行后按计划招聘人员。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3"/>
                <w:szCs w:val="13"/>
                <w:u w:val="none"/>
                <w:lang w:eastAsia="zh-CN"/>
              </w:rPr>
            </w:pPr>
            <w:r>
              <w:rPr>
                <w:rFonts w:hint="eastAsia" w:ascii="仿宋_GB2312" w:hAnsi="仿宋_GB2312" w:eastAsia="仿宋_GB2312" w:cs="仿宋_GB2312"/>
                <w:i w:val="0"/>
                <w:iCs w:val="0"/>
                <w:color w:val="000000"/>
                <w:sz w:val="13"/>
                <w:szCs w:val="13"/>
                <w:u w:val="none"/>
                <w:lang w:eastAsia="zh-CN"/>
              </w:rPr>
              <w:t>、</w:t>
            </w:r>
          </w:p>
        </w:tc>
        <w:tc>
          <w:tcPr>
            <w:tcW w:w="261"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lang w:val="en-US" w:eastAsia="zh-CN"/>
              </w:rPr>
            </w:pPr>
          </w:p>
        </w:tc>
        <w:tc>
          <w:tcPr>
            <w:tcW w:w="343"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3"/>
                <w:szCs w:val="13"/>
                <w:highlight w:val="none"/>
                <w:u w:val="none"/>
                <w:lang w:val="en-US" w:eastAsia="zh-CN" w:bidi="ar"/>
              </w:rPr>
            </w:pPr>
            <w:r>
              <w:rPr>
                <w:rFonts w:hint="eastAsia" w:ascii="仿宋_GB2312" w:hAnsi="仿宋_GB2312" w:eastAsia="仿宋_GB2312" w:cs="仿宋_GB2312"/>
                <w:i w:val="0"/>
                <w:iCs w:val="0"/>
                <w:color w:val="000000"/>
                <w:kern w:val="0"/>
                <w:sz w:val="13"/>
                <w:szCs w:val="13"/>
                <w:highlight w:val="none"/>
                <w:u w:val="none"/>
                <w:lang w:val="en-US" w:eastAsia="zh-CN" w:bidi="ar"/>
              </w:rPr>
              <w:t>经济成本指标</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3"/>
                <w:szCs w:val="13"/>
                <w:u w:val="none"/>
              </w:rPr>
            </w:pPr>
            <w:r>
              <w:rPr>
                <w:rFonts w:hint="eastAsia"/>
                <w:sz w:val="13"/>
                <w:szCs w:val="13"/>
              </w:rPr>
              <w:t>维护食宿综合楼运转经费</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&lt;=10万元</w:t>
            </w:r>
          </w:p>
        </w:tc>
        <w:tc>
          <w:tcPr>
            <w:tcW w:w="403"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划标准</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w:t>
            </w:r>
          </w:p>
        </w:tc>
        <w:tc>
          <w:tcPr>
            <w:tcW w:w="324"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按照正常比例赋分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原始凭证</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=20.82万元</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lang w:eastAsia="zh-CN"/>
              </w:rPr>
            </w:pPr>
            <w:r>
              <w:rPr>
                <w:rFonts w:hint="eastAsia" w:eastAsia="仿宋_GB2312"/>
                <w:sz w:val="13"/>
                <w:szCs w:val="13"/>
                <w:lang w:val="en-US" w:eastAsia="zh-CN"/>
              </w:rPr>
              <w:t>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lang w:eastAsia="zh-CN"/>
              </w:rPr>
            </w:pPr>
            <w:r>
              <w:rPr>
                <w:rFonts w:hint="eastAsia" w:eastAsia="仿宋_GB2312"/>
                <w:sz w:val="13"/>
                <w:szCs w:val="13"/>
                <w:lang w:val="en-US" w:eastAsia="zh-CN"/>
              </w:rPr>
              <w:t>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原因：因需购置厨具用具等，将聘用人员工资调剂成运转经费。改进措施：正常运行后按预算执行。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3"/>
                <w:szCs w:val="13"/>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社会效益指标</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受益服务人员人数</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&gt;=15人</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计划标准</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按照正常比例赋分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工作资料</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=8人</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53.33%</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lang w:eastAsia="zh-CN"/>
              </w:rPr>
            </w:pPr>
            <w:r>
              <w:rPr>
                <w:rFonts w:hint="eastAsia" w:eastAsia="仿宋_GB2312"/>
                <w:sz w:val="13"/>
                <w:szCs w:val="13"/>
                <w:lang w:val="en-US" w:eastAsia="zh-CN"/>
              </w:rPr>
              <w:t>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原因：食宿楼为试运行阶段，暂不需要大量人员。改进措施：正常运行后按计划招聘人员。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3"/>
                <w:szCs w:val="13"/>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满意度指标</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满意度指标</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3"/>
                <w:szCs w:val="13"/>
                <w:u w:val="none"/>
              </w:rPr>
            </w:pPr>
            <w:r>
              <w:rPr>
                <w:rFonts w:hint="eastAsia"/>
                <w:sz w:val="13"/>
                <w:szCs w:val="13"/>
              </w:rPr>
              <w:t>学员满意度</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&gt;=95%</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计划标准</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满意度赋分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工作资料</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w:t>
            </w:r>
            <w:r>
              <w:rPr>
                <w:rFonts w:hint="eastAsia"/>
                <w:sz w:val="13"/>
                <w:szCs w:val="13"/>
                <w:lang w:val="en-US" w:eastAsia="zh-CN"/>
              </w:rPr>
              <w:t>100</w:t>
            </w:r>
            <w:r>
              <w:rPr>
                <w:rFonts w:hint="eastAsia"/>
                <w:sz w:val="13"/>
                <w:szCs w:val="13"/>
              </w:rPr>
              <w:t>%</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sz w:val="13"/>
                <w:szCs w:val="13"/>
              </w:rPr>
              <w:t>10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51"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3"/>
                <w:szCs w:val="13"/>
                <w:u w:val="none"/>
                <w:lang w:val="en-US" w:eastAsia="zh-CN" w:bidi="ar"/>
              </w:rPr>
              <w:t>总分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p>
        </w:tc>
        <w:tc>
          <w:tcPr>
            <w:tcW w:w="403"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3"/>
                <w:szCs w:val="13"/>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3"/>
                <w:szCs w:val="13"/>
                <w:u w:val="none"/>
                <w:lang w:val="en-US" w:eastAsia="zh-CN"/>
              </w:rPr>
            </w:pPr>
            <w:r>
              <w:rPr>
                <w:rFonts w:hint="eastAsia" w:ascii="仿宋_GB2312" w:hAnsi="仿宋_GB2312" w:eastAsia="仿宋_GB2312" w:cs="仿宋_GB2312"/>
                <w:i w:val="0"/>
                <w:iCs w:val="0"/>
                <w:color w:val="000000"/>
                <w:sz w:val="13"/>
                <w:szCs w:val="13"/>
                <w:u w:val="none"/>
                <w:lang w:val="en-US" w:eastAsia="zh-CN"/>
              </w:rPr>
              <w: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3"/>
                <w:szCs w:val="13"/>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3"/>
                <w:szCs w:val="13"/>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3"/>
                <w:szCs w:val="13"/>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26</w:t>
            </w:r>
            <w:r>
              <w:rPr>
                <w:rFonts w:hint="eastAsia" w:ascii="宋体" w:hAnsi="宋体" w:eastAsia="宋体" w:cs="宋体"/>
                <w:i w:val="0"/>
                <w:iCs w:val="0"/>
                <w:color w:val="000000"/>
                <w:kern w:val="0"/>
                <w:sz w:val="13"/>
                <w:szCs w:val="13"/>
                <w:u w:val="none"/>
                <w:lang w:val="en-US" w:eastAsia="zh-CN" w:bidi="ar"/>
              </w:rPr>
              <w:t>分</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3"/>
                <w:szCs w:val="13"/>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0NjBmMzBmMjdlOWQzMjI4ODBmY2UxZjUzYzk3MjgifQ=="/>
  </w:docVars>
  <w:rsids>
    <w:rsidRoot w:val="FF6C4049"/>
    <w:rsid w:val="006F7242"/>
    <w:rsid w:val="007B168A"/>
    <w:rsid w:val="008B2CFE"/>
    <w:rsid w:val="00BC06D4"/>
    <w:rsid w:val="00F26FF6"/>
    <w:rsid w:val="01610122"/>
    <w:rsid w:val="02510197"/>
    <w:rsid w:val="02E525BA"/>
    <w:rsid w:val="03EC461B"/>
    <w:rsid w:val="0461077D"/>
    <w:rsid w:val="07397B77"/>
    <w:rsid w:val="07C44BB4"/>
    <w:rsid w:val="07E003B0"/>
    <w:rsid w:val="088D4D04"/>
    <w:rsid w:val="09C02683"/>
    <w:rsid w:val="0AD007F3"/>
    <w:rsid w:val="0C4D17A5"/>
    <w:rsid w:val="0CD614D7"/>
    <w:rsid w:val="0E3C619F"/>
    <w:rsid w:val="0F8812E4"/>
    <w:rsid w:val="100F38EC"/>
    <w:rsid w:val="11170296"/>
    <w:rsid w:val="12C66037"/>
    <w:rsid w:val="12CD1ABC"/>
    <w:rsid w:val="13471461"/>
    <w:rsid w:val="13B90F01"/>
    <w:rsid w:val="155E4C4D"/>
    <w:rsid w:val="181066D2"/>
    <w:rsid w:val="19526260"/>
    <w:rsid w:val="1C671E73"/>
    <w:rsid w:val="1D117608"/>
    <w:rsid w:val="1D322C47"/>
    <w:rsid w:val="1F0A32B3"/>
    <w:rsid w:val="20DF06B2"/>
    <w:rsid w:val="23616034"/>
    <w:rsid w:val="23696C97"/>
    <w:rsid w:val="238C275E"/>
    <w:rsid w:val="24480FA2"/>
    <w:rsid w:val="25227A45"/>
    <w:rsid w:val="26AC3A6A"/>
    <w:rsid w:val="27281E74"/>
    <w:rsid w:val="293674AE"/>
    <w:rsid w:val="29902135"/>
    <w:rsid w:val="2B9D7E25"/>
    <w:rsid w:val="2C7C7A3B"/>
    <w:rsid w:val="2F364819"/>
    <w:rsid w:val="2FD63906"/>
    <w:rsid w:val="32854CC2"/>
    <w:rsid w:val="33282896"/>
    <w:rsid w:val="37215DAE"/>
    <w:rsid w:val="38CA40DD"/>
    <w:rsid w:val="395F2B56"/>
    <w:rsid w:val="3B30101A"/>
    <w:rsid w:val="3BBA0580"/>
    <w:rsid w:val="3BECE841"/>
    <w:rsid w:val="3CDE204C"/>
    <w:rsid w:val="3D363C36"/>
    <w:rsid w:val="3E9C3F6D"/>
    <w:rsid w:val="3FC216C6"/>
    <w:rsid w:val="3FF7797D"/>
    <w:rsid w:val="425D6267"/>
    <w:rsid w:val="45BF7A0B"/>
    <w:rsid w:val="46690BD8"/>
    <w:rsid w:val="49F70BF1"/>
    <w:rsid w:val="4B4340EE"/>
    <w:rsid w:val="4D4A0AAE"/>
    <w:rsid w:val="4F471B10"/>
    <w:rsid w:val="503D507A"/>
    <w:rsid w:val="51305552"/>
    <w:rsid w:val="51FA74D0"/>
    <w:rsid w:val="52AA4A52"/>
    <w:rsid w:val="547960AB"/>
    <w:rsid w:val="56E3265C"/>
    <w:rsid w:val="59943D66"/>
    <w:rsid w:val="59E051FD"/>
    <w:rsid w:val="59E6355E"/>
    <w:rsid w:val="5B821531"/>
    <w:rsid w:val="5BFF6039"/>
    <w:rsid w:val="5D76A616"/>
    <w:rsid w:val="5D7F20B9"/>
    <w:rsid w:val="5DAC7D0E"/>
    <w:rsid w:val="5F3B1C40"/>
    <w:rsid w:val="5F98B5AF"/>
    <w:rsid w:val="5FFE8511"/>
    <w:rsid w:val="5FFEACE2"/>
    <w:rsid w:val="609D5BF6"/>
    <w:rsid w:val="61073070"/>
    <w:rsid w:val="61B9080E"/>
    <w:rsid w:val="61DF3FED"/>
    <w:rsid w:val="642B176B"/>
    <w:rsid w:val="643EE26D"/>
    <w:rsid w:val="656019A0"/>
    <w:rsid w:val="65F242EE"/>
    <w:rsid w:val="666D7E19"/>
    <w:rsid w:val="68376930"/>
    <w:rsid w:val="68F91E38"/>
    <w:rsid w:val="6B3158B9"/>
    <w:rsid w:val="6BA02A3F"/>
    <w:rsid w:val="6BDF5B74"/>
    <w:rsid w:val="6C1E5A53"/>
    <w:rsid w:val="6E73794C"/>
    <w:rsid w:val="6F5C41AC"/>
    <w:rsid w:val="6FAF6C78"/>
    <w:rsid w:val="716167CC"/>
    <w:rsid w:val="718A7AD1"/>
    <w:rsid w:val="72A44BC2"/>
    <w:rsid w:val="7317C656"/>
    <w:rsid w:val="734ED73F"/>
    <w:rsid w:val="73C82B32"/>
    <w:rsid w:val="73F94DAE"/>
    <w:rsid w:val="74220495"/>
    <w:rsid w:val="747D1B6F"/>
    <w:rsid w:val="749E5641"/>
    <w:rsid w:val="75D7732A"/>
    <w:rsid w:val="76271066"/>
    <w:rsid w:val="77FD8BE9"/>
    <w:rsid w:val="78000AED"/>
    <w:rsid w:val="799B3A38"/>
    <w:rsid w:val="79A9BD3F"/>
    <w:rsid w:val="7B776F12"/>
    <w:rsid w:val="7BFFFDD0"/>
    <w:rsid w:val="7C336E5F"/>
    <w:rsid w:val="7C8D4919"/>
    <w:rsid w:val="7D7A5F86"/>
    <w:rsid w:val="7E4B683A"/>
    <w:rsid w:val="7E5E656D"/>
    <w:rsid w:val="7E8F2BCB"/>
    <w:rsid w:val="7F37BB4E"/>
    <w:rsid w:val="7FE757EA"/>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11884</Words>
  <Characters>12277</Characters>
  <Lines>58</Lines>
  <Paragraphs>16</Paragraphs>
  <TotalTime>11</TotalTime>
  <ScaleCrop>false</ScaleCrop>
  <LinksUpToDate>false</LinksUpToDate>
  <CharactersWithSpaces>12294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2025-04-28T04:40:00Z</cp:lastPrinted>
  <dcterms:modified xsi:type="dcterms:W3CDTF">2025-04-29T09:30:27Z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