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中共库尔勒市委员会党校</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以马列主义、毛泽东思想、邓小平理论和“三个代表”重要思想、科学发展观、习近平新时代中国特色社会主义思想为指导，认真学习党的基本理论和基本知识，学习党的路线、方针、政策，坚持四项基本原则和坚持社会主义办学方向，提高办学水平。(2).根据《中国共产党党校工作条例》的要求，结合市委的中心工作，依据市委组织部的干训目标，制定切实可行的党校教学培训规划和计划。(3).负责以党校为阵地，做好干部教育培训工作，组织干部学习以邓小平理论为中心内容的马克思主义基本理论、现代科学技术知识和管理知识。(4).负责组织定期召开党校校务委员会会议，研究工作计划与安排、分析办班情况、不断改进教学方法，提高教学质量。(5).负责党校教师聘任和队伍建设，建立健全各项规章制度，从党校自身工作特点出发，切实加强党校的自身建设。(6).对市情进行深入调研，为市委、</w:t>
      </w:r>
      <w:r>
        <w:rPr>
          <w:rFonts w:hint="eastAsia" w:ascii="仿宋_GB2312" w:eastAsia="仿宋_GB2312"/>
          <w:b w:val="0"/>
          <w:sz w:val="32"/>
          <w:szCs w:val="32"/>
          <w:lang w:val="en-US" w:eastAsia="zh-CN"/>
        </w:rPr>
        <w:t>市</w:t>
      </w:r>
      <w:bookmarkStart w:id="0" w:name="_GoBack"/>
      <w:bookmarkEnd w:id="0"/>
      <w:r>
        <w:rPr>
          <w:rFonts w:ascii="仿宋_GB2312" w:eastAsia="仿宋_GB2312"/>
          <w:b w:val="0"/>
          <w:sz w:val="32"/>
          <w:szCs w:val="32"/>
        </w:rPr>
        <w:t>政府提供决策咨询。(7).负责与各级党校的联系，互通信息、互相交流，争取支持，促进党校工作。(8).完成市委交给的其他教育培训任务，协助有关部门举办培训班。(9).抓好党校自身建设，完善内部管理，做好各类培训班材料的归档工作，完善党校图书室的建设，不断改善办学条件。</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中共库尔勒市委员会党校2024年度，实有人数39人，其中：在职人员17人，减少1人；离休人员0人，较上年无变化；退休人员22人，增加1人。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中共库尔勒市委员会党校无下属预算单位，下设3个，分别是：教研室、总务室和办公室。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2024年度收入总计969.18万元，其中：本年收入合计969.18万元，使用非财政拨款结余（含专用结余）0.00万元，年初结转和结余0.00万元。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2024年度支出总计969.18万元，其中：本年支出合计969.18万元，结余分配0.00万元，年末结转和结余0.00万元。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收入支出总体与上年相比，减少99.26万元，下降9.29%，主要原因是：巴州库尔勒市党校食宿综合楼项目施工费以前年度已支付70%款项，本年度该工程进行决算审计后支付25%余款，所以较上年大幅减少。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本年收入969.18万元，其中：财政拨款收入969.18万元,占100.00%；上级补助收入0.00万元,占0.00%；事业收入0.00万元，占0.00%；经营收入0.00万元,占0.00%；附属单位上缴收入0.00万元，占0.00%；其他收入0.00万元，占0.00%。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本年支出969.18万元，其中：基本支出369.40万元，占38.11%；项目支出599.78万元，占61.89%；上缴上级支出0.00万元，占0.00%；经营支出0.00万元，占0.00%；对附属单位补助支出0.00万元，占0.00%。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2024年度财政拨款收入总计969.18万元，其中：年初财政拨款结转和结余0.00万元，本年财政拨款收入969.18万元。财政拨款支出总计969.18万元，其中：年末财政拨款结转和结余0.00万元，本年财政拨款支出969.18万元。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99.26万元，下降9.29%，主要原因是：巴州库尔勒市党校食宿综合楼项目施工费以前年度已支付70%款项，本年度该工程进行决算审计后支付25%余款，所以较上年大幅减少。与年初预算相比，年初预算数773.72万元，决算数969.18万元，预决算差异率25.26%，主要原因是：巴州库尔勒市党校食宿综合楼项目为本年年中追加的预算项目，年初未安排此项预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579.22万元，占本年支出合计的59.76%。与上年相比，增加40.78万元，增长7.57%，主要原因是：1、2024我单位在职在编人员工资标准提高，增加了人员经费，工资福利支出较上年增加；2、上年度未缴纳办公用房取暖费，本年度缴纳了2024年度公用房取暖费，导致2024年商品和服支出较上年大幅增加。3、2024我单位有1名在编教师退休，增加了退休人员经费，对个人和家庭的补助支出较上年增加；4、2024年较上年增加了消防改建工程项目经费和2023年库尔勒市科级干部和青年干部轮训班、秋季主体班和科级干部夜校培训经费。与年初预算相比，年初预算数773.72万元，决算数579.22万元，预决算差异率-25.14%，主要原因是：1、2024年消防改建工程未竣工验收，按照施工进度支付了部分工程款；2、党校食宿综合楼2024年9月正式交付使用，上半年党校食宿综合楼运转经费未使用，导致该项目经费未执行完毕。</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教育支出（类）480.87万元，占83.02%。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社会保障和就业支出（类）59.36万元，占10.25%。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卫生健康支出（类）15.03万元，占2.59%。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住房保障支出（类）23.95万元，占4.13%。</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干部教育（项）：支出决算数为479.12万元，比上年决算减少57.76万元，下降10.76%，主要原因是：2023年按照年初预算安排将社会保障和就业支出（类）行政事业单位养老支出（款）事业单位离退休（项）、社会保障和就业支出（类）行政事业单位养老支出（款）机关事业单位基本养老保险缴费支出（项）、社会保障和就业支出（类）行政事业单位养老支出（款）机关事业单位职业年金缴费支出（项）、卫生健康支出（类）行政事业单位医疗（款）事业单位医疗（项）、住房保障支出（类）住房改革支出（款）住房公积金（项）的支出全部计入教育支出（类）进修及培训（款）干部教育（项）中，导致本年度该款项决算数较上年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教育支出（类）进修及培训（款）培训支出（项）：支出决算数为1.76万元，比上年决算增加0.20万元，增长12.82%，主要原因是：由于工作需要，2024年本单位教师外出培训人员增多，培训经费相应增加。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17.38万元，比上年决算增加17.38万元，增长100.00%，主要原因是：上年预算未安排此项经费，上年度按照年初预算安排该款项支出计入教育支出（类）进修及培训（款）干部教育（项）中，导致本年度该款项决算数较上年100%增长。</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32.41万元，比上年决算增加32.41万元，增长100.00%，主要原因是：上年预算未安排此项经费，上年度按照年初预算安排该款项支出计入教育支出（类）进修及培训（款）干部教育（项）中，导致本年度该款项决算数较上年100%增长。</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9.58万元，比上年决算增加9.58万元，增长100.00%，主要原因是：上年预算未安排此项经费，上年度按照年初预算安排该款项支出计入教育支出（类）进修及培训（款）干部教育（项）中，导致本年度该款项决算数较上年100%增长。</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事业单位医疗（项）：支出决算数为15.03万元，比上年决算增加15.03万元，增长100.00%，主要原因是：上年预算未安排此项经费，上年度按照年初预算安排该款项支出计入教育支出（类）进修及培训（款）干部教育（项）中，导致本年度该款项决算数较上年100%增长。</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23.95万元，比上年决算增加23.95万元，增长100.00%，主要原因是：上年预算未安排此项经费，上年度按照年初预算安排该款项支出计入教育支出（类）进修及培训（款）干部教育（项）中，导致本年度该款项决算数较上年100%增长。</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369.40万元，其中：人员经费326.21万元，包括：基本工资、津贴补贴、奖金、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公用经费43.19万元，包括：办公费、水费、电费、邮电费、取暖费、培训费、工会经费、福利费和公务用车运行维护费。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2024年度政府性基金预算财政拨款收入总计389.96万元，其中：年初结转和结余0.00万元，本年收入389.96万元。政府性基金预算财政拨款支出总计389.96万元，其中：年末结转和结余0.00万元，本年支出389.96万元。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减少140.04万元，下降26.42%，主要原因是：巴州库尔勒市党校食宿综合楼项目施工费以前年度已支付70%款项，本年度该工程进行决算审计后支付25%余款，所以较上年大幅减少。与年初预算相比，年初预算数0.00万元，决算数389.96万元，预决算差异率100%，主要原因是：巴州库尔勒市党校食宿综合楼项目为本年年中追加的预算项目，年初未安排此项预算。</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政府性基金预算财政拨款支出389.96万元。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其他国有土地使用权出让收入安排的支出（项）：支出决算数为389.96万元，比上年决算减少140.04万元，下降26.42%，主要原因是：巴州库尔勒市党校食宿综合楼项目施工费以前年度已支付70%款项，本年度该工程进行决算审计后支付25%余款，所以较上年大幅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1.73万元，比上年减少0.00万元，下降0.00%，主要原因是：本年度财政拨款“三公”经费支出与上年一致。其中：因公出国（境）费支出0.00万元,占0.00%，与上年相比无变化，主要原因是：本年我单位无因公出国（境）费支出；公务用车购置及运行维护费支出1.73万元，占100.00%，比上年减少0.00万元，下降0.00%，主要原因是：本年度公务用车购置及运行维护费支出与上年一致；公务接待费支出0.00万元，占0.00%，与上年相比无变化，主要原因是：我单位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因公出国（境）费支出0.00万元，开支内容包括我单位无因公出国（境）费支出。单位全年安排的因公出国（境）团组0个，因公出国（境）0人次。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1.73万元，其中：公务用车购置费0.00万元，公务用车运行维护费1.73万元。公务用车运行维护费开支内容包括包括车辆保险费、车辆保养维修费、车辆燃油费。公务用车购置数0辆，公务用车保有量1辆。国有资产占用情况中固定资产车辆1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公务接待费0.00万元，开支内容包括本年未安排公务接待费支出，无开支内容。单位全年安排的国内公务接待0批次，0人次。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1.73万元，决算数1.73万元，预决算差异率0.00%，主要原因是：预决算一致，无差异。其中：因公出国（境）费全年预算数0.00万元，决算数0.00万元，预决算差异率0.00%，主要原因是：我单位无因公出国（境）费支出。公务用车购置费全年预算数0.00万元，决算数0.00万元，预决算差异率0.00%，主要原因是：我单位无公务用车购置费支出。公务用车运行维护费全年预算数1.73万元，决算数1.73万元，预决算差异率0.00%，主要原因是：预决算一致，无差异。公务接待费全年预算数0.00万元，决算数0.00万元，预决算差异率0.00%，主要原因是：我单位无公务接待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2024年度公用经费支出43.19万元，比上年增加33.26万元，增长334.94%，主要原因是：上年度未缴纳办公用房取暖费，本年度缴纳了2024年度公用房取暖费，导致2024年公用经费支出较上年大幅增加。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2024年度政府采购支出总额221.21万元，其中：政府采购货物支出60.00万元、政府采购工程支出0.00万元、政府采购服务支出161.21万元。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授予中小企业合同金额220.99万元，占政府采购支出总额的99.90%，其中：授予小微企业合同金额220.99万元，占政府采购支出总额的99.90%。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13.29万元，其中：副部（省）级及以上领导用车0辆、主要负责人用车0辆、机要通信用车0辆、应急保障用车0辆、执法执勤用车0辆、特种专业技术用车0辆、离退休干部服务用车0辆、其他用车1辆，其他用车主要是：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773.72</w:t>
      </w:r>
      <w:r>
        <w:rPr>
          <w:rFonts w:ascii="仿宋_GB2312" w:eastAsia="仿宋_GB2312"/>
          <w:b w:val="0"/>
          <w:sz w:val="32"/>
          <w:szCs w:val="32"/>
        </w:rPr>
        <w:t>万元，实际执行总额</w:t>
      </w:r>
      <w:r>
        <w:rPr>
          <w:rFonts w:hint="eastAsia" w:ascii="仿宋_GB2312" w:eastAsia="仿宋_GB2312"/>
          <w:b w:val="0"/>
          <w:sz w:val="32"/>
          <w:szCs w:val="32"/>
          <w:lang w:val="en-US" w:eastAsia="zh-CN"/>
        </w:rPr>
        <w:t>969.18</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4</w:t>
      </w:r>
      <w:r>
        <w:rPr>
          <w:rFonts w:ascii="仿宋_GB2312" w:eastAsia="仿宋_GB2312"/>
          <w:b w:val="0"/>
          <w:sz w:val="32"/>
          <w:szCs w:val="32"/>
        </w:rPr>
        <w:t>个，全年预算数</w:t>
      </w:r>
      <w:r>
        <w:rPr>
          <w:rFonts w:hint="eastAsia" w:ascii="仿宋_GB2312" w:eastAsia="仿宋_GB2312"/>
          <w:b w:val="0"/>
          <w:sz w:val="32"/>
          <w:szCs w:val="32"/>
          <w:lang w:val="en-US" w:eastAsia="zh-CN"/>
        </w:rPr>
        <w:t>350</w:t>
      </w:r>
      <w:r>
        <w:rPr>
          <w:rFonts w:ascii="仿宋_GB2312" w:eastAsia="仿宋_GB2312"/>
          <w:b w:val="0"/>
          <w:sz w:val="32"/>
          <w:szCs w:val="32"/>
        </w:rPr>
        <w:t>万元，全年执行数</w:t>
      </w:r>
      <w:r>
        <w:rPr>
          <w:rFonts w:hint="eastAsia" w:ascii="仿宋_GB2312" w:eastAsia="仿宋_GB2312"/>
          <w:b w:val="0"/>
          <w:sz w:val="32"/>
          <w:szCs w:val="32"/>
          <w:lang w:val="en-US" w:eastAsia="zh-CN"/>
        </w:rPr>
        <w:t>209.82</w:t>
      </w:r>
      <w:r>
        <w:rPr>
          <w:rFonts w:ascii="仿宋_GB2312" w:eastAsia="仿宋_GB2312"/>
          <w:b w:val="0"/>
          <w:sz w:val="32"/>
          <w:szCs w:val="32"/>
        </w:rPr>
        <w:t>万元。预算绩效管理取得的成效：一是全面反映单位支出的详细情况清晰的归集所有收支项目，增强了部门预算编制的完整性、准确性和规范性，提高了预算编制的透明度；二是进一步增强了我单位的绩效意识和责任意识。发现的问题及原因：一是在固定资产使用管理方面，不同程度的存在一些管理不够规范、跟踪不够及时、衔接不够充分等问题。下一步改进措施：一是立足实际，坚持推行精细化管理，建立健全固定资产管理制度，严格执行资产管理制度；二是定期对固定资产明细账、台账、实物进行账账核对账实核对。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1955" cy="8218170"/>
            <wp:effectExtent l="0" t="0" r="444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81955" cy="821817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3225" cy="8193405"/>
            <wp:effectExtent l="0" t="0" r="317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483225" cy="819340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2590" cy="8157845"/>
            <wp:effectExtent l="0" t="0" r="38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82590" cy="815784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0685" cy="6824980"/>
            <wp:effectExtent l="0" t="0" r="571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80685" cy="682498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3860" cy="4405630"/>
            <wp:effectExtent l="0" t="0" r="2540"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83860" cy="440563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3225" cy="4728210"/>
            <wp:effectExtent l="0" t="0" r="3175" b="152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3225" cy="472821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77510" cy="1816735"/>
            <wp:effectExtent l="0" t="0" r="8890"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77510" cy="181673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2590" cy="2026920"/>
            <wp:effectExtent l="0" t="0" r="3810" b="1143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82590" cy="202692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76240" cy="872490"/>
            <wp:effectExtent l="0" t="0" r="1016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76240" cy="87249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splitPgBreakAndParaMark/>
    <w:compatSetting w:name="compatibilityMode" w:uri="http://schemas.microsoft.com/office/word" w:val="12"/>
  </w:compat>
  <w:rsids>
    <w:rsidRoot w:val="00000000"/>
    <w:rsid w:val="04334F8B"/>
    <w:rsid w:val="08A364D4"/>
    <w:rsid w:val="0CF314E8"/>
    <w:rsid w:val="31AC38D6"/>
    <w:rsid w:val="5E551DC0"/>
    <w:rsid w:val="78F559F3"/>
    <w:rsid w:val="7AB868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3"/>
    <w:basedOn w:val="1"/>
    <w:next w:val="1"/>
    <w:qFormat/>
    <w:uiPriority w:val="99"/>
    <w:pPr>
      <w:keepNext/>
      <w:keepLines/>
      <w:widowControl w:val="0"/>
      <w:spacing w:before="260" w:after="260"/>
      <w:ind w:firstLine="200" w:firstLineChars="200"/>
      <w:jc w:val="center"/>
      <w:outlineLvl w:val="2"/>
    </w:pPr>
    <w:rPr>
      <w:rFonts w:ascii="Calibri" w:hAnsi="Calibri" w:eastAsia="黑体" w:cs="Times New Roman"/>
      <w:bCs/>
      <w:kern w:val="2"/>
      <w:szCs w:val="3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2025-08-14T04:30:00Z</dcterms:created>
  <dc:creator>Administrator</dc:creator>
  <cp:lastModifiedBy>lenovo</cp:lastModifiedBy>
  <dcterms:modified xsi:type="dcterms:W3CDTF">2025-09-02T03:17:05Z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52DA4EC0663A415B8363484E4F9FB530</vt:lpwstr>
  </property>
</Properties>
</file>