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val="0"/>
        <w:topLinePunct w:val="0"/>
        <w:autoSpaceDE/>
        <w:autoSpaceDN/>
        <w:bidi w:val="0"/>
        <w:adjustRightInd/>
        <w:snapToGrid/>
        <w:spacing w:line="540" w:lineRule="exact"/>
        <w:jc w:val="center"/>
        <w:rPr>
          <w:rFonts w:hint="default" w:ascii="Times New Roman" w:hAnsi="Times New Roman" w:eastAsia="华文中宋" w:cs="Times New Roman"/>
          <w:b/>
          <w:kern w:val="0"/>
          <w:sz w:val="52"/>
          <w:szCs w:val="52"/>
          <w:highlight w:val="none"/>
        </w:rPr>
      </w:pPr>
    </w:p>
    <w:p>
      <w:pPr>
        <w:pageBreakBefore w:val="0"/>
        <w:kinsoku/>
        <w:wordWrap/>
        <w:overflowPunct w:val="0"/>
        <w:topLinePunct w:val="0"/>
        <w:autoSpaceDE/>
        <w:autoSpaceDN/>
        <w:bidi w:val="0"/>
        <w:adjustRightInd/>
        <w:snapToGrid/>
        <w:spacing w:line="540" w:lineRule="exact"/>
        <w:rPr>
          <w:rFonts w:hint="default" w:ascii="Times New Roman" w:hAnsi="Times New Roman" w:eastAsia="华文中宋" w:cs="Times New Roman"/>
          <w:b/>
          <w:kern w:val="0"/>
          <w:sz w:val="52"/>
          <w:szCs w:val="52"/>
          <w:highlight w:val="none"/>
        </w:rPr>
      </w:pPr>
    </w:p>
    <w:p>
      <w:pPr>
        <w:pageBreakBefore w:val="0"/>
        <w:kinsoku/>
        <w:wordWrap/>
        <w:overflowPunct w:val="0"/>
        <w:topLinePunct w:val="0"/>
        <w:autoSpaceDE/>
        <w:autoSpaceDN/>
        <w:bidi w:val="0"/>
        <w:adjustRightInd/>
        <w:snapToGrid/>
        <w:spacing w:line="540" w:lineRule="exact"/>
        <w:jc w:val="center"/>
        <w:rPr>
          <w:rFonts w:hint="default" w:ascii="Times New Roman" w:hAnsi="Times New Roman" w:eastAsia="华文中宋" w:cs="Times New Roman"/>
          <w:b/>
          <w:kern w:val="0"/>
          <w:sz w:val="52"/>
          <w:szCs w:val="52"/>
          <w:highlight w:val="none"/>
        </w:rPr>
      </w:pPr>
    </w:p>
    <w:p>
      <w:pPr>
        <w:pageBreakBefore w:val="0"/>
        <w:kinsoku/>
        <w:wordWrap/>
        <w:overflowPunct w:val="0"/>
        <w:topLinePunct w:val="0"/>
        <w:autoSpaceDE/>
        <w:autoSpaceDN/>
        <w:bidi w:val="0"/>
        <w:adjustRightInd/>
        <w:snapToGrid/>
        <w:spacing w:line="540" w:lineRule="exact"/>
        <w:jc w:val="center"/>
        <w:rPr>
          <w:rFonts w:hint="default" w:ascii="Times New Roman" w:hAnsi="Times New Roman" w:eastAsia="华文中宋" w:cs="Times New Roman"/>
          <w:b/>
          <w:kern w:val="0"/>
          <w:sz w:val="52"/>
          <w:szCs w:val="52"/>
          <w:highlight w:val="none"/>
        </w:rPr>
      </w:pPr>
    </w:p>
    <w:p>
      <w:pPr>
        <w:pageBreakBefore w:val="0"/>
        <w:kinsoku/>
        <w:wordWrap/>
        <w:overflowPunct w:val="0"/>
        <w:topLinePunct w:val="0"/>
        <w:autoSpaceDE/>
        <w:autoSpaceDN/>
        <w:bidi w:val="0"/>
        <w:adjustRightInd/>
        <w:snapToGrid/>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lang w:val="en-US" w:eastAsia="zh-CN"/>
        </w:rPr>
        <w:t>支农专项-农村</w:t>
      </w:r>
      <w:r>
        <w:rPr>
          <w:rFonts w:hint="eastAsia" w:eastAsia="方正小标宋_GBK" w:cs="Times New Roman"/>
          <w:kern w:val="0"/>
          <w:sz w:val="48"/>
          <w:szCs w:val="48"/>
          <w:highlight w:val="none"/>
          <w:lang w:val="en-US" w:eastAsia="zh-CN"/>
        </w:rPr>
        <w:t>“</w:t>
      </w:r>
      <w:r>
        <w:rPr>
          <w:rFonts w:hint="default" w:ascii="Times New Roman" w:hAnsi="Times New Roman" w:eastAsia="方正小标宋_GBK" w:cs="Times New Roman"/>
          <w:kern w:val="0"/>
          <w:sz w:val="48"/>
          <w:szCs w:val="48"/>
          <w:highlight w:val="none"/>
          <w:lang w:val="en-US" w:eastAsia="zh-CN"/>
        </w:rPr>
        <w:t>三老</w:t>
      </w:r>
      <w:r>
        <w:rPr>
          <w:rFonts w:hint="eastAsia" w:eastAsia="方正小标宋_GBK" w:cs="Times New Roman"/>
          <w:kern w:val="0"/>
          <w:sz w:val="48"/>
          <w:szCs w:val="48"/>
          <w:highlight w:val="none"/>
          <w:lang w:val="en-US" w:eastAsia="zh-CN"/>
        </w:rPr>
        <w:t>”</w:t>
      </w:r>
      <w:r>
        <w:rPr>
          <w:rFonts w:hint="default" w:ascii="Times New Roman" w:hAnsi="Times New Roman" w:eastAsia="方正小标宋_GBK" w:cs="Times New Roman"/>
          <w:kern w:val="0"/>
          <w:sz w:val="48"/>
          <w:szCs w:val="48"/>
          <w:highlight w:val="none"/>
          <w:lang w:val="en-US" w:eastAsia="zh-CN"/>
        </w:rPr>
        <w:t>人员生活补助</w:t>
      </w:r>
      <w:r>
        <w:rPr>
          <w:rFonts w:hint="default" w:ascii="Times New Roman" w:hAnsi="Times New Roman" w:eastAsia="方正小标宋_GBK" w:cs="Times New Roman"/>
          <w:kern w:val="0"/>
          <w:sz w:val="48"/>
          <w:szCs w:val="48"/>
          <w:highlight w:val="none"/>
        </w:rPr>
        <w:t>项目支出绩效评价报告</w:t>
      </w:r>
    </w:p>
    <w:p>
      <w:pPr>
        <w:pageBreakBefore w:val="0"/>
        <w:kinsoku/>
        <w:wordWrap/>
        <w:overflowPunct w:val="0"/>
        <w:topLinePunct w:val="0"/>
        <w:autoSpaceDE/>
        <w:autoSpaceDN/>
        <w:bidi w:val="0"/>
        <w:adjustRightInd/>
        <w:snapToGrid/>
        <w:spacing w:line="540" w:lineRule="exact"/>
        <w:jc w:val="center"/>
        <w:rPr>
          <w:rFonts w:hint="default" w:ascii="Times New Roman" w:hAnsi="Times New Roman" w:eastAsia="华文中宋" w:cs="Times New Roman"/>
          <w:b/>
          <w:kern w:val="0"/>
          <w:sz w:val="52"/>
          <w:szCs w:val="52"/>
          <w:highlight w:val="none"/>
        </w:rPr>
      </w:pPr>
    </w:p>
    <w:p>
      <w:pPr>
        <w:pageBreakBefore w:val="0"/>
        <w:kinsoku/>
        <w:wordWrap/>
        <w:overflowPunct w:val="0"/>
        <w:topLinePunct w:val="0"/>
        <w:autoSpaceDE/>
        <w:autoSpaceDN/>
        <w:bidi w:val="0"/>
        <w:adjustRightInd/>
        <w:snapToGrid/>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pageBreakBefore w:val="0"/>
        <w:kinsoku/>
        <w:wordWrap/>
        <w:overflowPunct w:val="0"/>
        <w:topLinePunct w:val="0"/>
        <w:autoSpaceDE/>
        <w:autoSpaceDN/>
        <w:bidi w:val="0"/>
        <w:adjustRightInd/>
        <w:snapToGrid/>
        <w:spacing w:line="540" w:lineRule="exact"/>
        <w:jc w:val="center"/>
        <w:rPr>
          <w:rFonts w:hint="default" w:ascii="Times New Roman" w:hAnsi="Times New Roman" w:eastAsia="仿宋_GB2312" w:cs="Times New Roman"/>
          <w:kern w:val="0"/>
          <w:sz w:val="30"/>
          <w:szCs w:val="30"/>
          <w:highlight w:val="none"/>
        </w:rPr>
      </w:pPr>
    </w:p>
    <w:p>
      <w:pPr>
        <w:pageBreakBefore w:val="0"/>
        <w:kinsoku/>
        <w:wordWrap/>
        <w:overflowPunct w:val="0"/>
        <w:topLinePunct w:val="0"/>
        <w:autoSpaceDE/>
        <w:autoSpaceDN/>
        <w:bidi w:val="0"/>
        <w:adjustRightInd/>
        <w:snapToGrid/>
        <w:spacing w:line="540" w:lineRule="exact"/>
        <w:jc w:val="center"/>
        <w:rPr>
          <w:rFonts w:hint="default" w:ascii="Times New Roman" w:hAnsi="Times New Roman" w:eastAsia="仿宋_GB2312" w:cs="Times New Roman"/>
          <w:kern w:val="0"/>
          <w:sz w:val="30"/>
          <w:szCs w:val="30"/>
          <w:highlight w:val="none"/>
        </w:rPr>
      </w:pPr>
    </w:p>
    <w:p>
      <w:pPr>
        <w:pageBreakBefore w:val="0"/>
        <w:kinsoku/>
        <w:wordWrap/>
        <w:overflowPunct w:val="0"/>
        <w:topLinePunct w:val="0"/>
        <w:autoSpaceDE/>
        <w:autoSpaceDN/>
        <w:bidi w:val="0"/>
        <w:adjustRightInd/>
        <w:snapToGrid/>
        <w:spacing w:line="540" w:lineRule="exact"/>
        <w:jc w:val="center"/>
        <w:rPr>
          <w:rFonts w:hint="default" w:ascii="Times New Roman" w:hAnsi="Times New Roman" w:eastAsia="仿宋_GB2312" w:cs="Times New Roman"/>
          <w:kern w:val="0"/>
          <w:sz w:val="30"/>
          <w:szCs w:val="30"/>
          <w:highlight w:val="none"/>
        </w:rPr>
      </w:pPr>
    </w:p>
    <w:p>
      <w:pPr>
        <w:pStyle w:val="10"/>
        <w:pageBreakBefore w:val="0"/>
        <w:kinsoku/>
        <w:wordWrap/>
        <w:overflowPunct w:val="0"/>
        <w:topLinePunct w:val="0"/>
        <w:autoSpaceDE/>
        <w:autoSpaceDN/>
        <w:bidi w:val="0"/>
        <w:adjustRightInd/>
        <w:snapToGrid/>
        <w:rPr>
          <w:rFonts w:hint="default" w:ascii="Times New Roman" w:hAnsi="Times New Roman" w:cs="Times New Roman"/>
          <w:highlight w:val="none"/>
        </w:rPr>
      </w:pPr>
    </w:p>
    <w:p>
      <w:pPr>
        <w:pageBreakBefore w:val="0"/>
        <w:kinsoku/>
        <w:wordWrap/>
        <w:overflowPunct w:val="0"/>
        <w:topLinePunct w:val="0"/>
        <w:autoSpaceDE/>
        <w:autoSpaceDN/>
        <w:bidi w:val="0"/>
        <w:adjustRightInd/>
        <w:snapToGrid/>
        <w:spacing w:line="540" w:lineRule="exact"/>
        <w:jc w:val="center"/>
        <w:rPr>
          <w:rFonts w:hint="default" w:ascii="Times New Roman" w:hAnsi="Times New Roman" w:eastAsia="仿宋_GB2312" w:cs="Times New Roman"/>
          <w:kern w:val="0"/>
          <w:sz w:val="30"/>
          <w:szCs w:val="30"/>
          <w:highlight w:val="none"/>
        </w:rPr>
      </w:pPr>
    </w:p>
    <w:p>
      <w:pPr>
        <w:pageBreakBefore w:val="0"/>
        <w:kinsoku/>
        <w:wordWrap/>
        <w:overflowPunct w:val="0"/>
        <w:topLinePunct w:val="0"/>
        <w:autoSpaceDE/>
        <w:autoSpaceDN/>
        <w:bidi w:val="0"/>
        <w:adjustRightInd/>
        <w:snapToGrid/>
        <w:spacing w:line="540" w:lineRule="exact"/>
        <w:rPr>
          <w:rFonts w:hint="default" w:ascii="Times New Roman" w:hAnsi="Times New Roman" w:eastAsia="仿宋_GB2312" w:cs="Times New Roman"/>
          <w:kern w:val="0"/>
          <w:sz w:val="30"/>
          <w:szCs w:val="30"/>
          <w:highlight w:val="none"/>
        </w:rPr>
      </w:pPr>
    </w:p>
    <w:p>
      <w:pPr>
        <w:pageBreakBefore w:val="0"/>
        <w:kinsoku/>
        <w:wordWrap/>
        <w:overflowPunct w:val="0"/>
        <w:topLinePunct w:val="0"/>
        <w:autoSpaceDE/>
        <w:autoSpaceDN/>
        <w:bidi w:val="0"/>
        <w:adjustRightInd/>
        <w:snapToGrid/>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w:t>
      </w:r>
      <w:r>
        <w:rPr>
          <w:rFonts w:hint="default" w:ascii="Times New Roman" w:hAnsi="Times New Roman" w:eastAsia="仿宋_GB2312" w:cs="Times New Roman"/>
          <w:w w:val="90"/>
          <w:kern w:val="0"/>
          <w:sz w:val="36"/>
          <w:szCs w:val="36"/>
          <w:highlight w:val="none"/>
        </w:rPr>
        <w:t>支农专项-农村</w:t>
      </w:r>
      <w:r>
        <w:rPr>
          <w:rFonts w:hint="eastAsia" w:eastAsia="仿宋_GB2312" w:cs="Times New Roman"/>
          <w:w w:val="90"/>
          <w:kern w:val="0"/>
          <w:sz w:val="36"/>
          <w:szCs w:val="36"/>
          <w:highlight w:val="none"/>
          <w:lang w:eastAsia="zh-CN"/>
        </w:rPr>
        <w:t>“</w:t>
      </w:r>
      <w:r>
        <w:rPr>
          <w:rFonts w:hint="default" w:ascii="Times New Roman" w:hAnsi="Times New Roman" w:eastAsia="仿宋_GB2312" w:cs="Times New Roman"/>
          <w:w w:val="90"/>
          <w:kern w:val="0"/>
          <w:sz w:val="36"/>
          <w:szCs w:val="36"/>
          <w:highlight w:val="none"/>
        </w:rPr>
        <w:t>三老</w:t>
      </w:r>
      <w:r>
        <w:rPr>
          <w:rFonts w:hint="eastAsia" w:eastAsia="仿宋_GB2312" w:cs="Times New Roman"/>
          <w:w w:val="90"/>
          <w:kern w:val="0"/>
          <w:sz w:val="36"/>
          <w:szCs w:val="36"/>
          <w:highlight w:val="none"/>
          <w:lang w:eastAsia="zh-CN"/>
        </w:rPr>
        <w:t>”</w:t>
      </w:r>
      <w:r>
        <w:rPr>
          <w:rFonts w:hint="default" w:ascii="Times New Roman" w:hAnsi="Times New Roman" w:eastAsia="仿宋_GB2312" w:cs="Times New Roman"/>
          <w:w w:val="90"/>
          <w:kern w:val="0"/>
          <w:sz w:val="36"/>
          <w:szCs w:val="36"/>
          <w:highlight w:val="none"/>
        </w:rPr>
        <w:t>人员生活补助</w:t>
      </w:r>
    </w:p>
    <w:p>
      <w:pPr>
        <w:pageBreakBefore w:val="0"/>
        <w:kinsoku/>
        <w:wordWrap/>
        <w:overflowPunct w:val="0"/>
        <w:topLinePunct w:val="0"/>
        <w:autoSpaceDE/>
        <w:autoSpaceDN/>
        <w:bidi w:val="0"/>
        <w:adjustRightInd/>
        <w:snapToGrid/>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default" w:ascii="Times New Roman" w:hAnsi="Times New Roman" w:eastAsia="仿宋_GB2312" w:cs="Times New Roman"/>
          <w:w w:val="90"/>
          <w:kern w:val="0"/>
          <w:sz w:val="36"/>
          <w:szCs w:val="36"/>
          <w:highlight w:val="none"/>
          <w:lang w:val="en-US" w:eastAsia="zh-CN"/>
        </w:rPr>
        <w:t>中共库尔勒市委员会组织部</w:t>
      </w:r>
    </w:p>
    <w:p>
      <w:pPr>
        <w:pageBreakBefore w:val="0"/>
        <w:kinsoku/>
        <w:wordWrap/>
        <w:overflowPunct w:val="0"/>
        <w:topLinePunct w:val="0"/>
        <w:autoSpaceDE/>
        <w:autoSpaceDN/>
        <w:bidi w:val="0"/>
        <w:adjustRightInd/>
        <w:snapToGrid/>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主管部门（公章）：</w:t>
      </w:r>
      <w:r>
        <w:rPr>
          <w:rFonts w:hint="default" w:ascii="Times New Roman" w:hAnsi="Times New Roman" w:eastAsia="仿宋_GB2312" w:cs="Times New Roman"/>
          <w:w w:val="90"/>
          <w:kern w:val="0"/>
          <w:sz w:val="36"/>
          <w:szCs w:val="36"/>
          <w:highlight w:val="none"/>
          <w:lang w:val="en-US" w:eastAsia="zh-CN"/>
        </w:rPr>
        <w:t>中共库尔勒市委员会组织部</w:t>
      </w:r>
    </w:p>
    <w:p>
      <w:pPr>
        <w:pageBreakBefore w:val="0"/>
        <w:kinsoku/>
        <w:wordWrap/>
        <w:overflowPunct w:val="0"/>
        <w:topLinePunct w:val="0"/>
        <w:autoSpaceDE/>
        <w:autoSpaceDN/>
        <w:bidi w:val="0"/>
        <w:adjustRightInd/>
        <w:snapToGrid/>
        <w:spacing w:line="700" w:lineRule="exact"/>
        <w:ind w:firstLine="1440" w:firstLineChars="400"/>
        <w:jc w:val="left"/>
        <w:rPr>
          <w:rFonts w:hint="default"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default" w:ascii="Times New Roman" w:hAnsi="Times New Roman" w:eastAsia="仿宋_GB2312" w:cs="Times New Roman"/>
          <w:kern w:val="0"/>
          <w:sz w:val="36"/>
          <w:szCs w:val="36"/>
          <w:highlight w:val="none"/>
          <w:lang w:val="en-US" w:eastAsia="zh-CN"/>
        </w:rPr>
        <w:t>侯如梁</w:t>
      </w:r>
    </w:p>
    <w:p>
      <w:pPr>
        <w:pageBreakBefore w:val="0"/>
        <w:kinsoku/>
        <w:wordWrap/>
        <w:overflowPunct w:val="0"/>
        <w:topLinePunct w:val="0"/>
        <w:autoSpaceDE/>
        <w:autoSpaceDN/>
        <w:bidi w:val="0"/>
        <w:adjustRightInd/>
        <w:snapToGrid/>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default" w:ascii="Times New Roman" w:hAnsi="Times New Roman"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default" w:ascii="Times New Roman" w:hAnsi="Times New Roman" w:eastAsia="仿宋_GB2312" w:cs="Times New Roman"/>
          <w:kern w:val="0"/>
          <w:sz w:val="36"/>
          <w:szCs w:val="36"/>
          <w:highlight w:val="none"/>
          <w:lang w:val="en-US" w:eastAsia="zh-CN"/>
        </w:rPr>
        <w:t>23</w:t>
      </w:r>
      <w:r>
        <w:rPr>
          <w:rFonts w:hint="default" w:ascii="Times New Roman" w:hAnsi="Times New Roman" w:eastAsia="仿宋_GB2312" w:cs="Times New Roman"/>
          <w:kern w:val="0"/>
          <w:sz w:val="36"/>
          <w:szCs w:val="36"/>
          <w:highlight w:val="none"/>
        </w:rPr>
        <w:t>日</w:t>
      </w:r>
    </w:p>
    <w:p>
      <w:pPr>
        <w:pageBreakBefore w:val="0"/>
        <w:kinsoku/>
        <w:wordWrap/>
        <w:overflowPunct w:val="0"/>
        <w:topLinePunct w:val="0"/>
        <w:autoSpaceDE/>
        <w:autoSpaceDN/>
        <w:bidi w:val="0"/>
        <w:adjustRightInd/>
        <w:snapToGrid/>
        <w:spacing w:line="540" w:lineRule="exact"/>
        <w:jc w:val="center"/>
        <w:rPr>
          <w:rFonts w:hint="default" w:ascii="Times New Roman" w:hAnsi="Times New Roman" w:eastAsia="仿宋_GB2312" w:cs="Times New Roman"/>
          <w:kern w:val="0"/>
          <w:sz w:val="30"/>
          <w:szCs w:val="30"/>
          <w:highlight w:val="none"/>
        </w:rPr>
      </w:pPr>
    </w:p>
    <w:p>
      <w:pPr>
        <w:pageBreakBefore w:val="0"/>
        <w:kinsoku/>
        <w:wordWrap/>
        <w:overflowPunct w:val="0"/>
        <w:topLinePunct w:val="0"/>
        <w:autoSpaceDE/>
        <w:autoSpaceDN/>
        <w:bidi w:val="0"/>
        <w:adjustRightInd/>
        <w:snapToGrid/>
        <w:spacing w:line="540" w:lineRule="exact"/>
        <w:rPr>
          <w:rStyle w:val="16"/>
          <w:rFonts w:hint="default" w:ascii="Times New Roman" w:hAnsi="Times New Roman" w:eastAsia="黑体" w:cs="Times New Roman"/>
          <w:b w:val="0"/>
          <w:spacing w:val="-4"/>
          <w:sz w:val="32"/>
          <w:szCs w:val="32"/>
          <w:highlight w:val="none"/>
        </w:rPr>
      </w:pPr>
    </w:p>
    <w:p>
      <w:pPr>
        <w:pageBreakBefore w:val="0"/>
        <w:kinsoku/>
        <w:wordWrap/>
        <w:overflowPunct w:val="0"/>
        <w:topLinePunct w:val="0"/>
        <w:autoSpaceDE/>
        <w:autoSpaceDN/>
        <w:bidi w:val="0"/>
        <w:adjustRightInd/>
        <w:snapToGrid/>
        <w:spacing w:line="540" w:lineRule="exact"/>
        <w:ind w:firstLine="640"/>
        <w:rPr>
          <w:rStyle w:val="16"/>
          <w:rFonts w:hint="default" w:ascii="Times New Roman" w:hAnsi="Times New Roman" w:eastAsia="黑体" w:cs="Times New Roman"/>
          <w:b w:val="0"/>
          <w:spacing w:val="-4"/>
          <w:sz w:val="32"/>
          <w:szCs w:val="32"/>
          <w:highlight w:val="none"/>
        </w:rPr>
      </w:pPr>
    </w:p>
    <w:p>
      <w:pPr>
        <w:pageBreakBefore w:val="0"/>
        <w:kinsoku/>
        <w:wordWrap/>
        <w:overflowPunct w:val="0"/>
        <w:topLinePunct w:val="0"/>
        <w:autoSpaceDE/>
        <w:autoSpaceDN/>
        <w:bidi w:val="0"/>
        <w:adjustRightInd/>
        <w:snapToGrid/>
        <w:spacing w:line="540" w:lineRule="exact"/>
        <w:rPr>
          <w:rStyle w:val="16"/>
          <w:rFonts w:hint="default" w:ascii="Times New Roman" w:hAnsi="Times New Roman" w:eastAsia="黑体" w:cs="Times New Roman"/>
          <w:b w:val="0"/>
          <w:spacing w:val="-4"/>
          <w:sz w:val="32"/>
          <w:szCs w:val="32"/>
          <w:highlight w:val="none"/>
        </w:rPr>
      </w:pP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pageBreakBefore w:val="0"/>
        <w:kinsoku/>
        <w:wordWrap/>
        <w:overflowPunct w:val="0"/>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pageBreakBefore w:val="0"/>
        <w:kinsoku/>
        <w:wordWrap/>
        <w:overflowPunct w:val="0"/>
        <w:topLinePunct w:val="0"/>
        <w:autoSpaceDE/>
        <w:autoSpaceDN/>
        <w:bidi w:val="0"/>
        <w:adjustRightInd/>
        <w:snapToGrid/>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pageBreakBefore w:val="0"/>
        <w:kinsoku/>
        <w:wordWrap/>
        <w:overflowPunct w:val="0"/>
        <w:topLinePunct w:val="0"/>
        <w:autoSpaceDE/>
        <w:autoSpaceDN/>
        <w:bidi w:val="0"/>
        <w:adjustRightInd/>
        <w:snapToGrid/>
        <w:spacing w:line="560" w:lineRule="exact"/>
        <w:ind w:firstLine="624" w:firstLineChars="200"/>
        <w:rPr>
          <w:rStyle w:val="16"/>
          <w:rFonts w:hint="default" w:ascii="Times New Roman" w:hAnsi="Times New Roman" w:eastAsia="方正仿宋_GBK" w:cs="Times New Roman"/>
          <w:b w:val="0"/>
          <w:bCs/>
          <w:spacing w:val="-4"/>
          <w:sz w:val="32"/>
          <w:szCs w:val="32"/>
          <w:highlight w:val="none"/>
          <w:lang w:val="en-US" w:eastAsia="zh-CN"/>
        </w:rPr>
      </w:pPr>
      <w:r>
        <w:rPr>
          <w:rStyle w:val="16"/>
          <w:rFonts w:hint="default" w:ascii="Times New Roman" w:hAnsi="Times New Roman" w:eastAsia="方正仿宋_GBK" w:cs="Times New Roman"/>
          <w:b w:val="0"/>
          <w:bCs/>
          <w:spacing w:val="-4"/>
          <w:sz w:val="32"/>
          <w:szCs w:val="32"/>
          <w:highlight w:val="none"/>
          <w:lang w:val="en-US" w:eastAsia="zh-CN"/>
        </w:rPr>
        <w:t>农村老干部、老党员、老模范、老军人（简称农村</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四老</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人员）是我们党和国家的宝贵财富，是农村基层党员干部队伍的重要组成部分，是维护农村稳定、促进民族团结、推动农村发展、宣传教育群众的重要力量。</w:t>
      </w:r>
    </w:p>
    <w:p>
      <w:pPr>
        <w:pageBreakBefore w:val="0"/>
        <w:kinsoku/>
        <w:wordWrap/>
        <w:overflowPunct w:val="0"/>
        <w:topLinePunct w:val="0"/>
        <w:autoSpaceDE/>
        <w:autoSpaceDN/>
        <w:bidi w:val="0"/>
        <w:adjustRightInd/>
        <w:snapToGrid/>
        <w:spacing w:line="560" w:lineRule="exact"/>
        <w:ind w:firstLine="624" w:firstLineChars="200"/>
        <w:rPr>
          <w:rStyle w:val="16"/>
          <w:rFonts w:hint="default" w:ascii="Times New Roman" w:hAnsi="Times New Roman" w:eastAsia="方正仿宋_GBK" w:cs="Times New Roman"/>
          <w:b w:val="0"/>
          <w:bCs/>
          <w:spacing w:val="-4"/>
          <w:sz w:val="32"/>
          <w:szCs w:val="32"/>
          <w:highlight w:val="none"/>
          <w:lang w:eastAsia="zh-CN"/>
        </w:rPr>
      </w:pPr>
      <w:r>
        <w:rPr>
          <w:rStyle w:val="16"/>
          <w:rFonts w:hint="default" w:ascii="Times New Roman" w:hAnsi="Times New Roman" w:eastAsia="方正仿宋_GBK" w:cs="Times New Roman"/>
          <w:b w:val="0"/>
          <w:bCs/>
          <w:spacing w:val="-4"/>
          <w:sz w:val="32"/>
          <w:szCs w:val="32"/>
          <w:highlight w:val="none"/>
          <w:lang w:val="en-US" w:eastAsia="zh-CN"/>
        </w:rPr>
        <w:t>为认真贯彻自治区党委加强</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三支队伍</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建设、培养具有新疆特色的好基层干部和骨干队伍的部署要求，更好地发挥农村</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四老</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人员在维护社会稳定和实现长治久安中的作用，充分调动广大农村党员干部积极性，建立农村</w:t>
      </w:r>
      <w:r>
        <w:rPr>
          <w:rStyle w:val="16"/>
          <w:rFonts w:hint="eastAsia" w:eastAsia="方正仿宋_GBK" w:cs="Times New Roman"/>
          <w:b w:val="0"/>
          <w:bCs/>
          <w:spacing w:val="-4"/>
          <w:sz w:val="32"/>
          <w:szCs w:val="32"/>
          <w:highlight w:val="none"/>
          <w:lang w:val="en-US" w:eastAsia="zh-CN"/>
        </w:rPr>
        <w:t>“</w:t>
      </w:r>
      <w:r>
        <w:rPr>
          <w:rStyle w:val="16"/>
          <w:rFonts w:hint="eastAsia" w:ascii="Times New Roman" w:hAnsi="Times New Roman" w:eastAsia="方正仿宋_GBK" w:cs="Times New Roman"/>
          <w:b w:val="0"/>
          <w:bCs/>
          <w:spacing w:val="-4"/>
          <w:sz w:val="32"/>
          <w:szCs w:val="32"/>
          <w:highlight w:val="none"/>
          <w:lang w:val="en-US" w:eastAsia="zh-CN"/>
        </w:rPr>
        <w:t>四</w:t>
      </w:r>
      <w:r>
        <w:rPr>
          <w:rStyle w:val="16"/>
          <w:rFonts w:hint="default" w:ascii="Times New Roman" w:hAnsi="Times New Roman" w:eastAsia="方正仿宋_GBK" w:cs="Times New Roman"/>
          <w:b w:val="0"/>
          <w:bCs/>
          <w:spacing w:val="-4"/>
          <w:sz w:val="32"/>
          <w:szCs w:val="32"/>
          <w:highlight w:val="none"/>
          <w:lang w:val="en-US" w:eastAsia="zh-CN"/>
        </w:rPr>
        <w:t>老</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人员生活补贴正常增长机制，使其生活补助标准随着经济发展不断提高，保障农村</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三老</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人员的合理待遇</w:t>
      </w:r>
      <w:r>
        <w:rPr>
          <w:rStyle w:val="16"/>
          <w:rFonts w:hint="default" w:ascii="Times New Roman" w:hAnsi="Times New Roman" w:eastAsia="方正仿宋_GBK" w:cs="Times New Roman"/>
          <w:b w:val="0"/>
          <w:bCs/>
          <w:spacing w:val="-4"/>
          <w:sz w:val="32"/>
          <w:szCs w:val="32"/>
          <w:highlight w:val="none"/>
          <w:lang w:eastAsia="zh-CN"/>
        </w:rPr>
        <w:t>。</w:t>
      </w:r>
    </w:p>
    <w:p>
      <w:pPr>
        <w:pStyle w:val="10"/>
        <w:pageBreakBefore w:val="0"/>
        <w:numPr>
          <w:ilvl w:val="0"/>
          <w:numId w:val="0"/>
        </w:numPr>
        <w:kinsoku/>
        <w:wordWrap/>
        <w:overflowPunct w:val="0"/>
        <w:topLinePunct w:val="0"/>
        <w:autoSpaceDE/>
        <w:autoSpaceDN/>
        <w:bidi w:val="0"/>
        <w:adjustRightInd/>
        <w:snapToGrid/>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黑体" w:cs="Times New Roman"/>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Style w:val="16"/>
          <w:rFonts w:hint="default" w:ascii="Times New Roman" w:hAnsi="Times New Roman" w:eastAsia="方正仿宋_GBK" w:cs="Times New Roman"/>
          <w:b w:val="0"/>
          <w:bCs/>
          <w:spacing w:val="-4"/>
          <w:sz w:val="32"/>
          <w:szCs w:val="32"/>
          <w:highlight w:val="none"/>
          <w:lang w:val="en-US" w:eastAsia="zh-CN"/>
        </w:rPr>
        <w:t>各县（市、区）将农村</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三老</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人员生活补贴资金列入专项财政预算，专款专用，专项审计。由乡镇党委造册，县（市、区）党委组织部审核后，由村党组织以</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一卡通</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发放方式按月集中发放，任何单位和个人不得挪用、拖延、克扣。</w:t>
      </w: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sz w:val="32"/>
          <w:szCs w:val="32"/>
          <w:highlight w:val="none"/>
        </w:rPr>
        <w:t>项目实施情况：</w:t>
      </w:r>
      <w:r>
        <w:rPr>
          <w:rStyle w:val="16"/>
          <w:rFonts w:hint="default" w:ascii="Times New Roman" w:hAnsi="Times New Roman" w:eastAsia="方正仿宋_GBK" w:cs="Times New Roman"/>
          <w:b w:val="0"/>
          <w:bCs/>
          <w:spacing w:val="-4"/>
          <w:sz w:val="32"/>
          <w:szCs w:val="32"/>
          <w:highlight w:val="none"/>
          <w:lang w:val="en-US" w:eastAsia="zh-CN"/>
        </w:rPr>
        <w:t>2024年库尔勒市截</w:t>
      </w:r>
      <w:r>
        <w:rPr>
          <w:rStyle w:val="16"/>
          <w:rFonts w:hint="eastAsia" w:eastAsia="方正仿宋_GBK" w:cs="Times New Roman"/>
          <w:b w:val="0"/>
          <w:bCs/>
          <w:spacing w:val="-4"/>
          <w:sz w:val="32"/>
          <w:szCs w:val="32"/>
          <w:highlight w:val="none"/>
          <w:lang w:val="en-US" w:eastAsia="zh-CN"/>
        </w:rPr>
        <w:t>至</w:t>
      </w:r>
      <w:r>
        <w:rPr>
          <w:rStyle w:val="16"/>
          <w:rFonts w:hint="default" w:ascii="Times New Roman" w:hAnsi="Times New Roman" w:eastAsia="方正仿宋_GBK" w:cs="Times New Roman"/>
          <w:b w:val="0"/>
          <w:bCs/>
          <w:spacing w:val="-4"/>
          <w:sz w:val="32"/>
          <w:szCs w:val="32"/>
          <w:highlight w:val="none"/>
          <w:lang w:val="en-US" w:eastAsia="zh-CN"/>
        </w:rPr>
        <w:t>12月份为农村</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三老</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人员418人累计发放生活补助578.55万元，医疗费补助和节日慰问55.56万元。通过项目实施，落实党和国家</w:t>
      </w:r>
      <w:r>
        <w:rPr>
          <w:rStyle w:val="16"/>
          <w:rFonts w:hint="eastAsia" w:ascii="Times New Roman" w:hAnsi="Times New Roman" w:eastAsia="方正仿宋_GBK" w:cs="Times New Roman"/>
          <w:b w:val="0"/>
          <w:bCs/>
          <w:spacing w:val="-4"/>
          <w:sz w:val="32"/>
          <w:szCs w:val="32"/>
          <w:highlight w:val="none"/>
          <w:lang w:val="en-US" w:eastAsia="zh-CN"/>
        </w:rPr>
        <w:t>对</w:t>
      </w:r>
      <w:r>
        <w:rPr>
          <w:rStyle w:val="16"/>
          <w:rFonts w:hint="default" w:ascii="Times New Roman" w:hAnsi="Times New Roman" w:eastAsia="方正仿宋_GBK" w:cs="Times New Roman"/>
          <w:b w:val="0"/>
          <w:bCs/>
          <w:spacing w:val="-4"/>
          <w:sz w:val="32"/>
          <w:szCs w:val="32"/>
          <w:highlight w:val="none"/>
          <w:lang w:val="en-US" w:eastAsia="zh-CN"/>
        </w:rPr>
        <w:t>农村</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三老</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人员</w:t>
      </w:r>
      <w:r>
        <w:rPr>
          <w:rStyle w:val="16"/>
          <w:rFonts w:hint="eastAsia" w:ascii="Times New Roman" w:hAnsi="Times New Roman" w:eastAsia="方正仿宋_GBK" w:cs="Times New Roman"/>
          <w:b w:val="0"/>
          <w:bCs/>
          <w:spacing w:val="-4"/>
          <w:sz w:val="32"/>
          <w:szCs w:val="32"/>
          <w:highlight w:val="none"/>
          <w:lang w:val="en-US" w:eastAsia="zh-CN"/>
        </w:rPr>
        <w:t>关心关爱政策，充分发挥农村</w:t>
      </w:r>
      <w:r>
        <w:rPr>
          <w:rStyle w:val="16"/>
          <w:rFonts w:hint="eastAsia" w:eastAsia="方正仿宋_GBK" w:cs="Times New Roman"/>
          <w:b w:val="0"/>
          <w:bCs/>
          <w:spacing w:val="-4"/>
          <w:sz w:val="32"/>
          <w:szCs w:val="32"/>
          <w:highlight w:val="none"/>
          <w:lang w:val="en-US" w:eastAsia="zh-CN"/>
        </w:rPr>
        <w:t>“</w:t>
      </w:r>
      <w:r>
        <w:rPr>
          <w:rStyle w:val="16"/>
          <w:rFonts w:hint="eastAsia" w:ascii="Times New Roman" w:hAnsi="Times New Roman" w:eastAsia="方正仿宋_GBK" w:cs="Times New Roman"/>
          <w:b w:val="0"/>
          <w:bCs/>
          <w:spacing w:val="-4"/>
          <w:sz w:val="32"/>
          <w:szCs w:val="32"/>
          <w:highlight w:val="none"/>
          <w:lang w:val="en-US" w:eastAsia="zh-CN"/>
        </w:rPr>
        <w:t>三老</w:t>
      </w:r>
      <w:r>
        <w:rPr>
          <w:rStyle w:val="16"/>
          <w:rFonts w:hint="eastAsia" w:eastAsia="方正仿宋_GBK" w:cs="Times New Roman"/>
          <w:b w:val="0"/>
          <w:bCs/>
          <w:spacing w:val="-4"/>
          <w:sz w:val="32"/>
          <w:szCs w:val="32"/>
          <w:highlight w:val="none"/>
          <w:lang w:val="en-US" w:eastAsia="zh-CN"/>
        </w:rPr>
        <w:t>”</w:t>
      </w:r>
      <w:r>
        <w:rPr>
          <w:rStyle w:val="16"/>
          <w:rFonts w:hint="eastAsia" w:ascii="Times New Roman" w:hAnsi="Times New Roman" w:eastAsia="方正仿宋_GBK" w:cs="Times New Roman"/>
          <w:b w:val="0"/>
          <w:bCs/>
          <w:spacing w:val="-4"/>
          <w:sz w:val="32"/>
          <w:szCs w:val="32"/>
          <w:highlight w:val="none"/>
          <w:lang w:val="en-US" w:eastAsia="zh-CN"/>
        </w:rPr>
        <w:t>人员优势，推动农村各项工作开展。</w:t>
      </w:r>
    </w:p>
    <w:p>
      <w:pPr>
        <w:pageBreakBefore w:val="0"/>
        <w:kinsoku/>
        <w:wordWrap/>
        <w:overflowPunct w:val="0"/>
        <w:topLinePunct w:val="0"/>
        <w:autoSpaceDE/>
        <w:autoSpaceDN/>
        <w:bidi w:val="0"/>
        <w:adjustRightInd/>
        <w:snapToGrid/>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720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720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720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720</w:t>
      </w:r>
      <w:r>
        <w:rPr>
          <w:rFonts w:hint="default" w:ascii="Times New Roman" w:hAnsi="Times New Roman" w:eastAsia="仿宋_GB2312" w:cs="Times New Roman"/>
          <w:sz w:val="32"/>
          <w:szCs w:val="32"/>
          <w:highlight w:val="none"/>
          <w:lang w:val="en-US" w:eastAsia="zh-CN"/>
        </w:rPr>
        <w:t>万元，，全年执行数</w:t>
      </w:r>
      <w:r>
        <w:rPr>
          <w:rFonts w:hint="eastAsia" w:ascii="Times New Roman" w:hAnsi="Times New Roman" w:eastAsia="仿宋_GB2312" w:cs="Times New Roman"/>
          <w:sz w:val="32"/>
          <w:szCs w:val="32"/>
          <w:highlight w:val="none"/>
          <w:lang w:val="en-US" w:eastAsia="zh-CN"/>
        </w:rPr>
        <w:t>634.21</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88.08</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农村</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三老</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人员生活补助资金成本数</w:t>
      </w:r>
      <w:r>
        <w:rPr>
          <w:rFonts w:hint="eastAsia" w:eastAsia="仿宋_GB2312" w:cs="Times New Roman"/>
          <w:sz w:val="32"/>
          <w:szCs w:val="32"/>
          <w:highlight w:val="none"/>
          <w:lang w:val="en-US" w:eastAsia="zh-CN"/>
        </w:rPr>
        <w:t>578.55万元，医疗费补助和慰问资金成本数55.66万元</w:t>
      </w:r>
      <w:r>
        <w:rPr>
          <w:rFonts w:hint="default" w:ascii="Times New Roman" w:hAnsi="Times New Roman" w:eastAsia="仿宋_GB2312" w:cs="Times New Roman"/>
          <w:sz w:val="32"/>
          <w:szCs w:val="32"/>
          <w:highlight w:val="none"/>
          <w:lang w:val="en-US" w:eastAsia="zh-CN"/>
        </w:rPr>
        <w:t>。</w:t>
      </w:r>
    </w:p>
    <w:p>
      <w:pPr>
        <w:pageBreakBefore w:val="0"/>
        <w:kinsoku/>
        <w:wordWrap/>
        <w:overflowPunct w:val="0"/>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目标1：保障农村</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三老</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人员人数450人，发放生活补助次数12次，农村</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三老</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人员慰问次数2次</w:t>
      </w:r>
      <w:r>
        <w:rPr>
          <w:rFonts w:hint="eastAsia" w:eastAsia="仿宋_GB2312" w:cs="Times New Roman"/>
          <w:sz w:val="32"/>
          <w:szCs w:val="32"/>
          <w:highlight w:val="none"/>
          <w:lang w:val="en-US" w:eastAsia="zh-CN"/>
        </w:rPr>
        <w:t>。</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目标2：落实对农村</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三老</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人员关心关爱政策。</w:t>
      </w: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库尔勒市2024年1月至12月使用</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一卡通</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发放方式为农村</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三老</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人员按月发放生活补助，医疗费每年按年度一次性发放，春节和七一开展慰问活动</w:t>
      </w:r>
      <w:r>
        <w:rPr>
          <w:rFonts w:hint="default" w:ascii="Times New Roman" w:hAnsi="Times New Roman" w:eastAsia="仿宋_GB2312" w:cs="Times New Roman"/>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落实党和国家</w:t>
      </w:r>
      <w:r>
        <w:rPr>
          <w:rStyle w:val="16"/>
          <w:rFonts w:hint="eastAsia" w:eastAsia="方正仿宋_GBK" w:cs="Times New Roman"/>
          <w:b w:val="0"/>
          <w:bCs/>
          <w:spacing w:val="-4"/>
          <w:sz w:val="32"/>
          <w:szCs w:val="32"/>
          <w:highlight w:val="none"/>
          <w:lang w:val="en-US" w:eastAsia="zh-CN"/>
        </w:rPr>
        <w:t>对</w:t>
      </w:r>
      <w:r>
        <w:rPr>
          <w:rStyle w:val="16"/>
          <w:rFonts w:hint="default" w:ascii="Times New Roman" w:hAnsi="Times New Roman" w:eastAsia="方正仿宋_GBK" w:cs="Times New Roman"/>
          <w:b w:val="0"/>
          <w:bCs/>
          <w:spacing w:val="-4"/>
          <w:sz w:val="32"/>
          <w:szCs w:val="32"/>
          <w:highlight w:val="none"/>
          <w:lang w:val="en-US" w:eastAsia="zh-CN"/>
        </w:rPr>
        <w:t>农村</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三老</w:t>
      </w:r>
      <w:r>
        <w:rPr>
          <w:rStyle w:val="16"/>
          <w:rFonts w:hint="eastAsia" w:eastAsia="方正仿宋_GBK" w:cs="Times New Roman"/>
          <w:b w:val="0"/>
          <w:bCs/>
          <w:spacing w:val="-4"/>
          <w:sz w:val="32"/>
          <w:szCs w:val="32"/>
          <w:highlight w:val="none"/>
          <w:lang w:val="en-US" w:eastAsia="zh-CN"/>
        </w:rPr>
        <w:t>”</w:t>
      </w:r>
      <w:r>
        <w:rPr>
          <w:rStyle w:val="16"/>
          <w:rFonts w:hint="default" w:ascii="Times New Roman" w:hAnsi="Times New Roman" w:eastAsia="方正仿宋_GBK" w:cs="Times New Roman"/>
          <w:b w:val="0"/>
          <w:bCs/>
          <w:spacing w:val="-4"/>
          <w:sz w:val="32"/>
          <w:szCs w:val="32"/>
          <w:highlight w:val="none"/>
          <w:lang w:val="en-US" w:eastAsia="zh-CN"/>
        </w:rPr>
        <w:t>人员</w:t>
      </w:r>
      <w:r>
        <w:rPr>
          <w:rStyle w:val="16"/>
          <w:rFonts w:hint="eastAsia" w:ascii="Times New Roman" w:hAnsi="Times New Roman" w:eastAsia="方正仿宋_GBK" w:cs="Times New Roman"/>
          <w:b w:val="0"/>
          <w:bCs/>
          <w:spacing w:val="-4"/>
          <w:sz w:val="32"/>
          <w:szCs w:val="32"/>
          <w:highlight w:val="none"/>
          <w:lang w:val="en-US" w:eastAsia="zh-CN"/>
        </w:rPr>
        <w:t>关心关爱政策，充分发挥农村</w:t>
      </w:r>
      <w:r>
        <w:rPr>
          <w:rStyle w:val="16"/>
          <w:rFonts w:hint="eastAsia" w:eastAsia="方正仿宋_GBK" w:cs="Times New Roman"/>
          <w:b w:val="0"/>
          <w:bCs/>
          <w:spacing w:val="-4"/>
          <w:sz w:val="32"/>
          <w:szCs w:val="32"/>
          <w:highlight w:val="none"/>
          <w:lang w:val="en-US" w:eastAsia="zh-CN"/>
        </w:rPr>
        <w:t>“</w:t>
      </w:r>
      <w:r>
        <w:rPr>
          <w:rStyle w:val="16"/>
          <w:rFonts w:hint="eastAsia" w:ascii="Times New Roman" w:hAnsi="Times New Roman" w:eastAsia="方正仿宋_GBK" w:cs="Times New Roman"/>
          <w:b w:val="0"/>
          <w:bCs/>
          <w:spacing w:val="-4"/>
          <w:sz w:val="32"/>
          <w:szCs w:val="32"/>
          <w:highlight w:val="none"/>
          <w:lang w:val="en-US" w:eastAsia="zh-CN"/>
        </w:rPr>
        <w:t>三老</w:t>
      </w:r>
      <w:r>
        <w:rPr>
          <w:rStyle w:val="16"/>
          <w:rFonts w:hint="eastAsia" w:eastAsia="方正仿宋_GBK" w:cs="Times New Roman"/>
          <w:b w:val="0"/>
          <w:bCs/>
          <w:spacing w:val="-4"/>
          <w:sz w:val="32"/>
          <w:szCs w:val="32"/>
          <w:highlight w:val="none"/>
          <w:lang w:val="en-US" w:eastAsia="zh-CN"/>
        </w:rPr>
        <w:t>”</w:t>
      </w:r>
      <w:r>
        <w:rPr>
          <w:rStyle w:val="16"/>
          <w:rFonts w:hint="eastAsia" w:ascii="Times New Roman" w:hAnsi="Times New Roman" w:eastAsia="方正仿宋_GBK" w:cs="Times New Roman"/>
          <w:b w:val="0"/>
          <w:bCs/>
          <w:spacing w:val="-4"/>
          <w:sz w:val="32"/>
          <w:szCs w:val="32"/>
          <w:highlight w:val="none"/>
          <w:lang w:val="en-US" w:eastAsia="zh-CN"/>
        </w:rPr>
        <w:t>人员优势，推动农村各项工作开展。</w:t>
      </w:r>
      <w:r>
        <w:rPr>
          <w:rStyle w:val="16"/>
          <w:rFonts w:hint="eastAsia" w:eastAsia="方正仿宋_GBK" w:cs="Times New Roman"/>
          <w:b w:val="0"/>
          <w:bCs/>
          <w:spacing w:val="-4"/>
          <w:sz w:val="32"/>
          <w:szCs w:val="32"/>
          <w:highlight w:val="none"/>
          <w:lang w:val="en-US" w:eastAsia="zh-CN"/>
        </w:rPr>
        <w:t>2024年上半年累计为农村“三老”人员发放生活补助289.275万元，下半年累计发放289.27万元，医疗补助、春节七一慰问发放55.66万元。</w:t>
      </w: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pageBreakBefore w:val="0"/>
        <w:kinsoku/>
        <w:wordWrap/>
        <w:overflowPunct w:val="0"/>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pageBreakBefore w:val="0"/>
        <w:kinsoku/>
        <w:wordWrap/>
        <w:overflowPunct w:val="0"/>
        <w:topLinePunct w:val="0"/>
        <w:autoSpaceDE/>
        <w:autoSpaceDN/>
        <w:bidi w:val="0"/>
        <w:adjustRightInd/>
        <w:snapToGrid/>
        <w:spacing w:line="560" w:lineRule="exact"/>
        <w:ind w:firstLine="640" w:firstLineChars="20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w:t>
      </w:r>
      <w:r>
        <w:rPr>
          <w:rFonts w:hint="eastAsia" w:eastAsia="仿宋_GB2312" w:cs="Times New Roman"/>
          <w:sz w:val="32"/>
          <w:szCs w:val="32"/>
          <w:highlight w:val="none"/>
          <w:lang w:val="en-US" w:eastAsia="zh-CN"/>
        </w:rPr>
        <w:t>覆盖资金管理全流程、目标实现程度、社会效益等多维度。以下是我单位评价完整性的核心要点及方法：</w:t>
      </w:r>
    </w:p>
    <w:p>
      <w:pPr>
        <w:pageBreakBefore w:val="0"/>
        <w:kinsoku/>
        <w:wordWrap/>
        <w:overflowPunct w:val="0"/>
        <w:topLinePunct w:val="0"/>
        <w:autoSpaceDE/>
        <w:autoSpaceDN/>
        <w:bidi w:val="0"/>
        <w:adjustRightInd/>
        <w:snapToGrid/>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①绩效目标合规性</w:t>
      </w:r>
    </w:p>
    <w:p>
      <w:pPr>
        <w:pageBreakBefore w:val="0"/>
        <w:kinsoku/>
        <w:wordWrap/>
        <w:overflowPunct w:val="0"/>
        <w:topLinePunct w:val="0"/>
        <w:autoSpaceDE/>
        <w:autoSpaceDN/>
        <w:bidi w:val="0"/>
        <w:adjustRightInd/>
        <w:snapToGrid/>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保证与财政政策及项目申报目标一致，经自查不存在项目资金挪用或偏离预设用途的情况。选取了具有代表性和可衡量性的关键指标，涵盖了社会效益指标，同时，对于每个指标的评价标准和数据来源均进行了明确说明，确保评价结果的客观性和可追溯性。</w:t>
      </w:r>
    </w:p>
    <w:p>
      <w:pPr>
        <w:pageBreakBefore w:val="0"/>
        <w:kinsoku/>
        <w:wordWrap/>
        <w:overflowPunct w:val="0"/>
        <w:topLinePunct w:val="0"/>
        <w:autoSpaceDE/>
        <w:autoSpaceDN/>
        <w:bidi w:val="0"/>
        <w:adjustRightInd/>
        <w:snapToGrid/>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②评价流程完整性</w:t>
      </w:r>
    </w:p>
    <w:p>
      <w:pPr>
        <w:pageBreakBefore w:val="0"/>
        <w:kinsoku/>
        <w:wordWrap/>
        <w:overflowPunct w:val="0"/>
        <w:topLinePunct w:val="0"/>
        <w:autoSpaceDE/>
        <w:autoSpaceDN/>
        <w:bidi w:val="0"/>
        <w:adjustRightInd/>
        <w:snapToGrid/>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项目实行全周期管理，根据项目事前评估、事中监控、事后评价三项原则，从预算申报、办理支付、达成效果实现数据链闭环，保障资金合理合规使用。在报告的撰写结构上，按照统一的格式和规范进行编排，内容层次分明、条理清晰。</w:t>
      </w:r>
    </w:p>
    <w:p>
      <w:pPr>
        <w:pageBreakBefore w:val="0"/>
        <w:kinsoku/>
        <w:wordWrap/>
        <w:overflowPunct w:val="0"/>
        <w:topLinePunct w:val="0"/>
        <w:autoSpaceDE/>
        <w:autoSpaceDN/>
        <w:bidi w:val="0"/>
        <w:adjustRightInd/>
        <w:snapToGrid/>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③结果应用完整性</w:t>
      </w:r>
    </w:p>
    <w:p>
      <w:pPr>
        <w:pageBreakBefore w:val="0"/>
        <w:kinsoku/>
        <w:wordWrap/>
        <w:overflowPunct w:val="0"/>
        <w:topLinePunct w:val="0"/>
        <w:autoSpaceDE/>
        <w:autoSpaceDN/>
        <w:bidi w:val="0"/>
        <w:adjustRightInd/>
        <w:snapToGrid/>
        <w:spacing w:line="560" w:lineRule="exact"/>
        <w:ind w:firstLine="640" w:firstLineChars="20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评价结果与预算安排挂钩，达到良好的社会效应，依法公开绩效评价报告（涉密内容除外）并接受社会监督。</w:t>
      </w: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pageBreakBefore w:val="0"/>
        <w:kinsoku/>
        <w:wordWrap/>
        <w:overflowPunct w:val="0"/>
        <w:topLinePunct w:val="0"/>
        <w:autoSpaceDE/>
        <w:autoSpaceDN/>
        <w:bidi w:val="0"/>
        <w:adjustRightInd/>
        <w:snapToGrid/>
        <w:spacing w:line="560" w:lineRule="exact"/>
        <w:ind w:firstLine="624" w:firstLineChars="200"/>
        <w:rPr>
          <w:rStyle w:val="16"/>
          <w:rFonts w:hint="eastAsia" w:ascii="仿宋_GB2312" w:hAnsi="仿宋_GB2312" w:eastAsia="仿宋_GB2312" w:cs="仿宋_GB2312"/>
          <w:b w:val="0"/>
          <w:spacing w:val="-4"/>
          <w:sz w:val="32"/>
          <w:szCs w:val="32"/>
          <w:highlight w:val="none"/>
        </w:rPr>
      </w:pPr>
      <w:r>
        <w:rPr>
          <w:rStyle w:val="16"/>
          <w:rFonts w:hint="eastAsia" w:ascii="仿宋_GB2312" w:hAnsi="仿宋_GB2312" w:eastAsia="仿宋_GB2312" w:cs="仿宋_GB2312"/>
          <w:b w:val="0"/>
          <w:spacing w:val="-4"/>
          <w:sz w:val="32"/>
          <w:szCs w:val="32"/>
          <w:highlight w:val="none"/>
        </w:rPr>
        <w:t>（1）评估项目实施效果</w:t>
      </w:r>
    </w:p>
    <w:p>
      <w:pPr>
        <w:pageBreakBefore w:val="0"/>
        <w:kinsoku/>
        <w:wordWrap/>
        <w:overflowPunct w:val="0"/>
        <w:topLinePunct w:val="0"/>
        <w:autoSpaceDE/>
        <w:autoSpaceDN/>
        <w:bidi w:val="0"/>
        <w:adjustRightInd/>
        <w:snapToGrid/>
        <w:spacing w:line="560" w:lineRule="exact"/>
        <w:ind w:firstLine="624" w:firstLineChars="200"/>
        <w:rPr>
          <w:rStyle w:val="16"/>
          <w:rFonts w:hint="eastAsia" w:ascii="仿宋_GB2312" w:hAnsi="仿宋_GB2312" w:eastAsia="仿宋_GB2312" w:cs="仿宋_GB2312"/>
          <w:b w:val="0"/>
          <w:spacing w:val="-4"/>
          <w:sz w:val="32"/>
          <w:szCs w:val="32"/>
          <w:highlight w:val="none"/>
        </w:rPr>
      </w:pPr>
      <w:r>
        <w:rPr>
          <w:rStyle w:val="16"/>
          <w:rFonts w:hint="eastAsia" w:ascii="仿宋_GB2312" w:hAnsi="仿宋_GB2312" w:eastAsia="仿宋_GB2312" w:cs="仿宋_GB2312"/>
          <w:b w:val="0"/>
          <w:spacing w:val="-4"/>
          <w:sz w:val="32"/>
          <w:szCs w:val="32"/>
          <w:highlight w:val="none"/>
        </w:rPr>
        <w:t>通过对项目预算执行情况及各项绩效目标达成程度的系统性分析，全面、客观地评估</w:t>
      </w:r>
      <w:r>
        <w:rPr>
          <w:rStyle w:val="16"/>
          <w:rFonts w:hint="eastAsia" w:ascii="仿宋_GB2312" w:hAnsi="仿宋_GB2312" w:eastAsia="仿宋_GB2312" w:cs="仿宋_GB2312"/>
          <w:b w:val="0"/>
          <w:spacing w:val="-4"/>
          <w:sz w:val="32"/>
          <w:szCs w:val="32"/>
          <w:highlight w:val="none"/>
          <w:lang w:val="en-US" w:eastAsia="zh-CN"/>
        </w:rPr>
        <w:t>农村“三老”人员人员生活补助</w:t>
      </w:r>
      <w:r>
        <w:rPr>
          <w:rStyle w:val="16"/>
          <w:rFonts w:hint="eastAsia" w:ascii="仿宋_GB2312" w:hAnsi="仿宋_GB2312" w:eastAsia="仿宋_GB2312" w:cs="仿宋_GB2312"/>
          <w:b w:val="0"/>
          <w:spacing w:val="-4"/>
          <w:sz w:val="32"/>
          <w:szCs w:val="32"/>
          <w:highlight w:val="none"/>
        </w:rPr>
        <w:t>在预定周期内的实施效果，包括社会效益指标，为项目后续的改进与优化提供科学依据。</w:t>
      </w:r>
    </w:p>
    <w:p>
      <w:pPr>
        <w:pageBreakBefore w:val="0"/>
        <w:kinsoku/>
        <w:wordWrap/>
        <w:overflowPunct w:val="0"/>
        <w:topLinePunct w:val="0"/>
        <w:autoSpaceDE/>
        <w:autoSpaceDN/>
        <w:bidi w:val="0"/>
        <w:adjustRightInd/>
        <w:snapToGrid/>
        <w:spacing w:line="560" w:lineRule="exact"/>
        <w:ind w:firstLine="624" w:firstLineChars="200"/>
        <w:rPr>
          <w:rStyle w:val="16"/>
          <w:rFonts w:hint="eastAsia" w:ascii="仿宋_GB2312" w:hAnsi="仿宋_GB2312" w:eastAsia="仿宋_GB2312" w:cs="仿宋_GB2312"/>
          <w:b w:val="0"/>
          <w:spacing w:val="-4"/>
          <w:sz w:val="32"/>
          <w:szCs w:val="32"/>
          <w:highlight w:val="none"/>
        </w:rPr>
      </w:pPr>
      <w:r>
        <w:rPr>
          <w:rStyle w:val="16"/>
          <w:rFonts w:hint="eastAsia" w:ascii="仿宋_GB2312" w:hAnsi="仿宋_GB2312" w:eastAsia="仿宋_GB2312" w:cs="仿宋_GB2312"/>
          <w:b w:val="0"/>
          <w:spacing w:val="-4"/>
          <w:sz w:val="32"/>
          <w:szCs w:val="32"/>
          <w:highlight w:val="none"/>
        </w:rPr>
        <w:t>（2）提升资源利用效率</w:t>
      </w:r>
    </w:p>
    <w:p>
      <w:pPr>
        <w:pageBreakBefore w:val="0"/>
        <w:kinsoku/>
        <w:wordWrap/>
        <w:overflowPunct w:val="0"/>
        <w:topLinePunct w:val="0"/>
        <w:autoSpaceDE/>
        <w:autoSpaceDN/>
        <w:bidi w:val="0"/>
        <w:adjustRightInd/>
        <w:snapToGrid/>
        <w:spacing w:line="560" w:lineRule="exact"/>
        <w:ind w:firstLine="624" w:firstLineChars="200"/>
        <w:rPr>
          <w:rStyle w:val="16"/>
          <w:rFonts w:hint="eastAsia" w:ascii="仿宋_GB2312" w:hAnsi="仿宋_GB2312" w:eastAsia="仿宋_GB2312" w:cs="仿宋_GB2312"/>
          <w:b w:val="0"/>
          <w:spacing w:val="-4"/>
          <w:sz w:val="32"/>
          <w:szCs w:val="32"/>
          <w:highlight w:val="none"/>
        </w:rPr>
      </w:pPr>
      <w:r>
        <w:rPr>
          <w:rStyle w:val="16"/>
          <w:rFonts w:hint="eastAsia" w:ascii="仿宋_GB2312" w:hAnsi="仿宋_GB2312" w:eastAsia="仿宋_GB2312" w:cs="仿宋_GB2312"/>
          <w:b w:val="0"/>
          <w:spacing w:val="-4"/>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pageBreakBefore w:val="0"/>
        <w:kinsoku/>
        <w:wordWrap/>
        <w:overflowPunct w:val="0"/>
        <w:topLinePunct w:val="0"/>
        <w:autoSpaceDE/>
        <w:autoSpaceDN/>
        <w:bidi w:val="0"/>
        <w:adjustRightInd/>
        <w:snapToGrid/>
        <w:spacing w:line="560" w:lineRule="exact"/>
        <w:ind w:firstLine="624" w:firstLineChars="200"/>
        <w:rPr>
          <w:rStyle w:val="16"/>
          <w:rFonts w:hint="eastAsia" w:ascii="仿宋_GB2312" w:hAnsi="仿宋_GB2312" w:eastAsia="仿宋_GB2312" w:cs="仿宋_GB2312"/>
          <w:b w:val="0"/>
          <w:spacing w:val="-4"/>
          <w:sz w:val="32"/>
          <w:szCs w:val="32"/>
          <w:highlight w:val="none"/>
        </w:rPr>
      </w:pPr>
      <w:r>
        <w:rPr>
          <w:rStyle w:val="16"/>
          <w:rFonts w:hint="eastAsia" w:ascii="仿宋_GB2312" w:hAnsi="仿宋_GB2312" w:eastAsia="仿宋_GB2312" w:cs="仿宋_GB2312"/>
          <w:b w:val="0"/>
          <w:spacing w:val="-4"/>
          <w:sz w:val="32"/>
          <w:szCs w:val="32"/>
          <w:highlight w:val="none"/>
        </w:rPr>
        <w:t>（3）强化项目管理责任</w:t>
      </w:r>
    </w:p>
    <w:p>
      <w:pPr>
        <w:pageBreakBefore w:val="0"/>
        <w:kinsoku/>
        <w:wordWrap/>
        <w:overflowPunct w:val="0"/>
        <w:topLinePunct w:val="0"/>
        <w:autoSpaceDE/>
        <w:autoSpaceDN/>
        <w:bidi w:val="0"/>
        <w:adjustRightInd/>
        <w:snapToGrid/>
        <w:spacing w:line="560" w:lineRule="exact"/>
        <w:ind w:firstLine="624" w:firstLineChars="200"/>
        <w:rPr>
          <w:rStyle w:val="16"/>
          <w:rFonts w:hint="eastAsia" w:ascii="仿宋_GB2312" w:hAnsi="仿宋_GB2312" w:eastAsia="仿宋_GB2312" w:cs="仿宋_GB2312"/>
          <w:b w:val="0"/>
          <w:spacing w:val="-4"/>
          <w:sz w:val="32"/>
          <w:szCs w:val="32"/>
          <w:highlight w:val="none"/>
        </w:rPr>
      </w:pPr>
      <w:r>
        <w:rPr>
          <w:rStyle w:val="16"/>
          <w:rFonts w:hint="eastAsia" w:ascii="仿宋_GB2312" w:hAnsi="仿宋_GB2312" w:eastAsia="仿宋_GB2312" w:cs="仿宋_GB2312"/>
          <w:b w:val="0"/>
          <w:spacing w:val="-4"/>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pageBreakBefore w:val="0"/>
        <w:kinsoku/>
        <w:wordWrap/>
        <w:overflowPunct w:val="0"/>
        <w:topLinePunct w:val="0"/>
        <w:autoSpaceDE/>
        <w:autoSpaceDN/>
        <w:bidi w:val="0"/>
        <w:adjustRightInd/>
        <w:snapToGrid/>
        <w:spacing w:line="560" w:lineRule="exact"/>
        <w:ind w:firstLine="624" w:firstLineChars="200"/>
        <w:rPr>
          <w:rStyle w:val="16"/>
          <w:rFonts w:hint="eastAsia" w:ascii="仿宋_GB2312" w:hAnsi="仿宋_GB2312" w:eastAsia="仿宋_GB2312" w:cs="仿宋_GB2312"/>
          <w:b w:val="0"/>
          <w:spacing w:val="-4"/>
          <w:sz w:val="32"/>
          <w:szCs w:val="32"/>
          <w:highlight w:val="none"/>
        </w:rPr>
      </w:pPr>
      <w:r>
        <w:rPr>
          <w:rStyle w:val="16"/>
          <w:rFonts w:hint="eastAsia" w:ascii="仿宋_GB2312" w:hAnsi="仿宋_GB2312" w:eastAsia="仿宋_GB2312" w:cs="仿宋_GB2312"/>
          <w:b w:val="0"/>
          <w:spacing w:val="-4"/>
          <w:sz w:val="32"/>
          <w:szCs w:val="32"/>
          <w:highlight w:val="none"/>
        </w:rPr>
        <w:t>（4）为决策提供支持</w:t>
      </w:r>
    </w:p>
    <w:p>
      <w:pPr>
        <w:pageBreakBefore w:val="0"/>
        <w:kinsoku/>
        <w:wordWrap/>
        <w:overflowPunct w:val="0"/>
        <w:topLinePunct w:val="0"/>
        <w:autoSpaceDE/>
        <w:autoSpaceDN/>
        <w:bidi w:val="0"/>
        <w:adjustRightInd/>
        <w:snapToGrid/>
        <w:spacing w:line="560" w:lineRule="exact"/>
        <w:ind w:firstLine="624" w:firstLineChars="200"/>
        <w:rPr>
          <w:rStyle w:val="16"/>
          <w:rFonts w:hint="eastAsia" w:ascii="仿宋_GB2312" w:hAnsi="仿宋_GB2312" w:eastAsia="仿宋_GB2312" w:cs="仿宋_GB2312"/>
          <w:b w:val="0"/>
          <w:spacing w:val="-4"/>
          <w:sz w:val="32"/>
          <w:szCs w:val="32"/>
          <w:highlight w:val="none"/>
        </w:rPr>
      </w:pPr>
      <w:r>
        <w:rPr>
          <w:rStyle w:val="16"/>
          <w:rFonts w:hint="eastAsia" w:ascii="仿宋_GB2312" w:hAnsi="仿宋_GB2312" w:eastAsia="仿宋_GB2312" w:cs="仿宋_GB2312"/>
          <w:b w:val="0"/>
          <w:spacing w:val="-4"/>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pageBreakBefore w:val="0"/>
        <w:kinsoku/>
        <w:wordWrap/>
        <w:overflowPunct w:val="0"/>
        <w:topLinePunct w:val="0"/>
        <w:autoSpaceDE/>
        <w:autoSpaceDN/>
        <w:bidi w:val="0"/>
        <w:adjustRightInd/>
        <w:snapToGrid/>
        <w:spacing w:line="560" w:lineRule="exact"/>
        <w:ind w:firstLine="624" w:firstLineChars="200"/>
        <w:rPr>
          <w:rStyle w:val="16"/>
          <w:rFonts w:hint="eastAsia" w:ascii="仿宋_GB2312" w:hAnsi="仿宋_GB2312" w:eastAsia="仿宋_GB2312" w:cs="仿宋_GB2312"/>
          <w:b w:val="0"/>
          <w:spacing w:val="-4"/>
          <w:sz w:val="32"/>
          <w:szCs w:val="32"/>
          <w:highlight w:val="none"/>
        </w:rPr>
      </w:pPr>
      <w:r>
        <w:rPr>
          <w:rStyle w:val="16"/>
          <w:rFonts w:hint="eastAsia" w:ascii="仿宋_GB2312" w:hAnsi="仿宋_GB2312" w:eastAsia="仿宋_GB2312" w:cs="仿宋_GB2312"/>
          <w:b w:val="0"/>
          <w:spacing w:val="-4"/>
          <w:sz w:val="32"/>
          <w:szCs w:val="32"/>
          <w:highlight w:val="none"/>
        </w:rPr>
        <w:t>（5）促进项目持续改进</w:t>
      </w:r>
    </w:p>
    <w:p>
      <w:pPr>
        <w:pageBreakBefore w:val="0"/>
        <w:kinsoku/>
        <w:wordWrap/>
        <w:overflowPunct w:val="0"/>
        <w:topLinePunct w:val="0"/>
        <w:autoSpaceDE/>
        <w:autoSpaceDN/>
        <w:bidi w:val="0"/>
        <w:adjustRightInd/>
        <w:snapToGrid/>
        <w:spacing w:line="560" w:lineRule="exact"/>
        <w:ind w:firstLine="624" w:firstLineChars="200"/>
        <w:rPr>
          <w:rStyle w:val="16"/>
          <w:rFonts w:hint="eastAsia" w:ascii="仿宋_GB2312" w:hAnsi="仿宋_GB2312" w:eastAsia="仿宋_GB2312" w:cs="仿宋_GB2312"/>
          <w:b w:val="0"/>
          <w:spacing w:val="-4"/>
          <w:sz w:val="32"/>
          <w:szCs w:val="32"/>
          <w:highlight w:val="none"/>
        </w:rPr>
      </w:pPr>
      <w:r>
        <w:rPr>
          <w:rStyle w:val="16"/>
          <w:rFonts w:hint="eastAsia" w:ascii="仿宋_GB2312" w:hAnsi="仿宋_GB2312" w:eastAsia="仿宋_GB2312" w:cs="仿宋_GB2312"/>
          <w:b w:val="0"/>
          <w:spacing w:val="-4"/>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val="0"/>
        <w:topLinePunct w:val="0"/>
        <w:autoSpaceDE/>
        <w:autoSpaceDN/>
        <w:bidi w:val="0"/>
        <w:adjustRightInd/>
        <w:snapToGrid/>
        <w:spacing w:line="560" w:lineRule="exact"/>
        <w:ind w:firstLine="624" w:firstLineChars="200"/>
        <w:rPr>
          <w:rStyle w:val="16"/>
          <w:rFonts w:hint="eastAsia" w:ascii="仿宋_GB2312" w:hAnsi="仿宋_GB2312" w:eastAsia="仿宋_GB2312" w:cs="仿宋_GB2312"/>
          <w:b w:val="0"/>
          <w:spacing w:val="-4"/>
          <w:sz w:val="32"/>
          <w:szCs w:val="32"/>
          <w:highlight w:val="none"/>
        </w:rPr>
      </w:pPr>
      <w:r>
        <w:rPr>
          <w:rStyle w:val="16"/>
          <w:rFonts w:hint="eastAsia" w:ascii="仿宋_GB2312" w:hAnsi="仿宋_GB2312" w:eastAsia="仿宋_GB2312" w:cs="仿宋_GB2312"/>
          <w:b w:val="0"/>
          <w:spacing w:val="-4"/>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通过绩效评价，客观地评判项目的管理绩效，了解和掌握支农专项-农村“三老”人员生活补助经费的具体情况，评价该项目资金安排的科学性、合理性、规范性和资金的使用成效，及时总结项目管理经验，完善项目管理办法，提高项目管理水平和资金使用效益。促使我部根据绩效评价中发现的问题，认真加以整改，及时调整和完善单位的工作计划和绩效目标管理水平，同时为项目后续资金投入、分配和管理提供决策依据。</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0"/>
        <w:keepNext w:val="0"/>
        <w:keepLines w:val="0"/>
        <w:pageBreakBefore w:val="0"/>
        <w:widowControl w:val="0"/>
        <w:kinsoku/>
        <w:wordWrap/>
        <w:overflowPunct w:val="0"/>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本项目预算绩效评价报告的评价对象是支农专项-农村</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三老</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人员生活补助及其预算执行情况。该项目由</w:t>
      </w:r>
      <w:r>
        <w:rPr>
          <w:rFonts w:hint="eastAsia" w:ascii="Times New Roman" w:hAnsi="Times New Roman" w:eastAsia="仿宋_GB2312" w:cs="Times New Roman"/>
          <w:b w:val="0"/>
          <w:bCs w:val="0"/>
          <w:highlight w:val="none"/>
          <w:lang w:val="en-US" w:eastAsia="zh-CN"/>
        </w:rPr>
        <w:t>中共库尔勒市委员会组织部</w:t>
      </w:r>
      <w:r>
        <w:rPr>
          <w:rFonts w:hint="default" w:ascii="Times New Roman" w:hAnsi="Times New Roman" w:eastAsia="仿宋_GB2312" w:cs="Times New Roman"/>
          <w:b w:val="0"/>
          <w:bCs w:val="0"/>
          <w:highlight w:val="none"/>
        </w:rPr>
        <w:t>负责实施，2024年库尔勒市截止到12月份为农村</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三老</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人员发放生活补助</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医疗费补助和节日慰问。通过项目实施，落实党和国家对农村</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三老</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人员关心关爱政策，充分发挥农村</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三老</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人员优势，推动农村各项工作开展。项目预算涵盖从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720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rPr>
        <w:t>本</w:t>
      </w:r>
      <w:r>
        <w:rPr>
          <w:rFonts w:hint="eastAsia" w:ascii="Times New Roman" w:hAnsi="Times New Roman" w:eastAsia="仿宋_GB2312" w:cs="Times New Roman"/>
          <w:b w:val="0"/>
          <w:bCs w:val="0"/>
          <w:highlight w:val="none"/>
          <w:lang w:val="en-US" w:eastAsia="zh-CN"/>
        </w:rPr>
        <w:t>次评价从项目决策（包括绩效目标、决策过程）、项目管理（包括项目资金、项目实施）、项目产出（包括项目产出数量、产出质量、产出实效）、产出成本、项目效益五个维度进行对支农专项-农村“三老”人员生活补助经费的评价，评价核心为专项资金的支出完成情况和成果，</w:t>
      </w:r>
      <w:r>
        <w:rPr>
          <w:rFonts w:hint="default" w:ascii="Times New Roman" w:hAnsi="Times New Roman" w:eastAsia="仿宋_GB2312" w:cs="Times New Roman"/>
          <w:b w:val="0"/>
          <w:bCs w:val="0"/>
          <w:highlight w:val="none"/>
          <w:lang w:val="en-US" w:eastAsia="zh-CN"/>
        </w:rPr>
        <w:t>涵盖了从项目立项至评价时点期间的所有关键预算活动和财务流程</w:t>
      </w:r>
      <w:r>
        <w:rPr>
          <w:rFonts w:hint="eastAsia" w:ascii="Times New Roman" w:hAnsi="Times New Roman" w:eastAsia="仿宋_GB2312" w:cs="Times New Roman"/>
          <w:b w:val="0"/>
          <w:bCs w:val="0"/>
          <w:highlight w:val="none"/>
          <w:lang w:val="en-US" w:eastAsia="zh-CN"/>
        </w:rPr>
        <w:t>。评价范围包括但不限于以下几个方面：</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eastAsia"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val="en-US" w:eastAsia="zh-CN"/>
        </w:rPr>
        <w:t>项目预算编制与执行：全面审视项目预算的编制依据、合理性、科学性以及实际执行情况，包括预算调整的原因和效果。</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eastAsia"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val="en-US" w:eastAsia="zh-CN"/>
        </w:rPr>
        <w:t>资金管理：深入分析项目资金的分配、使用和监管情况，确保资金使用的合规性、高效性和透明度。</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eastAsia"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val="en-US" w:eastAsia="zh-CN"/>
        </w:rPr>
        <w:t>项目实施进度与产出：评估项目是否按照既定计划顺利推进，各项任务是否按时完成，以及项目产出的数量、质量和时效性是否符合预期。</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eastAsia"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lang w:val="en-US" w:eastAsia="zh-CN"/>
        </w:rPr>
        <w:t>社会影响：农村“四老”人员</w:t>
      </w:r>
      <w:r>
        <w:rPr>
          <w:rFonts w:hint="eastAsia" w:ascii="Times New Roman" w:hAnsi="Times New Roman" w:eastAsia="仿宋_GB2312" w:cs="Times New Roman"/>
          <w:b w:val="0"/>
          <w:bCs w:val="0"/>
          <w:highlight w:val="none"/>
          <w:lang w:val="en-US" w:eastAsia="zh-CN"/>
        </w:rPr>
        <w:t>是</w:t>
      </w:r>
      <w:r>
        <w:rPr>
          <w:rFonts w:hint="default" w:ascii="Times New Roman" w:hAnsi="Times New Roman" w:eastAsia="仿宋_GB2312" w:cs="Times New Roman"/>
          <w:b w:val="0"/>
          <w:bCs w:val="0"/>
          <w:highlight w:val="none"/>
          <w:lang w:val="en-US" w:eastAsia="zh-CN"/>
        </w:rPr>
        <w:t>农村基层党员干部队伍的重要组成部分，是维护农村稳定、促进民族团结、推动农村发展、宣传教育群众的重要力量。建设、培养具有新疆特色的好基层干部和骨干队伍的部署要求，发挥农村“四老”人员在维护社会稳定和实现长治久安中的作用，建立农村“四老”人员生活补贴正常增长机制，保障农村“三老”人员的合理待遇。</w:t>
      </w:r>
    </w:p>
    <w:p>
      <w:pPr>
        <w:pageBreakBefore w:val="0"/>
        <w:kinsoku/>
        <w:wordWrap/>
        <w:overflowPunct w:val="0"/>
        <w:topLinePunct w:val="0"/>
        <w:autoSpaceDE/>
        <w:autoSpaceDN/>
        <w:bidi w:val="0"/>
        <w:adjustRightInd/>
        <w:snapToGrid/>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pageBreakBefore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pageBreakBefore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谁支出、谁自评</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。部门评价和财政评价应在单位自评的基础上开展。</w:t>
      </w:r>
    </w:p>
    <w:p>
      <w:pPr>
        <w:pStyle w:val="10"/>
        <w:pageBreakBefore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pageBreakBefore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pageBreakBefore w:val="0"/>
        <w:kinsoku/>
        <w:wordWrap/>
        <w:overflowPunct w:val="0"/>
        <w:topLinePunct w:val="0"/>
        <w:autoSpaceDE/>
        <w:autoSpaceDN/>
        <w:bidi w:val="0"/>
        <w:adjustRightInd/>
        <w:snapToGrid/>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val="0"/>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pageBreakBefore w:val="0"/>
        <w:kinsoku/>
        <w:wordWrap/>
        <w:overflowPunct w:val="0"/>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val="0"/>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pageBreakBefore w:val="0"/>
        <w:kinsoku/>
        <w:wordWrap/>
        <w:overflowPunct w:val="0"/>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pageBreakBefore w:val="0"/>
        <w:kinsoku/>
        <w:wordWrap/>
        <w:overflowPunct w:val="0"/>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pageBreakBefore w:val="0"/>
        <w:kinsoku/>
        <w:wordWrap/>
        <w:overflowPunct w:val="0"/>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pageBreakBefore w:val="0"/>
        <w:kinsoku/>
        <w:wordWrap/>
        <w:overflowPunct w:val="0"/>
        <w:topLinePunct w:val="0"/>
        <w:autoSpaceDE/>
        <w:autoSpaceDN/>
        <w:bidi w:val="0"/>
        <w:adjustRightInd/>
        <w:snapToGrid/>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pageBreakBefore w:val="0"/>
        <w:widowControl w:val="0"/>
        <w:kinsoku/>
        <w:wordWrap/>
        <w:overflowPunct w:val="0"/>
        <w:topLinePunct w:val="0"/>
        <w:autoSpaceDE/>
        <w:autoSpaceDN/>
        <w:bidi w:val="0"/>
        <w:adjustRightInd/>
        <w:snapToGrid/>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pageBreakBefore w:val="0"/>
        <w:kinsoku/>
        <w:wordWrap/>
        <w:overflowPunct w:val="0"/>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pPr>
        <w:pageBreakBefore w:val="0"/>
        <w:kinsoku/>
        <w:wordWrap/>
        <w:overflowPunct w:val="0"/>
        <w:topLinePunct w:val="0"/>
        <w:autoSpaceDE/>
        <w:autoSpaceDN/>
        <w:bidi w:val="0"/>
        <w:adjustRightInd/>
        <w:snapToGrid/>
        <w:spacing w:line="560" w:lineRule="exact"/>
        <w:ind w:firstLine="708" w:firstLineChars="200"/>
        <w:rPr>
          <w:rFonts w:hint="default"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本次</w:t>
      </w:r>
      <w:r>
        <w:rPr>
          <w:rFonts w:hint="eastAsia" w:eastAsia="仿宋_GB2312" w:cs="Times New Roman"/>
          <w:color w:val="000000"/>
          <w:spacing w:val="17"/>
          <w:sz w:val="32"/>
          <w:szCs w:val="32"/>
          <w:highlight w:val="none"/>
          <w:lang w:val="en-US" w:eastAsia="zh-CN"/>
        </w:rPr>
        <w:t>项目支出绩效自评采用公众评判法，原因是：公众评判法是一种通过收集公众意见、反馈和满意度数据来评估项目资金、公共服务或政策实施效果的方法。它强调“以人民为中心”的评价导向，适用于民生类、公共服务类财政项目。</w:t>
      </w:r>
      <w:r>
        <w:rPr>
          <w:rFonts w:hint="default" w:eastAsia="仿宋_GB2312" w:cs="Times New Roman"/>
          <w:color w:val="000000"/>
          <w:spacing w:val="17"/>
          <w:sz w:val="32"/>
          <w:szCs w:val="32"/>
          <w:highlight w:val="none"/>
          <w:lang w:val="en-US" w:eastAsia="zh-CN"/>
        </w:rPr>
        <w:t>支农专项-农村“三老”人员生活补助</w:t>
      </w:r>
      <w:r>
        <w:rPr>
          <w:rFonts w:hint="eastAsia" w:eastAsia="仿宋_GB2312" w:cs="Times New Roman"/>
          <w:color w:val="000000"/>
          <w:spacing w:val="17"/>
          <w:sz w:val="32"/>
          <w:szCs w:val="32"/>
          <w:highlight w:val="none"/>
          <w:lang w:val="en-US" w:eastAsia="zh-CN"/>
        </w:rPr>
        <w:t>其核心是农村“三老”人员是否对党和国家对其的关心关爱政策是否满意，经此项评判法可直接了解收益群众的反馈，避免“自说自话”，让收益群众参与评价提升了政策的透明度，并通过群众的意见建议发现隐形问题。</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eastAsia" w:ascii="Times New Roman" w:hAnsi="Times New Roman" w:eastAsia="仿宋_GB2312" w:cs="Times New Roman"/>
          <w:b w:val="0"/>
          <w:bCs w:val="0"/>
          <w:highlight w:val="none"/>
          <w:lang w:val="en-US" w:eastAsia="zh-CN"/>
        </w:rPr>
        <w:t>项目</w:t>
      </w:r>
      <w:r>
        <w:rPr>
          <w:rFonts w:hint="default" w:ascii="Times New Roman" w:hAnsi="Times New Roman" w:eastAsia="仿宋_GB2312" w:cs="Times New Roman"/>
          <w:b w:val="0"/>
          <w:bCs w:val="0"/>
          <w:highlight w:val="none"/>
        </w:rPr>
        <w:t>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原因是：</w:t>
      </w:r>
      <w:r>
        <w:rPr>
          <w:rFonts w:hint="default" w:ascii="Times New Roman" w:hAnsi="Times New Roman" w:eastAsia="仿宋_GB2312" w:cs="Times New Roman"/>
          <w:b w:val="0"/>
          <w:bCs w:val="0"/>
          <w:highlight w:val="none"/>
        </w:rPr>
        <w:t>计划标准</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指以预先制定的目标、计划、预算、定额等作为评价标准。</w:t>
      </w:r>
      <w:r>
        <w:rPr>
          <w:rFonts w:hint="eastAsia" w:ascii="Times New Roman" w:hAnsi="Times New Roman" w:eastAsia="仿宋_GB2312" w:cs="Times New Roman"/>
          <w:b w:val="0"/>
          <w:bCs w:val="0"/>
          <w:highlight w:val="none"/>
          <w:lang w:val="en-US" w:eastAsia="zh-CN"/>
        </w:rPr>
        <w:t>以项目的可行性报告、项目预算、项目进度计划、合同约定等为依据，对比实际执行情况，判断项目是否可达预期目标。</w:t>
      </w:r>
    </w:p>
    <w:p>
      <w:pPr>
        <w:pStyle w:val="10"/>
        <w:pageBreakBefore w:val="0"/>
        <w:numPr>
          <w:ilvl w:val="0"/>
          <w:numId w:val="1"/>
        </w:numPr>
        <w:kinsoku/>
        <w:wordWrap/>
        <w:overflowPunct w:val="0"/>
        <w:topLinePunct w:val="0"/>
        <w:autoSpaceDE/>
        <w:autoSpaceDN/>
        <w:bidi w:val="0"/>
        <w:adjustRightInd/>
        <w:snapToGrid/>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2024年3月15日，开始准备绩效评价准备工作，评价组通过前期调研确定绩效评价对象和范围，确定了评价的目的、方法以及评价的原则，根据项目的内容和特征制定了评价指标体系、评价标准和评价实施方案，修正并确定所需资料清单，最终确定绩效评价工作方案。</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ageBreakBefore w:val="0"/>
        <w:numPr>
          <w:ilvl w:val="0"/>
          <w:numId w:val="2"/>
        </w:numPr>
        <w:kinsoku/>
        <w:wordWrap/>
        <w:overflowPunct w:val="0"/>
        <w:topLinePunct w:val="0"/>
        <w:autoSpaceDE/>
        <w:autoSpaceDN/>
        <w:bidi w:val="0"/>
        <w:adjustRightInd/>
        <w:snapToGrid/>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val="0"/>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val="0"/>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支农专项-农村</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三老</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人员生活补助</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生活补助、医疗补助发放</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春节、七一节日慰问</w:t>
      </w:r>
      <w:r>
        <w:rPr>
          <w:rFonts w:hint="default" w:ascii="Times New Roman" w:hAnsi="Times New Roman" w:eastAsia="仿宋_GB2312" w:cs="Times New Roman"/>
          <w:sz w:val="32"/>
          <w:szCs w:val="32"/>
          <w:highlight w:val="none"/>
        </w:rPr>
        <w:t>等方面表现出色，达到了预期的标准与要求。同时，项目也在</w:t>
      </w:r>
      <w:r>
        <w:rPr>
          <w:rFonts w:hint="default" w:ascii="Times New Roman" w:hAnsi="Times New Roman" w:eastAsia="仿宋_GB2312" w:cs="Times New Roman"/>
          <w:color w:val="auto"/>
          <w:sz w:val="32"/>
          <w:szCs w:val="32"/>
          <w:highlight w:val="none"/>
        </w:rPr>
        <w:t>充分发挥农村</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三老</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人员优势，推动农村各项工作开展。</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val="en-US" w:eastAsia="zh-CN"/>
        </w:rPr>
        <w:t>讨论村里各项事务，帮助解决问题、充分发挥农村“三老”人员威信高、经验足等优势，全程参与村级组织村务公开、重点项目等事务监督，“无死角”掌握村情民意</w:t>
      </w:r>
      <w:r>
        <w:rPr>
          <w:rFonts w:hint="default" w:ascii="Times New Roman" w:hAnsi="Times New Roman" w:eastAsia="仿宋_GB2312" w:cs="Times New Roman"/>
          <w:sz w:val="32"/>
          <w:szCs w:val="32"/>
          <w:highlight w:val="none"/>
        </w:rPr>
        <w:t>等。</w:t>
      </w:r>
    </w:p>
    <w:p>
      <w:pPr>
        <w:pStyle w:val="9"/>
        <w:keepNext w:val="0"/>
        <w:keepLines w:val="0"/>
        <w:pageBreakBefore w:val="0"/>
        <w:widowControl/>
        <w:suppressLineNumbers w:val="0"/>
        <w:kinsoku/>
        <w:wordWrap/>
        <w:overflowPunct w:val="0"/>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val="en-US" w:eastAsia="zh-CN"/>
        </w:rPr>
        <w:t>中共库尔勒市委员会组织部</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val="0"/>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eastAsia" w:eastAsia="仿宋_GB2312" w:cs="Times New Roman"/>
          <w:sz w:val="32"/>
          <w:szCs w:val="32"/>
          <w:highlight w:val="none"/>
          <w:lang w:val="en-US" w:eastAsia="zh-CN"/>
        </w:rPr>
        <w:t>组织农村“三老”人员在乡村振兴中当好宣讲员、传递员，为建设宜居和美丽乡村贡献力量</w:t>
      </w:r>
      <w:r>
        <w:rPr>
          <w:rFonts w:hint="default" w:ascii="Times New Roman" w:hAnsi="Times New Roman" w:eastAsia="仿宋_GB2312" w:cs="Times New Roman"/>
          <w:sz w:val="32"/>
          <w:szCs w:val="32"/>
          <w:highlight w:val="none"/>
        </w:rPr>
        <w:t>方面的提升，为项目的利益相关者带来了实实在在的利益。</w:t>
      </w:r>
    </w:p>
    <w:p>
      <w:pPr>
        <w:pStyle w:val="9"/>
        <w:keepNext w:val="0"/>
        <w:keepLines w:val="0"/>
        <w:pageBreakBefore w:val="0"/>
        <w:widowControl/>
        <w:suppressLineNumbers w:val="0"/>
        <w:kinsoku/>
        <w:wordWrap/>
        <w:overflowPunct w:val="0"/>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支农专项-农村</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三老</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人员生活补助</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val="0"/>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pageBreakBefore w:val="0"/>
        <w:widowControl w:val="0"/>
        <w:kinsoku/>
        <w:wordWrap/>
        <w:overflowPunct w:val="0"/>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93.79</w:t>
      </w:r>
      <w:r>
        <w:rPr>
          <w:rFonts w:hint="default" w:ascii="Times New Roman" w:hAnsi="Times New Roman" w:eastAsia="仿宋_GB2312" w:cs="Times New Roman"/>
          <w:b w:val="0"/>
          <w:bCs w:val="0"/>
          <w:highlight w:val="none"/>
        </w:rPr>
        <w:t>分，属于</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优</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19.52</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97.6%</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34.27</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85.68</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val="0"/>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19.52</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34.27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val="0"/>
              <w:topLinePunct w:val="0"/>
              <w:autoSpaceDE/>
              <w:autoSpaceDN/>
              <w:bidi w:val="0"/>
              <w:adjustRightInd/>
              <w:snapToGrid/>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93.79</w:t>
            </w:r>
          </w:p>
        </w:tc>
      </w:tr>
    </w:tbl>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pageBreakBefore w:val="0"/>
        <w:kinsoku/>
        <w:wordWrap/>
        <w:overflowPunct w:val="0"/>
        <w:topLinePunct w:val="0"/>
        <w:autoSpaceDE/>
        <w:autoSpaceDN/>
        <w:bidi w:val="0"/>
        <w:adjustRightInd/>
        <w:snapToGrid/>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val="0"/>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分。</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分。</w:t>
      </w:r>
    </w:p>
    <w:p>
      <w:pPr>
        <w:pStyle w:val="19"/>
        <w:keepNext w:val="0"/>
        <w:keepLines w:val="0"/>
        <w:pageBreakBefore w:val="0"/>
        <w:widowControl w:val="0"/>
        <w:shd w:val="clear"/>
        <w:kinsoku/>
        <w:wordWrap/>
        <w:overflowPunct w:val="0"/>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分。</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分。</w:t>
      </w:r>
    </w:p>
    <w:p>
      <w:pPr>
        <w:pStyle w:val="19"/>
        <w:keepNext w:val="0"/>
        <w:keepLines w:val="0"/>
        <w:pageBreakBefore w:val="0"/>
        <w:widowControl w:val="0"/>
        <w:shd w:val="clear"/>
        <w:kinsoku/>
        <w:wordWrap/>
        <w:overflowPunct w:val="0"/>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分。</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分。</w:t>
      </w:r>
    </w:p>
    <w:p>
      <w:pPr>
        <w:pStyle w:val="10"/>
        <w:pageBreakBefore w:val="0"/>
        <w:numPr>
          <w:ilvl w:val="0"/>
          <w:numId w:val="3"/>
        </w:numPr>
        <w:kinsoku/>
        <w:wordWrap/>
        <w:overflowPunct w:val="0"/>
        <w:topLinePunct w:val="0"/>
        <w:autoSpaceDE/>
        <w:autoSpaceDN/>
        <w:bidi w:val="0"/>
        <w:adjustRightInd/>
        <w:snapToGrid/>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19.52</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97.6</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val="0"/>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720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分。</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634.21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88.08</w:t>
      </w:r>
      <w:r>
        <w:rPr>
          <w:rFonts w:hint="default" w:ascii="Times New Roman" w:hAnsi="Times New Roman" w:eastAsia="仿宋_GB2312" w:cs="Times New Roman"/>
          <w:sz w:val="32"/>
          <w:szCs w:val="32"/>
          <w:highlight w:val="none"/>
          <w:lang w:val="en-US" w:eastAsia="zh-CN"/>
        </w:rPr>
        <w:t>%。</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3.52</w:t>
      </w:r>
      <w:r>
        <w:rPr>
          <w:rFonts w:hint="default" w:ascii="Times New Roman" w:hAnsi="Times New Roman" w:eastAsia="仿宋_GB2312" w:cs="Times New Roman"/>
          <w:sz w:val="32"/>
          <w:szCs w:val="32"/>
          <w:highlight w:val="none"/>
          <w:lang w:val="en-US" w:eastAsia="zh-CN"/>
        </w:rPr>
        <w:t>分。</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分。</w:t>
      </w:r>
    </w:p>
    <w:p>
      <w:pPr>
        <w:pStyle w:val="19"/>
        <w:keepNext w:val="0"/>
        <w:keepLines w:val="0"/>
        <w:pageBreakBefore w:val="0"/>
        <w:widowControl w:val="0"/>
        <w:shd w:val="clear"/>
        <w:kinsoku/>
        <w:wordWrap/>
        <w:overflowPunct w:val="0"/>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分。</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分。</w:t>
      </w:r>
    </w:p>
    <w:p>
      <w:pPr>
        <w:pStyle w:val="12"/>
        <w:pageBreakBefore w:val="0"/>
        <w:numPr>
          <w:ilvl w:val="0"/>
          <w:numId w:val="3"/>
        </w:numPr>
        <w:kinsoku/>
        <w:wordWrap/>
        <w:overflowPunct w:val="0"/>
        <w:topLinePunct w:val="0"/>
        <w:autoSpaceDE/>
        <w:autoSpaceDN/>
        <w:bidi w:val="0"/>
        <w:adjustRightInd/>
        <w:snapToGrid/>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34.27</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85.68</w:t>
      </w:r>
      <w:r>
        <w:rPr>
          <w:rFonts w:hint="default" w:ascii="Times New Roman" w:hAnsi="Times New Roman" w:eastAsia="仿宋_GB2312" w:cs="Times New Roman"/>
          <w:sz w:val="32"/>
          <w:szCs w:val="32"/>
          <w:highlight w:val="none"/>
          <w:lang w:val="en-US" w:eastAsia="zh-CN"/>
        </w:rPr>
        <w:t>%。具体产出指标完成情况如下：</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保障“三老”人员人数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≥450人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418人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92.89</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。偏差原因：“三老”人员有离世人员；改进措施：做好三老人员补助工作及人数统计。</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发放生活补助次数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“三老”人员慰问次数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根据上级部门安排部署开展慰问工作；改进措施：节前及时与上级部门对接慰问标准及要求。</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8.1</w:t>
      </w:r>
      <w:r>
        <w:rPr>
          <w:rFonts w:hint="default" w:ascii="Times New Roman" w:hAnsi="Times New Roman" w:eastAsia="仿宋_GB2312" w:cs="Times New Roman"/>
          <w:sz w:val="32"/>
          <w:szCs w:val="32"/>
          <w:highlight w:val="none"/>
          <w:lang w:val="en-US" w:eastAsia="zh-CN"/>
        </w:rPr>
        <w:t>分。</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发放标准执行率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88.08%</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88.08%。原因分析：“三老”人员有离世人员；改进措施：做好三老人员补助工作及人数统计。</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8.81</w:t>
      </w:r>
      <w:r>
        <w:rPr>
          <w:rFonts w:hint="default" w:ascii="Times New Roman" w:hAnsi="Times New Roman" w:eastAsia="仿宋_GB2312" w:cs="Times New Roman"/>
          <w:sz w:val="32"/>
          <w:szCs w:val="32"/>
          <w:highlight w:val="none"/>
          <w:lang w:val="en-US" w:eastAsia="zh-CN"/>
        </w:rPr>
        <w:t>分。</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补助资金发放及时率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97.16%</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97.16%。原因分析：“三老”人员有离世人员；改进措施：做好三老人员补助工作及人数统计。</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9.72</w:t>
      </w:r>
      <w:r>
        <w:rPr>
          <w:rFonts w:hint="default" w:ascii="Times New Roman" w:hAnsi="Times New Roman" w:eastAsia="仿宋_GB2312" w:cs="Times New Roman"/>
          <w:sz w:val="32"/>
          <w:szCs w:val="32"/>
          <w:highlight w:val="none"/>
          <w:lang w:val="en-US" w:eastAsia="zh-CN"/>
        </w:rPr>
        <w:t>分。</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生活补助资金成本数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≤620万元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578.55万元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97.16%。原因分析：“三老”人员有离世人员；改进措施：做好三老人员补助工作及人数统计。</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医疗费补助和慰问资金成本数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55.66万元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55.66%，</w:t>
      </w:r>
      <w:r>
        <w:rPr>
          <w:rFonts w:hint="eastAsia"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根据上级部门安排部署开展慰问工作1次</w:t>
      </w:r>
      <w:bookmarkStart w:id="3" w:name="_GoBack"/>
      <w:bookmarkEnd w:id="3"/>
      <w:r>
        <w:rPr>
          <w:rFonts w:hint="eastAsia" w:eastAsia="仿宋_GB2312" w:cs="Times New Roman"/>
          <w:sz w:val="32"/>
          <w:szCs w:val="32"/>
          <w:highlight w:val="none"/>
          <w:lang w:val="en-US" w:eastAsia="zh-CN"/>
        </w:rPr>
        <w:t>；改进措施：节前及时与上级部门对接慰问标准及要求。</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7.64</w:t>
      </w:r>
      <w:r>
        <w:rPr>
          <w:rFonts w:hint="default" w:ascii="Times New Roman" w:hAnsi="Times New Roman" w:eastAsia="仿宋_GB2312" w:cs="Times New Roman"/>
          <w:sz w:val="32"/>
          <w:szCs w:val="32"/>
          <w:highlight w:val="none"/>
          <w:lang w:val="en-US" w:eastAsia="zh-CN"/>
        </w:rPr>
        <w:t>分。</w:t>
      </w:r>
    </w:p>
    <w:p>
      <w:pPr>
        <w:pStyle w:val="12"/>
        <w:pageBreakBefore w:val="0"/>
        <w:numPr>
          <w:ilvl w:val="0"/>
          <w:numId w:val="3"/>
        </w:numPr>
        <w:kinsoku/>
        <w:wordWrap/>
        <w:overflowPunct w:val="0"/>
        <w:topLinePunct w:val="0"/>
        <w:autoSpaceDE/>
        <w:autoSpaceDN/>
        <w:bidi w:val="0"/>
        <w:adjustRightInd/>
        <w:snapToGrid/>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落实对农村“三老”人员关心关爱政策率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农村“三老”人员满意度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w:t>
      </w:r>
    </w:p>
    <w:p>
      <w:pPr>
        <w:pageBreakBefore w:val="0"/>
        <w:kinsoku/>
        <w:wordWrap/>
        <w:overflowPunct w:val="0"/>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19"/>
        <w:pageBreakBefore w:val="0"/>
        <w:kinsoku/>
        <w:wordWrap/>
        <w:overflowPunct w:val="0"/>
        <w:topLinePunct w:val="0"/>
        <w:autoSpaceDE/>
        <w:autoSpaceDN/>
        <w:bidi w:val="0"/>
        <w:adjustRightInd/>
        <w:snapToGrid/>
        <w:spacing w:line="560" w:lineRule="exact"/>
        <w:ind w:firstLine="640"/>
        <w:rPr>
          <w:rFonts w:hint="default" w:ascii="Times New Roman" w:hAnsi="Times New Roman" w:eastAsia="方正仿宋_GBK" w:cs="Times New Roman"/>
          <w:sz w:val="32"/>
          <w:szCs w:val="32"/>
          <w:highlight w:val="none"/>
        </w:rPr>
      </w:pPr>
      <w:r>
        <w:rPr>
          <w:rFonts w:hint="eastAsia" w:eastAsia="方正仿宋_GBK" w:cs="Times New Roman"/>
          <w:sz w:val="32"/>
          <w:szCs w:val="32"/>
          <w:highlight w:val="none"/>
          <w:lang w:val="en-US" w:eastAsia="zh-CN"/>
        </w:rPr>
        <w:t>支农专</w:t>
      </w:r>
      <w:r>
        <w:rPr>
          <w:rFonts w:hint="eastAsia" w:ascii="Times New Roman" w:hAnsi="Times New Roman" w:eastAsia="方正仿宋_GBK" w:cs="Times New Roman"/>
          <w:sz w:val="32"/>
          <w:szCs w:val="32"/>
          <w:highlight w:val="none"/>
          <w:lang w:val="en-US" w:eastAsia="zh-CN"/>
        </w:rPr>
        <w:t>项-农村</w:t>
      </w:r>
      <w:r>
        <w:rPr>
          <w:rFonts w:hint="eastAsia"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三老</w:t>
      </w:r>
      <w:r>
        <w:rPr>
          <w:rFonts w:hint="eastAsia"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人员</w:t>
      </w:r>
      <w:r>
        <w:rPr>
          <w:rFonts w:hint="eastAsia" w:eastAsia="方正仿宋_GBK" w:cs="Times New Roman"/>
          <w:sz w:val="32"/>
          <w:szCs w:val="32"/>
          <w:highlight w:val="none"/>
          <w:lang w:val="en-US" w:eastAsia="zh-CN"/>
        </w:rPr>
        <w:t>生活不住</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720</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720</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634.21</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88.08</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86.77</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1.31</w:t>
      </w:r>
      <w:r>
        <w:rPr>
          <w:rFonts w:hint="default" w:ascii="Times New Roman" w:hAnsi="Times New Roman" w:eastAsia="方正仿宋_GBK" w:cs="Times New Roman"/>
          <w:sz w:val="32"/>
          <w:szCs w:val="32"/>
          <w:highlight w:val="none"/>
        </w:rPr>
        <w:t>%</w:t>
      </w:r>
      <w:r>
        <w:rPr>
          <w:rFonts w:hint="default" w:ascii="Times New Roman" w:hAnsi="Times New Roman" w:cs="Times New Roman"/>
          <w:highlight w:val="none"/>
          <w:lang w:eastAsia="zh-CN"/>
        </w:rPr>
        <w:t>，</w:t>
      </w:r>
      <w:r>
        <w:rPr>
          <w:rFonts w:hint="default" w:ascii="Times New Roman" w:hAnsi="Times New Roman" w:eastAsia="方正仿宋_GBK" w:cs="Times New Roman"/>
          <w:sz w:val="32"/>
          <w:szCs w:val="32"/>
          <w:highlight w:val="none"/>
          <w:lang w:eastAsia="zh-Hans"/>
        </w:rPr>
        <w:t>偏差</w:t>
      </w:r>
      <w:r>
        <w:rPr>
          <w:rFonts w:hint="default" w:ascii="Times New Roman" w:hAnsi="Times New Roman" w:eastAsia="方正仿宋_GBK" w:cs="Times New Roman"/>
          <w:sz w:val="32"/>
          <w:szCs w:val="32"/>
          <w:highlight w:val="none"/>
        </w:rPr>
        <w:t>原因</w:t>
      </w:r>
      <w:r>
        <w:rPr>
          <w:rFonts w:hint="eastAsia" w:eastAsia="方正仿宋_GBK" w:cs="Times New Roman"/>
          <w:sz w:val="32"/>
          <w:szCs w:val="32"/>
          <w:highlight w:val="none"/>
          <w:lang w:eastAsia="zh-CN"/>
        </w:rPr>
        <w:t>：</w:t>
      </w:r>
      <w:r>
        <w:rPr>
          <w:rFonts w:hint="eastAsia" w:eastAsia="方正仿宋_GBK" w:cs="Times New Roman"/>
          <w:sz w:val="32"/>
          <w:szCs w:val="32"/>
          <w:highlight w:val="none"/>
          <w:lang w:val="en-US" w:eastAsia="zh-CN"/>
        </w:rPr>
        <w:t>农村“三老”人员有递减情况</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改进</w:t>
      </w:r>
      <w:r>
        <w:rPr>
          <w:rFonts w:hint="default" w:ascii="Times New Roman" w:hAnsi="Times New Roman" w:eastAsia="方正仿宋_GBK" w:cs="Times New Roman"/>
          <w:sz w:val="32"/>
          <w:szCs w:val="32"/>
          <w:highlight w:val="none"/>
        </w:rPr>
        <w:t>措施</w:t>
      </w:r>
      <w:r>
        <w:rPr>
          <w:rFonts w:hint="eastAsia" w:eastAsia="方正仿宋_GBK" w:cs="Times New Roman"/>
          <w:sz w:val="32"/>
          <w:szCs w:val="32"/>
          <w:highlight w:val="none"/>
          <w:lang w:eastAsia="zh-CN"/>
        </w:rPr>
        <w:t>：</w:t>
      </w:r>
      <w:r>
        <w:rPr>
          <w:rFonts w:hint="eastAsia" w:eastAsia="方正仿宋_GBK" w:cs="Times New Roman"/>
          <w:sz w:val="32"/>
          <w:szCs w:val="32"/>
          <w:highlight w:val="none"/>
          <w:lang w:val="en-US" w:eastAsia="zh-CN"/>
        </w:rPr>
        <w:t>做好农村“三老”人员补助工作及人数统计</w:t>
      </w:r>
      <w:r>
        <w:rPr>
          <w:rFonts w:hint="default" w:ascii="Times New Roman" w:hAnsi="Times New Roman" w:eastAsia="方正仿宋_GBK" w:cs="Times New Roman"/>
          <w:sz w:val="32"/>
          <w:szCs w:val="32"/>
          <w:highlight w:val="none"/>
        </w:rPr>
        <w:t>。</w:t>
      </w:r>
    </w:p>
    <w:p>
      <w:pPr>
        <w:pageBreakBefore w:val="0"/>
        <w:kinsoku/>
        <w:wordWrap/>
        <w:overflowPunct w:val="0"/>
        <w:topLinePunct w:val="0"/>
        <w:autoSpaceDE/>
        <w:autoSpaceDN/>
        <w:bidi w:val="0"/>
        <w:adjustRightInd/>
        <w:snapToGrid/>
        <w:spacing w:line="560" w:lineRule="exact"/>
        <w:ind w:firstLine="640" w:firstLineChars="200"/>
        <w:rPr>
          <w:rStyle w:val="18"/>
          <w:rFonts w:hint="default" w:ascii="Times New Roman" w:hAnsi="Times New Roman" w:cs="Times New Roman"/>
          <w:color w:val="auto"/>
          <w:highlight w:val="none"/>
        </w:rPr>
      </w:pPr>
      <w:r>
        <w:rPr>
          <w:rFonts w:hint="default" w:ascii="Times New Roman" w:hAnsi="Times New Roman"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pageBreakBefore w:val="0"/>
        <w:kinsoku/>
        <w:wordWrap/>
        <w:overflowPunct w:val="0"/>
        <w:topLinePunct w:val="0"/>
        <w:autoSpaceDE/>
        <w:autoSpaceDN/>
        <w:bidi w:val="0"/>
        <w:adjustRightInd/>
        <w:snapToGrid/>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pageBreakBefore w:val="0"/>
        <w:kinsoku/>
        <w:wordWrap/>
        <w:overflowPunct w:val="0"/>
        <w:topLinePunct w:val="0"/>
        <w:autoSpaceDE/>
        <w:autoSpaceDN/>
        <w:bidi w:val="0"/>
        <w:adjustRightInd/>
        <w:snapToGrid/>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default"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4"/>
        </w:numPr>
        <w:kinsoku/>
        <w:wordWrap/>
        <w:overflowPunct w:val="0"/>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2.因轮岗、调动等因素使我单位绩效工作人员流动频繁，造成工作衔接不到位的情况。</w:t>
      </w: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highlight w:val="none"/>
        </w:rPr>
        <w:t>。</w:t>
      </w:r>
    </w:p>
    <w:p>
      <w:pPr>
        <w:pageBreakBefore w:val="0"/>
        <w:shd w:val="clear"/>
        <w:kinsoku/>
        <w:wordWrap/>
        <w:overflowPunct w:val="0"/>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花钱必问效，无效必问责</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的理念深入工作每个环节。</w:t>
      </w:r>
    </w:p>
    <w:p>
      <w:pPr>
        <w:pageBreakBefore w:val="0"/>
        <w:kinsoku/>
        <w:wordWrap/>
        <w:overflowPunct w:val="0"/>
        <w:topLinePunct w:val="0"/>
        <w:autoSpaceDE/>
        <w:autoSpaceDN/>
        <w:bidi w:val="0"/>
        <w:adjustRightInd/>
        <w:snapToGrid/>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pageBreakBefore w:val="0"/>
        <w:kinsoku/>
        <w:wordWrap/>
        <w:overflowPunct w:val="0"/>
        <w:topLinePunct w:val="0"/>
        <w:autoSpaceDE/>
        <w:autoSpaceDN/>
        <w:bidi w:val="0"/>
        <w:adjustRightInd/>
        <w:snapToGrid/>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13"/>
        <w:pageBreakBefore w:val="0"/>
        <w:kinsoku/>
        <w:wordWrap/>
        <w:overflowPunct w:val="0"/>
        <w:topLinePunct w:val="0"/>
        <w:autoSpaceDE/>
        <w:autoSpaceDN/>
        <w:bidi w:val="0"/>
        <w:adjustRightInd/>
        <w:snapToGrid/>
        <w:spacing w:after="0" w:line="560" w:lineRule="exact"/>
        <w:ind w:left="0" w:leftChars="0" w:firstLine="640"/>
        <w:rPr>
          <w:rFonts w:hint="default" w:ascii="Times New Roman" w:hAnsi="Times New Roman" w:eastAsia="仿宋_GB2312" w:cs="Times New Roman"/>
          <w:sz w:val="32"/>
          <w:szCs w:val="32"/>
          <w:highlight w:val="none"/>
          <w:lang w:eastAsia="zh-CN"/>
        </w:rPr>
      </w:pPr>
    </w:p>
    <w:p>
      <w:pPr>
        <w:pStyle w:val="13"/>
        <w:pageBreakBefore w:val="0"/>
        <w:kinsoku/>
        <w:wordWrap/>
        <w:overflowPunct w:val="0"/>
        <w:topLinePunct w:val="0"/>
        <w:autoSpaceDE/>
        <w:autoSpaceDN/>
        <w:bidi w:val="0"/>
        <w:adjustRightInd/>
        <w:snapToGrid/>
        <w:spacing w:after="0" w:line="560" w:lineRule="exact"/>
        <w:ind w:left="0" w:leftChars="0" w:firstLine="640"/>
        <w:rPr>
          <w:rFonts w:hint="default" w:ascii="Times New Roman" w:hAnsi="Times New Roman" w:eastAsia="仿宋_GB2312" w:cs="Times New Roman"/>
          <w:sz w:val="32"/>
          <w:szCs w:val="32"/>
          <w:highlight w:val="none"/>
          <w:lang w:eastAsia="zh-CN"/>
        </w:rPr>
      </w:pPr>
    </w:p>
    <w:p>
      <w:pPr>
        <w:pStyle w:val="13"/>
        <w:pageBreakBefore w:val="0"/>
        <w:kinsoku/>
        <w:wordWrap/>
        <w:overflowPunct w:val="0"/>
        <w:topLinePunct w:val="0"/>
        <w:autoSpaceDE/>
        <w:autoSpaceDN/>
        <w:bidi w:val="0"/>
        <w:adjustRightInd/>
        <w:snapToGrid/>
        <w:spacing w:after="0" w:line="560" w:lineRule="exact"/>
        <w:ind w:left="0" w:leftChars="0" w:firstLine="640"/>
        <w:rPr>
          <w:rFonts w:hint="default" w:ascii="Times New Roman" w:hAnsi="Times New Roman" w:eastAsia="仿宋_GB2312" w:cs="Times New Roman"/>
          <w:sz w:val="32"/>
          <w:szCs w:val="32"/>
          <w:highlight w:val="none"/>
          <w:lang w:eastAsia="zh-CN"/>
        </w:rPr>
      </w:pPr>
    </w:p>
    <w:p>
      <w:pPr>
        <w:pStyle w:val="13"/>
        <w:pageBreakBefore w:val="0"/>
        <w:kinsoku/>
        <w:wordWrap/>
        <w:overflowPunct w:val="0"/>
        <w:topLinePunct w:val="0"/>
        <w:autoSpaceDE/>
        <w:autoSpaceDN/>
        <w:bidi w:val="0"/>
        <w:adjustRightInd/>
        <w:snapToGrid/>
        <w:spacing w:after="0" w:line="560" w:lineRule="exact"/>
        <w:ind w:left="0" w:leftChars="0" w:firstLine="640"/>
        <w:rPr>
          <w:rFonts w:hint="default" w:ascii="Times New Roman" w:hAnsi="Times New Roman" w:eastAsia="仿宋_GB2312" w:cs="Times New Roman"/>
          <w:sz w:val="32"/>
          <w:szCs w:val="32"/>
          <w:highlight w:val="none"/>
        </w:rPr>
      </w:pPr>
    </w:p>
    <w:p>
      <w:pPr>
        <w:pStyle w:val="13"/>
        <w:pageBreakBefore w:val="0"/>
        <w:kinsoku/>
        <w:wordWrap/>
        <w:overflowPunct w:val="0"/>
        <w:topLinePunct w:val="0"/>
        <w:autoSpaceDE/>
        <w:autoSpaceDN/>
        <w:bidi w:val="0"/>
        <w:adjustRightInd/>
        <w:snapToGrid/>
        <w:spacing w:after="0" w:line="560" w:lineRule="exact"/>
        <w:ind w:left="0" w:leftChars="0" w:firstLine="640"/>
        <w:rPr>
          <w:rFonts w:hint="default" w:ascii="Times New Roman" w:hAnsi="Times New Roman" w:eastAsia="仿宋_GB2312" w:cs="Times New Roman"/>
          <w:sz w:val="32"/>
          <w:szCs w:val="32"/>
          <w:highlight w:val="none"/>
        </w:rPr>
      </w:pPr>
    </w:p>
    <w:p>
      <w:pPr>
        <w:pStyle w:val="13"/>
        <w:pageBreakBefore w:val="0"/>
        <w:kinsoku/>
        <w:wordWrap/>
        <w:overflowPunct w:val="0"/>
        <w:topLinePunct w:val="0"/>
        <w:autoSpaceDE/>
        <w:autoSpaceDN/>
        <w:bidi w:val="0"/>
        <w:adjustRightInd/>
        <w:snapToGrid/>
        <w:spacing w:after="0" w:line="560" w:lineRule="exact"/>
        <w:ind w:left="0" w:leftChars="0" w:firstLine="0" w:firstLineChars="0"/>
        <w:rPr>
          <w:rFonts w:hint="default" w:ascii="Times New Roman" w:hAnsi="Times New Roman" w:eastAsia="仿宋_GB2312" w:cs="Times New Roman"/>
          <w:sz w:val="32"/>
          <w:szCs w:val="32"/>
          <w:highlight w:val="none"/>
        </w:rPr>
      </w:pPr>
    </w:p>
    <w:p>
      <w:pPr>
        <w:pageBreakBefore w:val="0"/>
        <w:kinsoku/>
        <w:wordWrap/>
        <w:overflowPunct w:val="0"/>
        <w:topLinePunct w:val="0"/>
        <w:autoSpaceDE/>
        <w:autoSpaceDN/>
        <w:bidi w:val="0"/>
        <w:adjustRightInd/>
        <w:snapToGrid/>
        <w:spacing w:line="600" w:lineRule="exact"/>
        <w:rPr>
          <w:rFonts w:hint="default" w:ascii="Times New Roman" w:hAnsi="Times New Roman" w:eastAsia="黑体" w:cs="Times New Roman"/>
          <w:sz w:val="32"/>
          <w:szCs w:val="32"/>
          <w:highlight w:val="none"/>
          <w:lang w:val="en-US" w:eastAsia="zh-CN"/>
        </w:rPr>
        <w:sectPr>
          <w:footerReference r:id="rId3" w:type="default"/>
          <w:pgSz w:w="11906" w:h="16838"/>
          <w:pgMar w:top="1871" w:right="1531" w:bottom="1984" w:left="1531" w:header="851" w:footer="992" w:gutter="0"/>
          <w:pgNumType w:start="1"/>
          <w:cols w:space="425" w:num="1"/>
          <w:docGrid w:type="lines" w:linePitch="312" w:charSpace="0"/>
        </w:sectPr>
      </w:pPr>
    </w:p>
    <w:p>
      <w:pPr>
        <w:pageBreakBefore w:val="0"/>
        <w:kinsoku/>
        <w:wordWrap/>
        <w:overflowPunct w:val="0"/>
        <w:topLinePunct w:val="0"/>
        <w:autoSpaceDE/>
        <w:autoSpaceDN/>
        <w:bidi w:val="0"/>
        <w:adjustRightInd/>
        <w:snapToGrid/>
        <w:spacing w:line="600" w:lineRule="exact"/>
        <w:jc w:val="left"/>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附件1</w:t>
      </w:r>
    </w:p>
    <w:p>
      <w:pPr>
        <w:pStyle w:val="19"/>
        <w:pageBreakBefore w:val="0"/>
        <w:kinsoku/>
        <w:wordWrap/>
        <w:overflowPunct w:val="0"/>
        <w:topLinePunct w:val="0"/>
        <w:autoSpaceDE/>
        <w:autoSpaceDN/>
        <w:bidi w:val="0"/>
        <w:adjustRightInd/>
        <w:snapToGrid/>
        <w:ind w:firstLine="562"/>
        <w:jc w:val="center"/>
        <w:rPr>
          <w:rFonts w:hint="default" w:ascii="Times New Roman" w:hAnsi="Times New Roman" w:eastAsia="仿宋_GB2312" w:cs="Times New Roman"/>
          <w:sz w:val="28"/>
          <w:szCs w:val="40"/>
          <w:highlight w:val="none"/>
        </w:rPr>
      </w:pPr>
      <w:bookmarkStart w:id="1" w:name="_Toc26499_WPSOffice_Level2"/>
      <w:bookmarkStart w:id="2" w:name="_Toc30064_WPSOffice_Level1"/>
      <w:r>
        <w:rPr>
          <w:rFonts w:hint="eastAsia" w:eastAsia="仿宋_GB2312" w:cs="Times New Roman"/>
          <w:b/>
          <w:bCs/>
          <w:sz w:val="28"/>
          <w:szCs w:val="40"/>
          <w:highlight w:val="none"/>
          <w:lang w:val="en-US" w:eastAsia="zh-CN"/>
        </w:rPr>
        <w:t>支农专项-农村“三老”人员生活补助</w:t>
      </w:r>
      <w:r>
        <w:rPr>
          <w:rFonts w:hint="default" w:ascii="Times New Roman" w:hAnsi="Times New Roman" w:eastAsia="仿宋_GB2312" w:cs="Times New Roman"/>
          <w:b/>
          <w:bCs/>
          <w:sz w:val="28"/>
          <w:szCs w:val="40"/>
          <w:highlight w:val="none"/>
        </w:rPr>
        <w:t>项目绩效评价指标体系及综合评分表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4"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680"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055"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pageBreakBefore w:val="0"/>
              <w:widowControl/>
              <w:kinsoku/>
              <w:wordWrap/>
              <w:overflowPunct w:val="0"/>
              <w:topLinePunct w:val="0"/>
              <w:autoSpaceDE/>
              <w:autoSpaceDN/>
              <w:bidi w:val="0"/>
              <w:adjustRightInd/>
              <w:snapToGrid/>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3.52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8.1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8.81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7.64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val="0"/>
              <w:topLinePunct w:val="0"/>
              <w:autoSpaceDE/>
              <w:autoSpaceDN/>
              <w:bidi w:val="0"/>
              <w:adjustRightInd/>
              <w:snapToGrid/>
              <w:spacing w:line="0" w:lineRule="atLeast"/>
              <w:jc w:val="center"/>
              <w:rPr>
                <w:rFonts w:hint="default" w:ascii="Times New Roman" w:hAnsi="Times New Roman" w:eastAsia="仿宋_GB2312" w:cs="Times New Roman"/>
                <w:b/>
                <w:bCs/>
                <w:color w:val="000000"/>
                <w:kern w:val="0"/>
                <w:sz w:val="18"/>
                <w:szCs w:val="18"/>
                <w:highlight w:val="none"/>
              </w:rPr>
            </w:pPr>
            <w:r>
              <w:rPr>
                <w:rFonts w:hint="eastAsia" w:eastAsia="仿宋_GB2312" w:cs="Times New Roman"/>
                <w:b/>
                <w:bCs/>
                <w:color w:val="000000"/>
                <w:kern w:val="0"/>
                <w:sz w:val="18"/>
                <w:szCs w:val="18"/>
                <w:highlight w:val="none"/>
                <w:lang w:val="en-US" w:eastAsia="zh-CN"/>
              </w:rPr>
              <w:t>10</w:t>
            </w:r>
          </w:p>
        </w:tc>
      </w:tr>
    </w:tbl>
    <w:p>
      <w:pPr>
        <w:pageBreakBefore w:val="0"/>
        <w:kinsoku/>
        <w:wordWrap/>
        <w:overflowPunct w:val="0"/>
        <w:topLinePunct w:val="0"/>
        <w:autoSpaceDE/>
        <w:autoSpaceDN/>
        <w:bidi w:val="0"/>
        <w:adjustRightInd/>
        <w:snapToGrid/>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pageBreakBefore w:val="0"/>
        <w:kinsoku/>
        <w:wordWrap/>
        <w:overflowPunct w:val="0"/>
        <w:topLinePunct w:val="0"/>
        <w:autoSpaceDE/>
        <w:autoSpaceDN/>
        <w:bidi w:val="0"/>
        <w:adjustRightInd/>
        <w:snapToGrid/>
        <w:spacing w:line="600" w:lineRule="exact"/>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附件2</w:t>
      </w:r>
    </w:p>
    <w:p>
      <w:pPr>
        <w:keepNext w:val="0"/>
        <w:keepLines w:val="0"/>
        <w:pageBreakBefore w:val="0"/>
        <w:widowControl w:val="0"/>
        <w:kinsoku/>
        <w:wordWrap/>
        <w:overflowPunct w:val="0"/>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8"/>
          <w:szCs w:val="28"/>
          <w:highlight w:val="none"/>
          <w:u w:val="none"/>
          <w:lang w:val="en-US" w:eastAsia="zh-CN" w:bidi="ar"/>
        </w:rPr>
      </w:pPr>
      <w:r>
        <w:rPr>
          <w:rFonts w:hint="default" w:ascii="Times New Roman" w:hAnsi="Times New Roman" w:eastAsia="仿宋_GB2312" w:cs="Times New Roman"/>
          <w:b/>
          <w:bCs/>
          <w:i w:val="0"/>
          <w:iCs w:val="0"/>
          <w:color w:val="000000"/>
          <w:kern w:val="0"/>
          <w:sz w:val="28"/>
          <w:szCs w:val="28"/>
          <w:highlight w:val="none"/>
          <w:u w:val="none"/>
          <w:lang w:val="en-US" w:eastAsia="zh-CN" w:bidi="ar"/>
        </w:rPr>
        <w:t>项目支出绩效自评表</w:t>
      </w:r>
    </w:p>
    <w:p>
      <w:pPr>
        <w:keepNext w:val="0"/>
        <w:keepLines w:val="0"/>
        <w:pageBreakBefore w:val="0"/>
        <w:widowControl w:val="0"/>
        <w:kinsoku/>
        <w:wordWrap/>
        <w:overflowPunct w:val="0"/>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tbl>
      <w:tblPr>
        <w:tblStyle w:val="14"/>
        <w:tblW w:w="130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9"/>
        <w:gridCol w:w="759"/>
        <w:gridCol w:w="759"/>
        <w:gridCol w:w="1866"/>
        <w:gridCol w:w="1604"/>
        <w:gridCol w:w="759"/>
        <w:gridCol w:w="751"/>
        <w:gridCol w:w="751"/>
        <w:gridCol w:w="759"/>
        <w:gridCol w:w="759"/>
        <w:gridCol w:w="924"/>
        <w:gridCol w:w="917"/>
        <w:gridCol w:w="615"/>
        <w:gridCol w:w="10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5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项目名称</w:t>
            </w:r>
          </w:p>
        </w:tc>
        <w:tc>
          <w:tcPr>
            <w:tcW w:w="1152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支农专项-农村“三老”人员生活补助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5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主管部门</w:t>
            </w:r>
          </w:p>
        </w:tc>
        <w:tc>
          <w:tcPr>
            <w:tcW w:w="5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中共库尔勒市委员会组织部</w:t>
            </w:r>
          </w:p>
        </w:tc>
        <w:tc>
          <w:tcPr>
            <w:tcW w:w="1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p>
        </w:tc>
        <w:tc>
          <w:tcPr>
            <w:tcW w:w="42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中共库尔勒市委员会组织部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5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项目资金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（万元）</w:t>
            </w: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年初预算数</w:t>
            </w:r>
          </w:p>
        </w:tc>
        <w:tc>
          <w:tcPr>
            <w:tcW w:w="1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全年预算数</w:t>
            </w:r>
          </w:p>
        </w:tc>
        <w:tc>
          <w:tcPr>
            <w:tcW w:w="1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全年执行数</w:t>
            </w:r>
          </w:p>
        </w:tc>
        <w:tc>
          <w:tcPr>
            <w:tcW w:w="1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执行率</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5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年度资金总额</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720.00</w:t>
            </w:r>
          </w:p>
        </w:tc>
        <w:tc>
          <w:tcPr>
            <w:tcW w:w="1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720.00</w:t>
            </w:r>
          </w:p>
        </w:tc>
        <w:tc>
          <w:tcPr>
            <w:tcW w:w="1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634.21</w:t>
            </w:r>
          </w:p>
        </w:tc>
        <w:tc>
          <w:tcPr>
            <w:tcW w:w="1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88.08%</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5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其中：当年财政拨款</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720</w:t>
            </w:r>
          </w:p>
        </w:tc>
        <w:tc>
          <w:tcPr>
            <w:tcW w:w="1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720</w:t>
            </w:r>
          </w:p>
        </w:tc>
        <w:tc>
          <w:tcPr>
            <w:tcW w:w="1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634.21</w:t>
            </w:r>
          </w:p>
        </w:tc>
        <w:tc>
          <w:tcPr>
            <w:tcW w:w="1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5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0.00</w:t>
            </w:r>
          </w:p>
        </w:tc>
        <w:tc>
          <w:tcPr>
            <w:tcW w:w="1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0.00</w:t>
            </w:r>
          </w:p>
        </w:tc>
        <w:tc>
          <w:tcPr>
            <w:tcW w:w="1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年度总体目标</w:t>
            </w:r>
          </w:p>
        </w:tc>
        <w:tc>
          <w:tcPr>
            <w:tcW w:w="800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总体目标</w:t>
            </w:r>
          </w:p>
        </w:tc>
        <w:tc>
          <w:tcPr>
            <w:tcW w:w="42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00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目标1：保障“三老”人员人数450人，发放生活补助次数12次，“三老”人员慰问次数2次。目标2：落实对农村“三老”人员关心关爱政策率。</w:t>
            </w:r>
          </w:p>
        </w:tc>
        <w:tc>
          <w:tcPr>
            <w:tcW w:w="42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项目已完成，落实“三老”人员生活补贴418人，生活补贴发放共计12次，慰问三老人员1次，通过项目实施，充分落实党和国家对农村“三老”人员关心关爱政策。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jc w:val="center"/>
        </w:trPr>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指标值设置依据</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上年完成值</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指标分值权重</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指标赋分规则</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佐证资料</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指标实际完成值</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完成率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指标得分</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年度绩效指标完成情况</w:t>
            </w:r>
          </w:p>
        </w:tc>
        <w:tc>
          <w:tcPr>
            <w:tcW w:w="7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保障“三老”人员人数</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&gt;=450人</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=418人</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92.89%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原因分析：“三老”人员有离世人员；改进措施：做好三老人员补助工作及人数统计。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发放生活补助次数</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&gt;=12次</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=12次</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“三老”人员慰问次数</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&gt;=2次</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=1次</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原因分析：根据上级安排开展慰问工作；改进措施：节前及时与上级部门对接慰问标准及要求。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发放标准执行率</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=88.08%</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88.08%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7.02</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原因分析：“三老”人员有离世人员；改进措施：做好三老人员补助工作及人数统计。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补助资金发放及时率</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=97.16%</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97.16%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9.29</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原因分析：“三老”人员有离世人员；改进措施：做好三老人员补助工作及人数统计。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生活补助资金成本数</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&lt;=620万元</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原始凭证</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=578.55万元</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97.16%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9.72</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原因分析：“三老”人员有离世人员；改进措施：做好三老人员补助工作及人数统计。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医疗费补助和慰问资金成本数</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&lt;=100万元</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原始凭证</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=55.66万元</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55.66%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原因分析：上级安排部署慰问工作1次；改进措施：节前及时与上级部门对接慰问标准及要求。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落实对农村“三老”人员关心关爱政策率</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农村“三老”人员满意度</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41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总分</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highlight w:val="none"/>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79.66分</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bl>
    <w:p>
      <w:pPr>
        <w:pageBreakBefore w:val="0"/>
        <w:kinsoku/>
        <w:wordWrap/>
        <w:overflowPunct w:val="0"/>
        <w:topLinePunct w:val="0"/>
        <w:autoSpaceDE/>
        <w:autoSpaceDN/>
        <w:bidi w:val="0"/>
        <w:adjustRightInd/>
        <w:snapToGrid/>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0NjBmMzBmMjdlOWQzMjI4ODBmY2UxZjUzYzk3MjgifQ=="/>
  </w:docVars>
  <w:rsids>
    <w:rsidRoot w:val="FF6C4049"/>
    <w:rsid w:val="00645991"/>
    <w:rsid w:val="006F7242"/>
    <w:rsid w:val="007B168A"/>
    <w:rsid w:val="008B2CFE"/>
    <w:rsid w:val="00F26FF6"/>
    <w:rsid w:val="01610122"/>
    <w:rsid w:val="02510197"/>
    <w:rsid w:val="034435C0"/>
    <w:rsid w:val="03EC461B"/>
    <w:rsid w:val="04015143"/>
    <w:rsid w:val="0461077D"/>
    <w:rsid w:val="05882122"/>
    <w:rsid w:val="07397B77"/>
    <w:rsid w:val="0AD007F3"/>
    <w:rsid w:val="0BCD088E"/>
    <w:rsid w:val="0CEB1914"/>
    <w:rsid w:val="0DF63C10"/>
    <w:rsid w:val="0E3C619F"/>
    <w:rsid w:val="0ED62150"/>
    <w:rsid w:val="0F735BF1"/>
    <w:rsid w:val="100F38EC"/>
    <w:rsid w:val="11170296"/>
    <w:rsid w:val="119C00D3"/>
    <w:rsid w:val="11B52B4F"/>
    <w:rsid w:val="1269692C"/>
    <w:rsid w:val="12B90746"/>
    <w:rsid w:val="12C66037"/>
    <w:rsid w:val="12CD1ABC"/>
    <w:rsid w:val="13471461"/>
    <w:rsid w:val="13B90F01"/>
    <w:rsid w:val="14147C23"/>
    <w:rsid w:val="144743A9"/>
    <w:rsid w:val="155E4C4D"/>
    <w:rsid w:val="181066D2"/>
    <w:rsid w:val="19AF2D20"/>
    <w:rsid w:val="1B795393"/>
    <w:rsid w:val="1C505703"/>
    <w:rsid w:val="1C671E73"/>
    <w:rsid w:val="1C7D7F2C"/>
    <w:rsid w:val="1CB03FE0"/>
    <w:rsid w:val="1D322C47"/>
    <w:rsid w:val="22077054"/>
    <w:rsid w:val="22971693"/>
    <w:rsid w:val="23616034"/>
    <w:rsid w:val="23696C97"/>
    <w:rsid w:val="24480FA2"/>
    <w:rsid w:val="25227A45"/>
    <w:rsid w:val="26AC3A6A"/>
    <w:rsid w:val="27363334"/>
    <w:rsid w:val="275E288B"/>
    <w:rsid w:val="27746388"/>
    <w:rsid w:val="283004F8"/>
    <w:rsid w:val="29C42E79"/>
    <w:rsid w:val="2A64465C"/>
    <w:rsid w:val="2AE073B4"/>
    <w:rsid w:val="2B9D7E25"/>
    <w:rsid w:val="2C7C7A3B"/>
    <w:rsid w:val="2DA4783E"/>
    <w:rsid w:val="2DF749F9"/>
    <w:rsid w:val="2F364819"/>
    <w:rsid w:val="2F435D1B"/>
    <w:rsid w:val="2FD63906"/>
    <w:rsid w:val="32617C0D"/>
    <w:rsid w:val="342737AE"/>
    <w:rsid w:val="357C0AAC"/>
    <w:rsid w:val="35B96518"/>
    <w:rsid w:val="3672557B"/>
    <w:rsid w:val="37215DAE"/>
    <w:rsid w:val="373F6235"/>
    <w:rsid w:val="38CA40DD"/>
    <w:rsid w:val="38F27ABB"/>
    <w:rsid w:val="395F2B56"/>
    <w:rsid w:val="399277DD"/>
    <w:rsid w:val="39F01A68"/>
    <w:rsid w:val="3B8B3BE4"/>
    <w:rsid w:val="3BBA0580"/>
    <w:rsid w:val="3BECE841"/>
    <w:rsid w:val="3C011D1D"/>
    <w:rsid w:val="3C9F5D8A"/>
    <w:rsid w:val="3CDE204C"/>
    <w:rsid w:val="3D363C36"/>
    <w:rsid w:val="3DD76309"/>
    <w:rsid w:val="3DF620B2"/>
    <w:rsid w:val="3E9C3F6D"/>
    <w:rsid w:val="3FEC2539"/>
    <w:rsid w:val="3FF7797D"/>
    <w:rsid w:val="41460480"/>
    <w:rsid w:val="45803526"/>
    <w:rsid w:val="45D73ADC"/>
    <w:rsid w:val="461C0986"/>
    <w:rsid w:val="46690BD8"/>
    <w:rsid w:val="46FA3977"/>
    <w:rsid w:val="47180B63"/>
    <w:rsid w:val="47D74267"/>
    <w:rsid w:val="49F70BF1"/>
    <w:rsid w:val="4B022D94"/>
    <w:rsid w:val="4B4340EE"/>
    <w:rsid w:val="4D942971"/>
    <w:rsid w:val="4E5D5651"/>
    <w:rsid w:val="4ED06666"/>
    <w:rsid w:val="503D507A"/>
    <w:rsid w:val="511E1A91"/>
    <w:rsid w:val="51381F99"/>
    <w:rsid w:val="514D6655"/>
    <w:rsid w:val="51FA74D0"/>
    <w:rsid w:val="52AA4A52"/>
    <w:rsid w:val="53673D98"/>
    <w:rsid w:val="583E04F0"/>
    <w:rsid w:val="58847F0E"/>
    <w:rsid w:val="589526C4"/>
    <w:rsid w:val="59943D66"/>
    <w:rsid w:val="59E051FD"/>
    <w:rsid w:val="59E6355E"/>
    <w:rsid w:val="5B282042"/>
    <w:rsid w:val="5B821531"/>
    <w:rsid w:val="5BFF6039"/>
    <w:rsid w:val="5CE7778E"/>
    <w:rsid w:val="5D76A616"/>
    <w:rsid w:val="5D7F20B9"/>
    <w:rsid w:val="5D8244AA"/>
    <w:rsid w:val="5DAC7D0E"/>
    <w:rsid w:val="5F4F359B"/>
    <w:rsid w:val="5F98B5AF"/>
    <w:rsid w:val="5FFE8511"/>
    <w:rsid w:val="5FFEACE2"/>
    <w:rsid w:val="60922D8A"/>
    <w:rsid w:val="609D5BF6"/>
    <w:rsid w:val="61073070"/>
    <w:rsid w:val="6175447D"/>
    <w:rsid w:val="61B9080E"/>
    <w:rsid w:val="61DF3FED"/>
    <w:rsid w:val="63BC6570"/>
    <w:rsid w:val="642B176B"/>
    <w:rsid w:val="643EE26D"/>
    <w:rsid w:val="656019A0"/>
    <w:rsid w:val="65AC61BD"/>
    <w:rsid w:val="65F242EE"/>
    <w:rsid w:val="660B3602"/>
    <w:rsid w:val="661D2830"/>
    <w:rsid w:val="666D7E19"/>
    <w:rsid w:val="66AE778F"/>
    <w:rsid w:val="670D6F06"/>
    <w:rsid w:val="6753432E"/>
    <w:rsid w:val="68376930"/>
    <w:rsid w:val="68F91E38"/>
    <w:rsid w:val="6B3158B9"/>
    <w:rsid w:val="6BA02A3F"/>
    <w:rsid w:val="6C0528A2"/>
    <w:rsid w:val="6C1E5A53"/>
    <w:rsid w:val="6F5C41AC"/>
    <w:rsid w:val="6FAF6C78"/>
    <w:rsid w:val="6FF670D1"/>
    <w:rsid w:val="714D4ACF"/>
    <w:rsid w:val="716167CC"/>
    <w:rsid w:val="718A7AD1"/>
    <w:rsid w:val="72A44BC2"/>
    <w:rsid w:val="72C94629"/>
    <w:rsid w:val="7317C656"/>
    <w:rsid w:val="734ED73F"/>
    <w:rsid w:val="73C82B32"/>
    <w:rsid w:val="73F94DAE"/>
    <w:rsid w:val="74220495"/>
    <w:rsid w:val="747D1B6F"/>
    <w:rsid w:val="749E5641"/>
    <w:rsid w:val="751E107F"/>
    <w:rsid w:val="752E2E69"/>
    <w:rsid w:val="76271066"/>
    <w:rsid w:val="77FD8BE9"/>
    <w:rsid w:val="78000AED"/>
    <w:rsid w:val="79A9BD3F"/>
    <w:rsid w:val="7B776F12"/>
    <w:rsid w:val="7BFFFDD0"/>
    <w:rsid w:val="7C336E5F"/>
    <w:rsid w:val="7C4A1FC9"/>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32</Pages>
  <Words>13580</Words>
  <Characters>14171</Characters>
  <Lines>58</Lines>
  <Paragraphs>16</Paragraphs>
  <TotalTime>0</TotalTime>
  <ScaleCrop>false</ScaleCrop>
  <LinksUpToDate>false</LinksUpToDate>
  <CharactersWithSpaces>14181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2025-05-08T10:32:17Z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F1A32EB7C53F433780EB4BD1AD3DECDF_13</vt:lpwstr>
  </property>
  <property fmtid="{D5CDD505-2E9C-101B-9397-08002B2CF9AE}" pid="4" name="KSOTemplateDocerSaveRecord">
    <vt:lpwstr>eyJoZGlkIjoiODA2ZTM5NmFjOWUxMzJjMTZmZmI5ZWI4ZGQyNjZhMTYiLCJ1c2VySWQiOiI0MDE1NTg4NDEifQ==</vt:lpwstr>
  </property>
</Properties>
</file>