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color w:val="000000" w:themeColor="text1"/>
          <w:sz w:val="44"/>
          <w:szCs w:val="44"/>
          <w:highlight w:val="none"/>
          <w:lang w:val="en-US" w:eastAsia="zh-CN"/>
          <w14:textFill>
            <w14:solidFill>
              <w14:schemeClr w14:val="tx1"/>
            </w14:solidFill>
          </w14:textFill>
        </w:rPr>
        <w:t>中共库尔勒市委员会组织部</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eastAsia="zh-CN"/>
        </w:rPr>
        <w:t>2024年度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widowControl/>
        <w:suppressLineNumbers w:val="0"/>
        <w:shd w:val="clear"/>
        <w:wordWrap w:val="0"/>
        <w:spacing w:line="566" w:lineRule="atLeast"/>
        <w:ind w:left="0" w:firstLine="0"/>
        <w:jc w:val="center"/>
        <w:rPr>
          <w:rFonts w:ascii="黑体" w:hAnsi="宋体" w:eastAsia="黑体" w:cs="黑体"/>
          <w:i w:val="0"/>
          <w:iCs w:val="0"/>
          <w:caps w:val="0"/>
          <w:color w:val="auto"/>
          <w:spacing w:val="0"/>
          <w:sz w:val="43"/>
          <w:szCs w:val="43"/>
        </w:rPr>
      </w:pPr>
    </w:p>
    <w:p>
      <w:pPr>
        <w:keepNext w:val="0"/>
        <w:keepLines w:val="0"/>
        <w:widowControl/>
        <w:suppressLineNumbers w:val="0"/>
        <w:shd w:val="clear"/>
        <w:wordWrap w:val="0"/>
        <w:spacing w:line="409" w:lineRule="atLeast"/>
        <w:ind w:left="0" w:firstLine="0"/>
        <w:jc w:val="center"/>
        <w:rPr>
          <w:rFonts w:ascii="黑体" w:hAnsi="宋体" w:eastAsia="黑体" w:cs="黑体"/>
          <w:b/>
          <w:bCs/>
          <w:i w:val="0"/>
          <w:iCs w:val="0"/>
          <w:caps w:val="0"/>
          <w:color w:val="auto"/>
          <w:spacing w:val="0"/>
          <w:kern w:val="0"/>
          <w:sz w:val="31"/>
          <w:szCs w:val="31"/>
          <w:shd w:val="clear" w:fill="FFFFFF"/>
          <w:lang w:val="en-US" w:eastAsia="zh-CN" w:bidi="ar"/>
        </w:rPr>
      </w:pPr>
    </w:p>
    <w:p>
      <w:pPr>
        <w:keepNext w:val="0"/>
        <w:keepLines w:val="0"/>
        <w:widowControl/>
        <w:suppressLineNumbers w:val="0"/>
        <w:shd w:val="clear"/>
        <w:wordWrap w:val="0"/>
        <w:spacing w:line="409" w:lineRule="atLeast"/>
        <w:ind w:left="0" w:firstLine="0"/>
        <w:jc w:val="center"/>
        <w:rPr>
          <w:rFonts w:ascii="黑体" w:hAnsi="宋体" w:eastAsia="黑体" w:cs="黑体"/>
          <w:b/>
          <w:bCs/>
          <w:i w:val="0"/>
          <w:iCs w:val="0"/>
          <w:caps w:val="0"/>
          <w:color w:val="auto"/>
          <w:spacing w:val="0"/>
          <w:kern w:val="0"/>
          <w:sz w:val="31"/>
          <w:szCs w:val="31"/>
          <w:shd w:val="clear" w:fill="FFFFFF"/>
          <w:lang w:val="en-US" w:eastAsia="zh-CN" w:bidi="ar"/>
        </w:rPr>
      </w:pPr>
    </w:p>
    <w:p>
      <w:pPr>
        <w:keepNext w:val="0"/>
        <w:keepLines w:val="0"/>
        <w:widowControl/>
        <w:suppressLineNumbers w:val="0"/>
        <w:shd w:val="clear"/>
        <w:wordWrap w:val="0"/>
        <w:spacing w:line="409" w:lineRule="atLeast"/>
        <w:ind w:left="0" w:firstLine="0"/>
        <w:jc w:val="center"/>
        <w:rPr>
          <w:rFonts w:ascii="黑体" w:hAnsi="宋体" w:eastAsia="黑体" w:cs="黑体"/>
          <w:b/>
          <w:bCs/>
          <w:i w:val="0"/>
          <w:iCs w:val="0"/>
          <w:caps w:val="0"/>
          <w:color w:val="auto"/>
          <w:spacing w:val="0"/>
          <w:kern w:val="0"/>
          <w:sz w:val="31"/>
          <w:szCs w:val="31"/>
          <w:shd w:val="clear" w:fill="FFFFFF"/>
          <w:lang w:val="en-US" w:eastAsia="zh-CN" w:bidi="ar"/>
        </w:rPr>
      </w:pPr>
    </w:p>
    <w:p>
      <w:pPr>
        <w:keepNext w:val="0"/>
        <w:keepLines w:val="0"/>
        <w:widowControl/>
        <w:suppressLineNumbers w:val="0"/>
        <w:shd w:val="clear"/>
        <w:wordWrap w:val="0"/>
        <w:spacing w:line="409" w:lineRule="atLeast"/>
        <w:ind w:left="0" w:firstLine="0"/>
        <w:jc w:val="center"/>
        <w:rPr>
          <w:rFonts w:ascii="黑体" w:hAnsi="宋体" w:eastAsia="黑体" w:cs="黑体"/>
          <w:b/>
          <w:bCs/>
          <w:i w:val="0"/>
          <w:iCs w:val="0"/>
          <w:caps w:val="0"/>
          <w:color w:val="auto"/>
          <w:spacing w:val="0"/>
          <w:kern w:val="0"/>
          <w:sz w:val="31"/>
          <w:szCs w:val="31"/>
          <w:shd w:val="clear" w:fill="FFFFFF"/>
          <w:lang w:val="en-US" w:eastAsia="zh-CN" w:bidi="ar"/>
        </w:rPr>
      </w:pPr>
    </w:p>
    <w:p>
      <w:pPr>
        <w:keepNext w:val="0"/>
        <w:keepLines w:val="0"/>
        <w:widowControl/>
        <w:suppressLineNumbers w:val="0"/>
        <w:shd w:val="clear"/>
        <w:wordWrap w:val="0"/>
        <w:spacing w:line="409" w:lineRule="atLeast"/>
        <w:ind w:left="0" w:firstLine="0"/>
        <w:jc w:val="center"/>
        <w:rPr>
          <w:rFonts w:ascii="黑体" w:hAnsi="宋体" w:eastAsia="黑体" w:cs="黑体"/>
          <w:b/>
          <w:bCs/>
          <w:i w:val="0"/>
          <w:iCs w:val="0"/>
          <w:caps w:val="0"/>
          <w:color w:val="auto"/>
          <w:spacing w:val="0"/>
          <w:kern w:val="0"/>
          <w:sz w:val="31"/>
          <w:szCs w:val="31"/>
          <w:shd w:val="clear" w:fill="FFFFFF"/>
          <w:lang w:val="en-US" w:eastAsia="zh-CN" w:bidi="ar"/>
        </w:rPr>
      </w:pPr>
    </w:p>
    <w:p>
      <w:pPr>
        <w:keepNext w:val="0"/>
        <w:keepLines w:val="0"/>
        <w:widowControl/>
        <w:suppressLineNumbers w:val="0"/>
        <w:shd w:val="clear"/>
        <w:wordWrap w:val="0"/>
        <w:spacing w:line="409" w:lineRule="atLeast"/>
        <w:ind w:left="0" w:firstLine="0"/>
        <w:jc w:val="center"/>
        <w:rPr>
          <w:rFonts w:ascii="黑体" w:hAnsi="宋体" w:eastAsia="黑体" w:cs="黑体"/>
          <w:b/>
          <w:bCs/>
          <w:i w:val="0"/>
          <w:iCs w:val="0"/>
          <w:caps w:val="0"/>
          <w:color w:val="auto"/>
          <w:spacing w:val="0"/>
          <w:kern w:val="0"/>
          <w:sz w:val="31"/>
          <w:szCs w:val="31"/>
          <w:shd w:val="clear" w:fill="FFFFFF"/>
          <w:lang w:val="en-US" w:eastAsia="zh-CN" w:bidi="ar"/>
        </w:rPr>
      </w:pPr>
    </w:p>
    <w:p>
      <w:pPr>
        <w:keepNext w:val="0"/>
        <w:keepLines w:val="0"/>
        <w:widowControl/>
        <w:suppressLineNumbers w:val="0"/>
        <w:shd w:val="clear"/>
        <w:wordWrap w:val="0"/>
        <w:spacing w:line="409" w:lineRule="atLeast"/>
        <w:ind w:left="0" w:firstLine="0"/>
        <w:jc w:val="center"/>
        <w:rPr>
          <w:rFonts w:ascii="黑体" w:hAnsi="宋体" w:eastAsia="黑体" w:cs="黑体"/>
          <w:b/>
          <w:bCs/>
          <w:i w:val="0"/>
          <w:iCs w:val="0"/>
          <w:caps w:val="0"/>
          <w:color w:val="auto"/>
          <w:spacing w:val="0"/>
          <w:kern w:val="0"/>
          <w:sz w:val="31"/>
          <w:szCs w:val="31"/>
          <w:shd w:val="clear" w:fill="FFFFFF"/>
          <w:lang w:val="en-US" w:eastAsia="zh-CN" w:bidi="ar"/>
        </w:rPr>
      </w:pPr>
    </w:p>
    <w:p>
      <w:pPr>
        <w:keepNext w:val="0"/>
        <w:keepLines w:val="0"/>
        <w:widowControl/>
        <w:suppressLineNumbers w:val="0"/>
        <w:shd w:val="clear"/>
        <w:wordWrap w:val="0"/>
        <w:spacing w:line="409" w:lineRule="atLeast"/>
        <w:ind w:left="0" w:firstLine="0"/>
        <w:jc w:val="center"/>
        <w:rPr>
          <w:rFonts w:ascii="黑体" w:hAnsi="宋体" w:eastAsia="黑体" w:cs="黑体"/>
          <w:b/>
          <w:bCs/>
          <w:i w:val="0"/>
          <w:iCs w:val="0"/>
          <w:caps w:val="0"/>
          <w:color w:val="auto"/>
          <w:spacing w:val="0"/>
          <w:kern w:val="0"/>
          <w:sz w:val="31"/>
          <w:szCs w:val="31"/>
          <w:shd w:val="clear" w:fill="FFFFFF"/>
          <w:lang w:val="en-US" w:eastAsia="zh-CN" w:bidi="ar"/>
        </w:rPr>
      </w:pPr>
    </w:p>
    <w:p>
      <w:pPr>
        <w:keepNext w:val="0"/>
        <w:keepLines w:val="0"/>
        <w:widowControl/>
        <w:suppressLineNumbers w:val="0"/>
        <w:shd w:val="clear"/>
        <w:wordWrap w:val="0"/>
        <w:spacing w:line="409" w:lineRule="atLeast"/>
        <w:ind w:left="0" w:firstLine="0"/>
        <w:jc w:val="center"/>
        <w:rPr>
          <w:rFonts w:ascii="黑体" w:hAnsi="宋体" w:eastAsia="黑体" w:cs="黑体"/>
          <w:b/>
          <w:bCs/>
          <w:i w:val="0"/>
          <w:iCs w:val="0"/>
          <w:caps w:val="0"/>
          <w:color w:val="auto"/>
          <w:spacing w:val="0"/>
          <w:kern w:val="0"/>
          <w:sz w:val="31"/>
          <w:szCs w:val="31"/>
          <w:shd w:val="clear" w:fill="FFFFFF"/>
          <w:lang w:val="en-US" w:eastAsia="zh-CN" w:bidi="ar"/>
        </w:rPr>
      </w:pPr>
    </w:p>
    <w:p>
      <w:pPr>
        <w:keepNext w:val="0"/>
        <w:keepLines w:val="0"/>
        <w:widowControl/>
        <w:suppressLineNumbers w:val="0"/>
        <w:shd w:val="clear"/>
        <w:wordWrap w:val="0"/>
        <w:spacing w:line="409" w:lineRule="atLeast"/>
        <w:ind w:left="0" w:firstLine="0"/>
        <w:jc w:val="center"/>
        <w:rPr>
          <w:rFonts w:ascii="黑体" w:hAnsi="宋体" w:eastAsia="黑体" w:cs="黑体"/>
          <w:b/>
          <w:bCs/>
          <w:i w:val="0"/>
          <w:iCs w:val="0"/>
          <w:caps w:val="0"/>
          <w:color w:val="auto"/>
          <w:spacing w:val="0"/>
          <w:kern w:val="0"/>
          <w:sz w:val="31"/>
          <w:szCs w:val="31"/>
          <w:shd w:val="clear" w:fill="FFFFFF"/>
          <w:lang w:val="en-US" w:eastAsia="zh-CN" w:bidi="ar"/>
        </w:rPr>
      </w:pPr>
    </w:p>
    <w:p>
      <w:pPr>
        <w:keepNext w:val="0"/>
        <w:keepLines w:val="0"/>
        <w:widowControl/>
        <w:suppressLineNumbers w:val="0"/>
        <w:shd w:val="clear"/>
        <w:wordWrap w:val="0"/>
        <w:spacing w:line="409" w:lineRule="atLeast"/>
        <w:ind w:left="0" w:firstLine="0"/>
        <w:jc w:val="center"/>
        <w:rPr>
          <w:rFonts w:ascii="黑体" w:hAnsi="宋体" w:eastAsia="黑体" w:cs="黑体"/>
          <w:b/>
          <w:bCs/>
          <w:i w:val="0"/>
          <w:iCs w:val="0"/>
          <w:caps w:val="0"/>
          <w:color w:val="auto"/>
          <w:spacing w:val="0"/>
          <w:kern w:val="0"/>
          <w:sz w:val="31"/>
          <w:szCs w:val="31"/>
          <w:shd w:val="clear" w:fill="FFFFFF"/>
          <w:lang w:val="en-US" w:eastAsia="zh-CN" w:bidi="ar"/>
        </w:rPr>
      </w:pPr>
    </w:p>
    <w:p>
      <w:pPr>
        <w:keepNext w:val="0"/>
        <w:keepLines w:val="0"/>
        <w:widowControl/>
        <w:suppressLineNumbers w:val="0"/>
        <w:shd w:val="clear"/>
        <w:wordWrap w:val="0"/>
        <w:spacing w:line="409" w:lineRule="atLeast"/>
        <w:ind w:left="0" w:firstLine="0"/>
        <w:jc w:val="center"/>
        <w:rPr>
          <w:rFonts w:ascii="黑体" w:hAnsi="宋体" w:eastAsia="黑体" w:cs="黑体"/>
          <w:b/>
          <w:bCs/>
          <w:i w:val="0"/>
          <w:iCs w:val="0"/>
          <w:caps w:val="0"/>
          <w:color w:val="auto"/>
          <w:spacing w:val="0"/>
          <w:kern w:val="0"/>
          <w:sz w:val="31"/>
          <w:szCs w:val="31"/>
          <w:shd w:val="clear" w:fill="FFFFFF"/>
          <w:lang w:val="en-US" w:eastAsia="zh-CN" w:bidi="ar"/>
        </w:rPr>
      </w:pPr>
    </w:p>
    <w:p>
      <w:pPr>
        <w:keepNext w:val="0"/>
        <w:keepLines w:val="0"/>
        <w:widowControl/>
        <w:suppressLineNumbers w:val="0"/>
        <w:shd w:val="clear"/>
        <w:wordWrap w:val="0"/>
        <w:spacing w:line="409" w:lineRule="atLeast"/>
        <w:ind w:left="0" w:firstLine="0"/>
        <w:jc w:val="center"/>
        <w:rPr>
          <w:rFonts w:ascii="黑体" w:hAnsi="宋体" w:eastAsia="黑体" w:cs="黑体"/>
          <w:b/>
          <w:bCs/>
          <w:i w:val="0"/>
          <w:iCs w:val="0"/>
          <w:caps w:val="0"/>
          <w:color w:val="auto"/>
          <w:spacing w:val="0"/>
          <w:kern w:val="0"/>
          <w:sz w:val="31"/>
          <w:szCs w:val="31"/>
          <w:shd w:val="clear" w:fill="FFFFFF"/>
          <w:lang w:val="en-US" w:eastAsia="zh-CN" w:bidi="ar"/>
        </w:rPr>
      </w:pPr>
    </w:p>
    <w:p>
      <w:pPr>
        <w:keepNext w:val="0"/>
        <w:keepLines w:val="0"/>
        <w:widowControl/>
        <w:suppressLineNumbers w:val="0"/>
        <w:shd w:val="clear"/>
        <w:wordWrap w:val="0"/>
        <w:spacing w:line="409" w:lineRule="atLeast"/>
        <w:ind w:left="0" w:firstLine="0"/>
        <w:jc w:val="center"/>
        <w:rPr>
          <w:rFonts w:ascii="黑体" w:hAnsi="宋体" w:eastAsia="黑体" w:cs="黑体"/>
          <w:b/>
          <w:bCs/>
          <w:i w:val="0"/>
          <w:iCs w:val="0"/>
          <w:caps w:val="0"/>
          <w:color w:val="auto"/>
          <w:spacing w:val="0"/>
          <w:kern w:val="0"/>
          <w:sz w:val="31"/>
          <w:szCs w:val="31"/>
          <w:shd w:val="clear" w:fill="FFFFFF"/>
          <w:lang w:val="en-US" w:eastAsia="zh-CN" w:bidi="ar"/>
        </w:rPr>
      </w:pPr>
    </w:p>
    <w:p>
      <w:pPr>
        <w:keepNext w:val="0"/>
        <w:keepLines w:val="0"/>
        <w:widowControl/>
        <w:suppressLineNumbers w:val="0"/>
        <w:shd w:val="clear"/>
        <w:wordWrap w:val="0"/>
        <w:spacing w:line="409" w:lineRule="atLeast"/>
        <w:ind w:left="0" w:firstLine="0"/>
        <w:jc w:val="center"/>
        <w:rPr>
          <w:rFonts w:ascii="黑体" w:hAnsi="宋体" w:eastAsia="黑体" w:cs="黑体"/>
          <w:b/>
          <w:bCs/>
          <w:i w:val="0"/>
          <w:iCs w:val="0"/>
          <w:caps w:val="0"/>
          <w:color w:val="auto"/>
          <w:spacing w:val="0"/>
          <w:kern w:val="0"/>
          <w:sz w:val="31"/>
          <w:szCs w:val="31"/>
          <w:shd w:val="clear" w:fill="FFFFFF"/>
          <w:lang w:val="en-US" w:eastAsia="zh-CN" w:bidi="ar"/>
        </w:rPr>
      </w:pPr>
    </w:p>
    <w:p>
      <w:pPr>
        <w:pStyle w:val="2"/>
        <w:rPr>
          <w:lang w:val="en-US" w:eastAsia="zh-CN"/>
        </w:rPr>
      </w:pPr>
    </w:p>
    <w:p>
      <w:pPr>
        <w:keepNext w:val="0"/>
        <w:keepLines w:val="0"/>
        <w:widowControl/>
        <w:suppressLineNumbers w:val="0"/>
        <w:shd w:val="clear"/>
        <w:wordWrap w:val="0"/>
        <w:spacing w:line="409" w:lineRule="atLeast"/>
        <w:ind w:left="0" w:firstLine="0"/>
        <w:jc w:val="center"/>
        <w:rPr>
          <w:rFonts w:ascii="黑体" w:hAnsi="宋体" w:eastAsia="黑体" w:cs="黑体"/>
          <w:b/>
          <w:bCs/>
          <w:i w:val="0"/>
          <w:iCs w:val="0"/>
          <w:caps w:val="0"/>
          <w:color w:val="auto"/>
          <w:spacing w:val="0"/>
          <w:kern w:val="0"/>
          <w:sz w:val="31"/>
          <w:szCs w:val="31"/>
          <w:shd w:val="clear" w:fill="FFFFFF"/>
          <w:lang w:val="en-US" w:eastAsia="zh-CN" w:bidi="ar"/>
        </w:rPr>
      </w:pPr>
    </w:p>
    <w:p>
      <w:pPr>
        <w:keepNext w:val="0"/>
        <w:keepLines w:val="0"/>
        <w:widowControl/>
        <w:suppressLineNumbers w:val="0"/>
        <w:shd w:val="clear"/>
        <w:wordWrap w:val="0"/>
        <w:spacing w:line="409" w:lineRule="atLeast"/>
        <w:ind w:left="0" w:firstLine="0"/>
        <w:jc w:val="center"/>
        <w:rPr>
          <w:rFonts w:ascii="黑体" w:hAnsi="宋体" w:eastAsia="黑体" w:cs="黑体"/>
          <w:b/>
          <w:bCs/>
          <w:i w:val="0"/>
          <w:iCs w:val="0"/>
          <w:caps w:val="0"/>
          <w:color w:val="auto"/>
          <w:spacing w:val="0"/>
          <w:kern w:val="0"/>
          <w:sz w:val="31"/>
          <w:szCs w:val="31"/>
          <w:shd w:val="clear" w:fill="FFFFFF"/>
          <w:lang w:val="en-US" w:eastAsia="zh-CN" w:bidi="ar"/>
        </w:rPr>
      </w:pPr>
    </w:p>
    <w:p>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仿宋_GB2312" w:hAnsi="仿宋_GB2312" w:eastAsia="仿宋_GB2312" w:cs="仿宋_GB2312"/>
          <w:b/>
          <w:bCs w:val="0"/>
          <w:kern w:val="0"/>
          <w:sz w:val="36"/>
          <w:szCs w:val="36"/>
          <w:highlight w:val="none"/>
        </w:rPr>
        <w:t>目  录</w:t>
      </w:r>
    </w:p>
    <w:p>
      <w:pPr>
        <w:pStyle w:val="5"/>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部门（单位）概况</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5"/>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5"/>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5"/>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keepNext w:val="0"/>
        <w:keepLines w:val="0"/>
        <w:pageBreakBefore w:val="0"/>
        <w:widowControl w:val="0"/>
        <w:suppressLineNumbers w:val="0"/>
        <w:shd w:val="clear"/>
        <w:kinsoku/>
        <w:wordWrap/>
        <w:overflowPunct/>
        <w:topLinePunct w:val="0"/>
        <w:autoSpaceDE/>
        <w:autoSpaceDN/>
        <w:bidi w:val="0"/>
        <w:adjustRightInd/>
        <w:snapToGrid/>
        <w:spacing w:line="560" w:lineRule="exact"/>
        <w:ind w:left="0" w:firstLine="0"/>
        <w:jc w:val="center"/>
        <w:textAlignment w:val="auto"/>
        <w:rPr>
          <w:rFonts w:ascii="黑体" w:hAnsi="宋体" w:eastAsia="黑体" w:cs="黑体"/>
          <w:i w:val="0"/>
          <w:iCs w:val="0"/>
          <w:caps w:val="0"/>
          <w:color w:val="auto"/>
          <w:spacing w:val="0"/>
          <w:kern w:val="0"/>
          <w:sz w:val="31"/>
          <w:szCs w:val="31"/>
          <w:shd w:val="clear" w:fill="FFFFFF"/>
          <w:lang w:val="en-US" w:eastAsia="zh-CN" w:bidi="ar"/>
        </w:rPr>
      </w:pPr>
      <w:r>
        <w:rPr>
          <w:rFonts w:hint="eastAsia" w:ascii="仿宋_GB2312" w:hAnsi="仿宋_GB2312" w:eastAsia="仿宋_GB2312" w:cs="仿宋_GB2312"/>
          <w:sz w:val="32"/>
          <w:szCs w:val="32"/>
          <w:highlight w:val="none"/>
        </w:rPr>
        <w:fldChar w:fldCharType="end"/>
      </w:r>
      <w:r>
        <w:rPr>
          <w:rFonts w:hint="eastAsia" w:ascii="仿宋_GB2312" w:eastAsia="仿宋_GB2312"/>
          <w:sz w:val="32"/>
          <w:szCs w:val="32"/>
          <w:highlight w:val="none"/>
        </w:rPr>
        <w:br w:type="page"/>
      </w:r>
    </w:p>
    <w:p>
      <w:pPr>
        <w:keepNext w:val="0"/>
        <w:keepLines w:val="0"/>
        <w:pageBreakBefore w:val="0"/>
        <w:widowControl w:val="0"/>
        <w:kinsoku/>
        <w:wordWrap/>
        <w:overflowPunct/>
        <w:topLinePunct w:val="0"/>
        <w:autoSpaceDE/>
        <w:autoSpaceDN/>
        <w:bidi w:val="0"/>
        <w:adjustRightInd/>
        <w:snapToGrid/>
        <w:ind w:left="0" w:leftChars="0"/>
        <w:jc w:val="center"/>
        <w:textAlignment w:val="auto"/>
        <w:rPr>
          <w:rFonts w:hint="eastAsia" w:ascii="黑体" w:hAnsi="黑体" w:eastAsia="黑体"/>
          <w:sz w:val="32"/>
          <w:szCs w:val="32"/>
          <w:highlight w:val="none"/>
        </w:rPr>
      </w:pPr>
      <w:bookmarkStart w:id="0" w:name="_Toc24028"/>
      <w:bookmarkStart w:id="1" w:name="_Toc31918"/>
      <w:bookmarkStart w:id="2" w:name="_Toc30567"/>
      <w:bookmarkStart w:id="3" w:name="_Toc30738"/>
      <w:r>
        <w:rPr>
          <w:rFonts w:hint="eastAsia" w:ascii="黑体" w:hAnsi="黑体" w:eastAsia="黑体"/>
          <w:sz w:val="32"/>
          <w:szCs w:val="32"/>
          <w:highlight w:val="none"/>
        </w:rPr>
        <w:t>第一部分 部门（单位）概况</w:t>
      </w:r>
      <w:bookmarkEnd w:id="0"/>
      <w:bookmarkEnd w:id="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黑体" w:cs="宋体"/>
          <w:bCs/>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Times New Roman" w:eastAsia="仿宋_GB2312" w:cs="Times New Roman"/>
          <w:sz w:val="32"/>
          <w:szCs w:val="32"/>
          <w:highlight w:val="none"/>
        </w:rPr>
      </w:pPr>
      <w:r>
        <w:rPr>
          <w:rFonts w:hint="default" w:ascii="仿宋_GB2312" w:hAnsi="Times New Roman" w:eastAsia="仿宋_GB2312" w:cs="Times New Roman"/>
          <w:sz w:val="32"/>
          <w:szCs w:val="32"/>
          <w:highlight w:val="none"/>
        </w:rPr>
        <w:t>中共库尔勒市委员会组织部负责党的建设和组织工作研究；党的组织建设；基层组织和党员队伍建设；领导班子和领导干部队伍特别是优秀年轻干部队伍建设；公务员队伍建设；人才工作；干部队伍建设宏观指导和干部教育培训；管理监督工作、干部人才援疆工作；统一管理中共库尔勒市委员会机构编制委员会办公室，归口管理中共库尔勒市老干部局；完成市党委交办的其他任务。</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ascii="黑体" w:hAnsi="宋体" w:eastAsia="黑体" w:cs="黑体"/>
          <w:i w:val="0"/>
          <w:iCs w:val="0"/>
          <w:caps w:val="0"/>
          <w:color w:val="auto"/>
          <w:spacing w:val="0"/>
          <w:sz w:val="31"/>
          <w:szCs w:val="31"/>
        </w:rPr>
      </w:pPr>
      <w:r>
        <w:rPr>
          <w:rFonts w:ascii="黑体" w:hAnsi="宋体" w:eastAsia="黑体" w:cs="黑体"/>
          <w:i w:val="0"/>
          <w:iCs w:val="0"/>
          <w:caps w:val="0"/>
          <w:color w:val="auto"/>
          <w:spacing w:val="0"/>
          <w:kern w:val="0"/>
          <w:sz w:val="31"/>
          <w:szCs w:val="31"/>
          <w:shd w:val="clear" w:fill="FFFFFF"/>
          <w:lang w:val="en-US" w:eastAsia="zh-CN" w:bidi="ar"/>
        </w:rPr>
        <w:t>二、机构设置及人员情况​</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hint="default" w:ascii="仿宋_GB2312" w:hAnsi="仿宋_GB2312" w:eastAsia="仿宋_GB2312" w:cs="仿宋_GB2312"/>
          <w:i w:val="0"/>
          <w:iCs w:val="0"/>
          <w:caps w:val="0"/>
          <w:color w:val="auto"/>
          <w:spacing w:val="0"/>
          <w:kern w:val="0"/>
          <w:sz w:val="31"/>
          <w:szCs w:val="31"/>
          <w:shd w:val="clear" w:fill="FFFFFF"/>
          <w:lang w:val="en-US" w:eastAsia="zh-CN" w:bidi="ar"/>
        </w:rPr>
      </w:pPr>
      <w:r>
        <w:rPr>
          <w:rFonts w:ascii="仿宋_GB2312" w:hAnsi="仿宋_GB2312" w:eastAsia="仿宋_GB2312" w:cs="仿宋_GB2312"/>
          <w:i w:val="0"/>
          <w:iCs w:val="0"/>
          <w:caps w:val="0"/>
          <w:color w:val="auto"/>
          <w:spacing w:val="0"/>
          <w:kern w:val="0"/>
          <w:sz w:val="31"/>
          <w:szCs w:val="31"/>
          <w:shd w:val="clear" w:fill="FFFFFF"/>
          <w:lang w:val="en-US" w:eastAsia="zh-CN" w:bidi="ar"/>
        </w:rPr>
        <w:t>中共库尔勒市委员会组织部2024年度，实有人数50人，其中：在职人员50人，增加2人；离休人员0人，较上年无变化；退休人员0人，较上年无变化；</w:t>
      </w:r>
      <w:r>
        <w:rPr>
          <w:rFonts w:hint="default" w:ascii="仿宋_GB2312" w:hAnsi="Times New Roman" w:eastAsia="仿宋_GB2312" w:cs="Times New Roman"/>
          <w:sz w:val="32"/>
          <w:szCs w:val="32"/>
          <w:highlight w:val="none"/>
        </w:rPr>
        <w:t>单位无下属预算单位，下设</w:t>
      </w:r>
      <w:r>
        <w:rPr>
          <w:rFonts w:hint="default" w:ascii="仿宋_GB2312" w:hAnsi="Times New Roman" w:eastAsia="仿宋_GB2312" w:cs="Times New Roman"/>
          <w:sz w:val="32"/>
          <w:szCs w:val="32"/>
          <w:highlight w:val="none"/>
          <w:lang w:val="en-US" w:eastAsia="zh-CN"/>
        </w:rPr>
        <w:t>10</w:t>
      </w:r>
      <w:r>
        <w:rPr>
          <w:rFonts w:hint="default" w:ascii="仿宋_GB2312" w:hAnsi="Times New Roman" w:eastAsia="仿宋_GB2312" w:cs="Times New Roman"/>
          <w:sz w:val="32"/>
          <w:szCs w:val="32"/>
          <w:highlight w:val="none"/>
        </w:rPr>
        <w:t>个处室，分别是：办公室、信息调研室、组织一室（党代表联络办）、组织二室（基层办）、组织三室（社区党建办）、组织四室（新兴组织办）、干部一室、干部二室（举报中心）、干部三室、干部四室</w:t>
      </w:r>
      <w:r>
        <w:rPr>
          <w:rFonts w:hint="default" w:ascii="仿宋_GB2312" w:hAnsi="仿宋_GB2312" w:eastAsia="仿宋_GB2312" w:cs="仿宋_GB2312"/>
          <w:i w:val="0"/>
          <w:iCs w:val="0"/>
          <w:caps w:val="0"/>
          <w:color w:val="auto"/>
          <w:spacing w:val="0"/>
          <w:kern w:val="0"/>
          <w:sz w:val="31"/>
          <w:szCs w:val="31"/>
          <w:shd w:val="clear" w:fill="FFFFFF"/>
          <w:lang w:val="en-US" w:eastAsia="zh-CN" w:bidi="ar"/>
        </w:rPr>
        <w:t>。</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ascii="仿宋_GB2312" w:hAnsi="仿宋_GB2312" w:eastAsia="仿宋_GB2312" w:cs="仿宋_GB2312"/>
          <w:i w:val="0"/>
          <w:iCs w:val="0"/>
          <w:caps w:val="0"/>
          <w:color w:val="auto"/>
          <w:spacing w:val="0"/>
          <w:kern w:val="0"/>
          <w:sz w:val="31"/>
          <w:szCs w:val="31"/>
          <w:shd w:val="clear" w:fill="FFFFFF"/>
          <w:lang w:val="en-US" w:eastAsia="zh-CN" w:bidi="ar"/>
        </w:rPr>
      </w:pPr>
    </w:p>
    <w:p>
      <w:pPr>
        <w:pStyle w:val="2"/>
        <w:rPr>
          <w:rFonts w:ascii="仿宋_GB2312" w:hAnsi="仿宋_GB2312" w:eastAsia="仿宋_GB2312" w:cs="仿宋_GB2312"/>
          <w:i w:val="0"/>
          <w:iCs w:val="0"/>
          <w:caps w:val="0"/>
          <w:color w:val="auto"/>
          <w:spacing w:val="0"/>
          <w:kern w:val="0"/>
          <w:sz w:val="31"/>
          <w:szCs w:val="31"/>
          <w:shd w:val="clear" w:fill="FFFFFF"/>
          <w:lang w:val="en-US" w:eastAsia="zh-CN" w:bidi="ar"/>
        </w:rPr>
      </w:pPr>
    </w:p>
    <w:p>
      <w:pPr>
        <w:rPr>
          <w:rFonts w:ascii="仿宋_GB2312" w:hAnsi="仿宋_GB2312" w:eastAsia="仿宋_GB2312" w:cs="仿宋_GB2312"/>
          <w:i w:val="0"/>
          <w:iCs w:val="0"/>
          <w:caps w:val="0"/>
          <w:color w:val="auto"/>
          <w:spacing w:val="0"/>
          <w:kern w:val="0"/>
          <w:sz w:val="31"/>
          <w:szCs w:val="31"/>
          <w:shd w:val="clear" w:fill="FFFFFF"/>
          <w:lang w:val="en-US" w:eastAsia="zh-CN" w:bidi="ar"/>
        </w:rPr>
      </w:pPr>
    </w:p>
    <w:p>
      <w:pPr>
        <w:pStyle w:val="2"/>
        <w:rPr>
          <w:lang w:val="en-US" w:eastAsia="zh-CN"/>
        </w:rPr>
      </w:pPr>
    </w:p>
    <w:p>
      <w:pPr>
        <w:keepNext w:val="0"/>
        <w:keepLines w:val="0"/>
        <w:widowControl/>
        <w:suppressLineNumbers w:val="0"/>
        <w:shd w:val="clear"/>
        <w:wordWrap w:val="0"/>
        <w:spacing w:line="409" w:lineRule="atLeast"/>
        <w:ind w:left="0" w:firstLine="0"/>
        <w:jc w:val="center"/>
        <w:rPr>
          <w:rFonts w:ascii="黑体" w:hAnsi="宋体" w:eastAsia="黑体" w:cs="黑体"/>
          <w:i w:val="0"/>
          <w:iCs w:val="0"/>
          <w:caps w:val="0"/>
          <w:color w:val="auto"/>
          <w:spacing w:val="0"/>
          <w:kern w:val="0"/>
          <w:sz w:val="31"/>
          <w:szCs w:val="31"/>
          <w:shd w:val="clear" w:fill="FFFFFF"/>
          <w:lang w:val="en-US" w:eastAsia="zh-CN" w:bidi="ar"/>
        </w:rPr>
      </w:pPr>
    </w:p>
    <w:p>
      <w:pPr>
        <w:rPr>
          <w:lang w:val="en-US" w:eastAsia="zh-CN"/>
        </w:rPr>
      </w:pPr>
    </w:p>
    <w:p>
      <w:pPr>
        <w:keepNext w:val="0"/>
        <w:keepLines w:val="0"/>
        <w:widowControl/>
        <w:suppressLineNumbers w:val="0"/>
        <w:shd w:val="clear"/>
        <w:wordWrap w:val="0"/>
        <w:spacing w:line="409" w:lineRule="atLeast"/>
        <w:ind w:left="0" w:firstLine="0"/>
        <w:jc w:val="center"/>
        <w:rPr>
          <w:rFonts w:ascii="黑体" w:hAnsi="宋体" w:eastAsia="黑体" w:cs="黑体"/>
          <w:i w:val="0"/>
          <w:iCs w:val="0"/>
          <w:caps w:val="0"/>
          <w:color w:val="auto"/>
          <w:spacing w:val="0"/>
          <w:sz w:val="31"/>
          <w:szCs w:val="31"/>
        </w:rPr>
      </w:pPr>
      <w:r>
        <w:rPr>
          <w:rFonts w:ascii="黑体" w:hAnsi="宋体" w:eastAsia="黑体" w:cs="黑体"/>
          <w:i w:val="0"/>
          <w:iCs w:val="0"/>
          <w:caps w:val="0"/>
          <w:color w:val="auto"/>
          <w:spacing w:val="0"/>
          <w:kern w:val="0"/>
          <w:sz w:val="31"/>
          <w:szCs w:val="31"/>
          <w:shd w:val="clear" w:fill="FFFFFF"/>
          <w:lang w:val="en-US" w:eastAsia="zh-CN" w:bidi="ar"/>
        </w:rPr>
        <w:t>第二部分 部门决算情况说明</w:t>
      </w:r>
    </w:p>
    <w:p>
      <w:pPr>
        <w:keepNext w:val="0"/>
        <w:keepLines w:val="0"/>
        <w:widowControl/>
        <w:suppressLineNumbers w:val="0"/>
        <w:shd w:val="clear"/>
        <w:wordWrap w:val="0"/>
        <w:spacing w:line="409" w:lineRule="atLeast"/>
        <w:ind w:left="0" w:firstLine="630"/>
        <w:jc w:val="left"/>
        <w:rPr>
          <w:rFonts w:ascii="黑体" w:hAnsi="宋体" w:eastAsia="黑体" w:cs="黑体"/>
          <w:i w:val="0"/>
          <w:iCs w:val="0"/>
          <w:caps w:val="0"/>
          <w:color w:val="auto"/>
          <w:spacing w:val="0"/>
          <w:kern w:val="0"/>
          <w:sz w:val="31"/>
          <w:szCs w:val="31"/>
          <w:shd w:val="clear" w:fill="FFFFFF"/>
          <w:lang w:val="en-US" w:eastAsia="zh-CN" w:bidi="ar"/>
        </w:rPr>
      </w:pP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ascii="黑体" w:hAnsi="宋体" w:eastAsia="黑体" w:cs="黑体"/>
          <w:i w:val="0"/>
          <w:iCs w:val="0"/>
          <w:caps w:val="0"/>
          <w:color w:val="auto"/>
          <w:spacing w:val="0"/>
          <w:sz w:val="31"/>
          <w:szCs w:val="31"/>
        </w:rPr>
      </w:pPr>
      <w:r>
        <w:rPr>
          <w:rFonts w:ascii="黑体" w:hAnsi="宋体" w:eastAsia="黑体" w:cs="黑体"/>
          <w:i w:val="0"/>
          <w:iCs w:val="0"/>
          <w:caps w:val="0"/>
          <w:color w:val="auto"/>
          <w:spacing w:val="0"/>
          <w:kern w:val="0"/>
          <w:sz w:val="31"/>
          <w:szCs w:val="31"/>
          <w:shd w:val="clear" w:fill="FFFFFF"/>
          <w:lang w:val="en-US" w:eastAsia="zh-CN" w:bidi="ar"/>
        </w:rPr>
        <w:t>一、收入支出决算总体情况说明</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ascii="仿宋_GB2312" w:hAnsi="仿宋_GB2312" w:eastAsia="仿宋_GB2312" w:cs="仿宋_GB2312"/>
          <w:i w:val="0"/>
          <w:iCs w:val="0"/>
          <w:caps w:val="0"/>
          <w:color w:val="auto"/>
          <w:spacing w:val="0"/>
          <w:sz w:val="31"/>
          <w:szCs w:val="31"/>
        </w:rPr>
      </w:pPr>
      <w:r>
        <w:rPr>
          <w:rFonts w:ascii="仿宋_GB2312" w:hAnsi="仿宋_GB2312" w:eastAsia="仿宋_GB2312" w:cs="仿宋_GB2312"/>
          <w:i w:val="0"/>
          <w:iCs w:val="0"/>
          <w:caps w:val="0"/>
          <w:color w:val="auto"/>
          <w:spacing w:val="0"/>
          <w:kern w:val="0"/>
          <w:sz w:val="31"/>
          <w:szCs w:val="31"/>
          <w:shd w:val="clear" w:fill="FFFFFF"/>
          <w:lang w:val="en-US" w:eastAsia="zh-CN" w:bidi="ar"/>
        </w:rPr>
        <w:t>2024年度收入总计5,267.33万元，其中：本年收入合计5,267.33万元，使用非财政拨款结余（含专用结余）0万元，年初结转和结余0万元。</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ascii="仿宋_GB2312" w:hAnsi="仿宋_GB2312" w:eastAsia="仿宋_GB2312" w:cs="仿宋_GB2312"/>
          <w:i w:val="0"/>
          <w:iCs w:val="0"/>
          <w:caps w:val="0"/>
          <w:color w:val="auto"/>
          <w:spacing w:val="0"/>
          <w:sz w:val="31"/>
          <w:szCs w:val="31"/>
        </w:rPr>
      </w:pPr>
      <w:r>
        <w:rPr>
          <w:rFonts w:ascii="仿宋_GB2312" w:hAnsi="仿宋_GB2312" w:eastAsia="仿宋_GB2312" w:cs="仿宋_GB2312"/>
          <w:i w:val="0"/>
          <w:iCs w:val="0"/>
          <w:caps w:val="0"/>
          <w:color w:val="auto"/>
          <w:spacing w:val="0"/>
          <w:kern w:val="0"/>
          <w:sz w:val="31"/>
          <w:szCs w:val="31"/>
          <w:shd w:val="clear" w:fill="FFFFFF"/>
          <w:lang w:val="en-US" w:eastAsia="zh-CN" w:bidi="ar"/>
        </w:rPr>
        <w:t>2024年度支出总计5,267.33万元，其中：本年支出合计5,267.33万元，结余分配0万元，年末结转和结余0万元。</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hint="eastAsia" w:ascii="Times New Roman" w:hAnsi="Times New Roman" w:eastAsia="方正仿宋_GBK" w:cs="Times New Roman"/>
          <w:color w:val="000000"/>
          <w:spacing w:val="4"/>
          <w:sz w:val="31"/>
          <w:szCs w:val="31"/>
          <w:highlight w:val="none"/>
          <w:lang w:val="en-US" w:eastAsia="zh-CN"/>
        </w:rPr>
      </w:pPr>
      <w:r>
        <w:rPr>
          <w:rFonts w:ascii="仿宋_GB2312" w:hAnsi="仿宋_GB2312" w:eastAsia="仿宋_GB2312" w:cs="仿宋_GB2312"/>
          <w:i w:val="0"/>
          <w:iCs w:val="0"/>
          <w:caps w:val="0"/>
          <w:color w:val="auto"/>
          <w:spacing w:val="0"/>
          <w:kern w:val="0"/>
          <w:sz w:val="31"/>
          <w:szCs w:val="31"/>
          <w:shd w:val="clear" w:fill="FFFFFF"/>
          <w:lang w:val="en-US" w:eastAsia="zh-CN" w:bidi="ar"/>
        </w:rPr>
        <w:t>收入支出总体与上年相比，增加2,311.22万元，增长78.18%，主要原因是：</w:t>
      </w:r>
      <w:r>
        <w:rPr>
          <w:rFonts w:hint="eastAsia" w:ascii="Times New Roman" w:hAnsi="Times New Roman" w:eastAsia="方正仿宋_GBK" w:cs="Times New Roman"/>
          <w:color w:val="000000"/>
          <w:spacing w:val="4"/>
          <w:sz w:val="31"/>
          <w:szCs w:val="31"/>
          <w:highlight w:val="none"/>
          <w:lang w:val="en-US" w:eastAsia="zh-CN"/>
        </w:rPr>
        <w:t>一是基本支出中人员经费增加，主要为原来由各乡镇支出的村干部和村民小组长报酬近600余人的工资调整至市委组织部发放。二项目经费支出有所增加，对年度收支产生了较大影响。2024年其他收入为拨付的援疆资金，用于干部培训费用和两地互派学习费用。</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ascii="黑体" w:hAnsi="宋体" w:eastAsia="黑体" w:cs="黑体"/>
          <w:i w:val="0"/>
          <w:iCs w:val="0"/>
          <w:caps w:val="0"/>
          <w:color w:val="auto"/>
          <w:spacing w:val="0"/>
          <w:sz w:val="31"/>
          <w:szCs w:val="31"/>
        </w:rPr>
      </w:pPr>
      <w:r>
        <w:rPr>
          <w:rFonts w:ascii="黑体" w:hAnsi="宋体" w:eastAsia="黑体" w:cs="黑体"/>
          <w:i w:val="0"/>
          <w:iCs w:val="0"/>
          <w:caps w:val="0"/>
          <w:color w:val="auto"/>
          <w:spacing w:val="0"/>
          <w:kern w:val="0"/>
          <w:sz w:val="31"/>
          <w:szCs w:val="31"/>
          <w:shd w:val="clear" w:fill="FFFFFF"/>
          <w:lang w:val="en-US" w:eastAsia="zh-CN" w:bidi="ar"/>
        </w:rPr>
        <w:t>二、收入决算情况说明</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ascii="仿宋_GB2312" w:hAnsi="仿宋_GB2312" w:eastAsia="仿宋_GB2312" w:cs="仿宋_GB2312"/>
          <w:i w:val="0"/>
          <w:iCs w:val="0"/>
          <w:caps w:val="0"/>
          <w:color w:val="auto"/>
          <w:spacing w:val="0"/>
          <w:sz w:val="31"/>
          <w:szCs w:val="31"/>
        </w:rPr>
      </w:pPr>
      <w:r>
        <w:rPr>
          <w:rFonts w:ascii="仿宋_GB2312" w:hAnsi="仿宋_GB2312" w:eastAsia="仿宋_GB2312" w:cs="仿宋_GB2312"/>
          <w:i w:val="0"/>
          <w:iCs w:val="0"/>
          <w:caps w:val="0"/>
          <w:color w:val="auto"/>
          <w:spacing w:val="0"/>
          <w:kern w:val="0"/>
          <w:sz w:val="31"/>
          <w:szCs w:val="31"/>
          <w:shd w:val="clear" w:fill="FFFFFF"/>
          <w:lang w:val="en-US" w:eastAsia="zh-CN" w:bidi="ar"/>
        </w:rPr>
        <w:t>本年收入5,267.33万元，其中：财政拨款收入5,033.95万元,占95.57%；上级补助收入0万元,占0%；事业收入0万元，占0%；经营收入0万元,占0%；附属单位上缴收入0万元，占0%；其他收入233.38万元，占4.43%。</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ascii="黑体" w:hAnsi="宋体" w:eastAsia="黑体" w:cs="黑体"/>
          <w:i w:val="0"/>
          <w:iCs w:val="0"/>
          <w:caps w:val="0"/>
          <w:color w:val="auto"/>
          <w:spacing w:val="0"/>
          <w:sz w:val="31"/>
          <w:szCs w:val="31"/>
        </w:rPr>
      </w:pPr>
      <w:r>
        <w:rPr>
          <w:rFonts w:ascii="黑体" w:hAnsi="宋体" w:eastAsia="黑体" w:cs="黑体"/>
          <w:i w:val="0"/>
          <w:iCs w:val="0"/>
          <w:caps w:val="0"/>
          <w:color w:val="auto"/>
          <w:spacing w:val="0"/>
          <w:kern w:val="0"/>
          <w:sz w:val="31"/>
          <w:szCs w:val="31"/>
          <w:shd w:val="clear" w:fill="FFFFFF"/>
          <w:lang w:val="en-US" w:eastAsia="zh-CN" w:bidi="ar"/>
        </w:rPr>
        <w:t>三、支出决算情况说明</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ascii="仿宋_GB2312" w:hAnsi="仿宋_GB2312" w:eastAsia="仿宋_GB2312" w:cs="仿宋_GB2312"/>
          <w:i w:val="0"/>
          <w:iCs w:val="0"/>
          <w:caps w:val="0"/>
          <w:color w:val="auto"/>
          <w:spacing w:val="0"/>
          <w:sz w:val="31"/>
          <w:szCs w:val="31"/>
        </w:rPr>
      </w:pPr>
      <w:r>
        <w:rPr>
          <w:rFonts w:ascii="仿宋_GB2312" w:hAnsi="仿宋_GB2312" w:eastAsia="仿宋_GB2312" w:cs="仿宋_GB2312"/>
          <w:i w:val="0"/>
          <w:iCs w:val="0"/>
          <w:caps w:val="0"/>
          <w:color w:val="auto"/>
          <w:spacing w:val="0"/>
          <w:kern w:val="0"/>
          <w:sz w:val="31"/>
          <w:szCs w:val="31"/>
          <w:shd w:val="clear" w:fill="FFFFFF"/>
          <w:lang w:val="en-US" w:eastAsia="zh-CN" w:bidi="ar"/>
        </w:rPr>
        <w:t>本年支出5,267.33万元，其中：基本支出3,719.7万元，占70.62%；项目支出1,547.63万元，占29.38%；上缴上级支出0万元，占0%；经营支出0万元，占0%；对附属单位补助支出0万元，占0%。</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ascii="黑体" w:hAnsi="宋体" w:eastAsia="黑体" w:cs="黑体"/>
          <w:i w:val="0"/>
          <w:iCs w:val="0"/>
          <w:caps w:val="0"/>
          <w:color w:val="auto"/>
          <w:spacing w:val="0"/>
          <w:sz w:val="31"/>
          <w:szCs w:val="31"/>
        </w:rPr>
      </w:pPr>
      <w:r>
        <w:rPr>
          <w:rFonts w:ascii="黑体" w:hAnsi="宋体" w:eastAsia="黑体" w:cs="黑体"/>
          <w:i w:val="0"/>
          <w:iCs w:val="0"/>
          <w:caps w:val="0"/>
          <w:color w:val="auto"/>
          <w:spacing w:val="0"/>
          <w:kern w:val="0"/>
          <w:sz w:val="31"/>
          <w:szCs w:val="31"/>
          <w:shd w:val="clear" w:fill="FFFFFF"/>
          <w:lang w:val="en-US" w:eastAsia="zh-CN" w:bidi="ar"/>
        </w:rPr>
        <w:t>四、财政拨款收入支出决算总体情况说明</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ascii="仿宋_GB2312" w:hAnsi="仿宋_GB2312" w:eastAsia="仿宋_GB2312" w:cs="仿宋_GB2312"/>
          <w:i w:val="0"/>
          <w:iCs w:val="0"/>
          <w:caps w:val="0"/>
          <w:color w:val="auto"/>
          <w:spacing w:val="0"/>
          <w:sz w:val="31"/>
          <w:szCs w:val="31"/>
        </w:rPr>
      </w:pPr>
      <w:r>
        <w:rPr>
          <w:rFonts w:ascii="仿宋_GB2312" w:hAnsi="仿宋_GB2312" w:eastAsia="仿宋_GB2312" w:cs="仿宋_GB2312"/>
          <w:i w:val="0"/>
          <w:iCs w:val="0"/>
          <w:caps w:val="0"/>
          <w:color w:val="auto"/>
          <w:spacing w:val="0"/>
          <w:kern w:val="0"/>
          <w:sz w:val="31"/>
          <w:szCs w:val="31"/>
          <w:shd w:val="clear" w:fill="FFFFFF"/>
          <w:lang w:val="en-US" w:eastAsia="zh-CN" w:bidi="ar"/>
        </w:rPr>
        <w:t>2024年度财政拨款收入总计5,033.95万元，其中：年初财政拨款结转和结余0万元，本年财政拨款收入5,033.95万元。财政拨款支出总计5,033.95万元，其中：年末财政拨款结转和结余0万元，本年财政拨款支出5,033.95万元。</w:t>
      </w:r>
    </w:p>
    <w:p>
      <w:pPr>
        <w:keepNext w:val="0"/>
        <w:keepLines w:val="0"/>
        <w:pageBreakBefore w:val="0"/>
        <w:widowControl/>
        <w:kinsoku/>
        <w:wordWrap/>
        <w:overflowPunct/>
        <w:topLinePunct w:val="0"/>
        <w:autoSpaceDE/>
        <w:autoSpaceDN/>
        <w:bidi w:val="0"/>
        <w:adjustRightInd/>
        <w:spacing w:line="580" w:lineRule="exact"/>
        <w:ind w:firstLine="620" w:firstLineChars="200"/>
        <w:jc w:val="both"/>
        <w:textAlignment w:val="auto"/>
        <w:rPr>
          <w:rFonts w:ascii="仿宋_GB2312" w:hAnsi="仿宋_GB2312" w:eastAsia="仿宋_GB2312" w:cs="仿宋_GB2312"/>
          <w:i w:val="0"/>
          <w:iCs w:val="0"/>
          <w:caps w:val="0"/>
          <w:color w:val="auto"/>
          <w:spacing w:val="0"/>
          <w:sz w:val="31"/>
          <w:szCs w:val="31"/>
          <w:highlight w:val="none"/>
        </w:rPr>
      </w:pPr>
      <w:r>
        <w:rPr>
          <w:rFonts w:ascii="仿宋_GB2312" w:hAnsi="仿宋_GB2312" w:eastAsia="仿宋_GB2312" w:cs="仿宋_GB2312"/>
          <w:i w:val="0"/>
          <w:iCs w:val="0"/>
          <w:caps w:val="0"/>
          <w:color w:val="auto"/>
          <w:spacing w:val="0"/>
          <w:kern w:val="0"/>
          <w:sz w:val="31"/>
          <w:szCs w:val="31"/>
          <w:shd w:val="clear" w:fill="FFFFFF"/>
          <w:lang w:val="en-US" w:eastAsia="zh-CN" w:bidi="ar"/>
        </w:rPr>
        <w:t>财政拨款收</w:t>
      </w:r>
      <w:r>
        <w:rPr>
          <w:rFonts w:ascii="仿宋_GB2312" w:hAnsi="仿宋_GB2312" w:eastAsia="仿宋_GB2312" w:cs="仿宋_GB2312"/>
          <w:i w:val="0"/>
          <w:iCs w:val="0"/>
          <w:caps w:val="0"/>
          <w:color w:val="auto"/>
          <w:spacing w:val="0"/>
          <w:kern w:val="0"/>
          <w:sz w:val="31"/>
          <w:szCs w:val="31"/>
          <w:highlight w:val="none"/>
          <w:shd w:val="clear" w:fill="FFFFFF"/>
          <w:lang w:val="en-US" w:eastAsia="zh-CN" w:bidi="ar"/>
        </w:rPr>
        <w:t>入支出总体与上年相比，增加2,340.52万元，增长86.9%，主要原因是：</w:t>
      </w:r>
      <w:r>
        <w:rPr>
          <w:rFonts w:hint="eastAsia" w:ascii="仿宋_GB2312" w:hAnsi="仿宋_GB2312" w:eastAsia="仿宋_GB2312" w:cs="仿宋_GB2312"/>
          <w:i w:val="0"/>
          <w:iCs w:val="0"/>
          <w:caps w:val="0"/>
          <w:color w:val="auto"/>
          <w:spacing w:val="0"/>
          <w:kern w:val="0"/>
          <w:sz w:val="31"/>
          <w:szCs w:val="31"/>
          <w:highlight w:val="none"/>
          <w:shd w:val="clear" w:fill="FFFFFF"/>
          <w:lang w:val="en-US" w:eastAsia="zh-CN" w:bidi="ar"/>
        </w:rPr>
        <w:t>一是2024年原来由各乡镇支出的村干部和村民小组长报酬近600余人的工资调整至市委组织部发放，2024年1-12月共计发放金额为2381.60万元。</w:t>
      </w:r>
      <w:r>
        <w:rPr>
          <w:rFonts w:hint="eastAsia" w:ascii="Times New Roman" w:hAnsi="Times New Roman" w:eastAsia="方正仿宋_GBK" w:cs="Times New Roman"/>
          <w:color w:val="000000"/>
          <w:spacing w:val="4"/>
          <w:sz w:val="31"/>
          <w:szCs w:val="31"/>
          <w:highlight w:val="none"/>
          <w:lang w:val="en-US" w:eastAsia="zh-CN"/>
        </w:rPr>
        <w:t>二是项目经费支出有所增加，对年度收支产生了较大影响</w:t>
      </w:r>
      <w:r>
        <w:rPr>
          <w:rFonts w:ascii="仿宋_GB2312" w:hAnsi="仿宋_GB2312" w:eastAsia="仿宋_GB2312" w:cs="仿宋_GB2312"/>
          <w:i w:val="0"/>
          <w:iCs w:val="0"/>
          <w:caps w:val="0"/>
          <w:color w:val="auto"/>
          <w:spacing w:val="0"/>
          <w:kern w:val="0"/>
          <w:sz w:val="31"/>
          <w:szCs w:val="31"/>
          <w:highlight w:val="none"/>
          <w:shd w:val="clear" w:fill="FFFFFF"/>
          <w:lang w:val="en-US" w:eastAsia="zh-CN" w:bidi="ar"/>
        </w:rPr>
        <w:t>。与年初预算相比，年初预算数3,383.04万元，决算数5,033.95万元，预决算差异率48.8%，主要原因是：</w:t>
      </w:r>
      <w:r>
        <w:rPr>
          <w:rFonts w:hint="eastAsia" w:ascii="仿宋_GB2312" w:hAnsi="仿宋_GB2312" w:eastAsia="仿宋_GB2312" w:cs="仿宋_GB2312"/>
          <w:i w:val="0"/>
          <w:iCs w:val="0"/>
          <w:caps w:val="0"/>
          <w:color w:val="auto"/>
          <w:spacing w:val="0"/>
          <w:kern w:val="0"/>
          <w:sz w:val="31"/>
          <w:szCs w:val="31"/>
          <w:highlight w:val="none"/>
          <w:shd w:val="clear" w:fill="FFFFFF"/>
          <w:lang w:val="en-US" w:eastAsia="zh-CN" w:bidi="ar"/>
        </w:rPr>
        <w:t>一是2024年原来由各乡镇支出的村干部和村民小组长报酬近600余人的工资调整至市委组织部发放，2024年1-12月共计发放金额为2381.60万元。</w:t>
      </w:r>
      <w:r>
        <w:rPr>
          <w:rFonts w:hint="eastAsia" w:ascii="Times New Roman" w:hAnsi="Times New Roman" w:eastAsia="方正仿宋_GBK" w:cs="Times New Roman"/>
          <w:color w:val="000000"/>
          <w:spacing w:val="4"/>
          <w:sz w:val="31"/>
          <w:szCs w:val="31"/>
          <w:highlight w:val="none"/>
          <w:lang w:val="en-US" w:eastAsia="zh-CN"/>
        </w:rPr>
        <w:t>二是项目经费支出有所增加，对年度收支产生了较大影响</w:t>
      </w:r>
      <w:r>
        <w:rPr>
          <w:rFonts w:ascii="仿宋_GB2312" w:hAnsi="仿宋_GB2312" w:eastAsia="仿宋_GB2312" w:cs="仿宋_GB2312"/>
          <w:i w:val="0"/>
          <w:iCs w:val="0"/>
          <w:caps w:val="0"/>
          <w:color w:val="auto"/>
          <w:spacing w:val="0"/>
          <w:kern w:val="0"/>
          <w:sz w:val="31"/>
          <w:szCs w:val="31"/>
          <w:highlight w:val="none"/>
          <w:shd w:val="clear" w:fill="FFFFFF"/>
          <w:lang w:val="en-US" w:eastAsia="zh-CN" w:bidi="ar"/>
        </w:rPr>
        <w:t>。</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ascii="黑体" w:hAnsi="宋体" w:eastAsia="黑体" w:cs="黑体"/>
          <w:i w:val="0"/>
          <w:iCs w:val="0"/>
          <w:caps w:val="0"/>
          <w:color w:val="auto"/>
          <w:spacing w:val="0"/>
          <w:sz w:val="31"/>
          <w:szCs w:val="31"/>
          <w:highlight w:val="none"/>
        </w:rPr>
      </w:pPr>
      <w:r>
        <w:rPr>
          <w:rFonts w:ascii="黑体" w:hAnsi="宋体" w:eastAsia="黑体" w:cs="黑体"/>
          <w:i w:val="0"/>
          <w:iCs w:val="0"/>
          <w:caps w:val="0"/>
          <w:color w:val="auto"/>
          <w:spacing w:val="0"/>
          <w:kern w:val="0"/>
          <w:sz w:val="31"/>
          <w:szCs w:val="31"/>
          <w:highlight w:val="none"/>
          <w:shd w:val="clear" w:fill="FFFFFF"/>
          <w:lang w:val="en-US" w:eastAsia="zh-CN" w:bidi="ar"/>
        </w:rPr>
        <w:t>五、一般公共预算财政拨款支出决算情况说明</w:t>
      </w:r>
    </w:p>
    <w:p>
      <w:pPr>
        <w:keepNext w:val="0"/>
        <w:keepLines w:val="0"/>
        <w:pageBreakBefore w:val="0"/>
        <w:widowControl/>
        <w:suppressLineNumbers w:val="0"/>
        <w:pBdr>
          <w:top w:val="none" w:color="auto" w:sz="0" w:space="0"/>
        </w:pBdr>
        <w:shd w:val="clear"/>
        <w:kinsoku/>
        <w:wordWrap w:val="0"/>
        <w:overflowPunct/>
        <w:topLinePunct w:val="0"/>
        <w:autoSpaceDE/>
        <w:autoSpaceDN/>
        <w:bidi w:val="0"/>
        <w:adjustRightInd/>
        <w:snapToGrid/>
        <w:spacing w:line="560" w:lineRule="exact"/>
        <w:ind w:left="0" w:firstLine="622" w:firstLineChars="200"/>
        <w:jc w:val="both"/>
        <w:textAlignment w:val="auto"/>
        <w:rPr>
          <w:rFonts w:ascii="仿宋_GB2312" w:hAnsi="仿宋_GB2312" w:eastAsia="仿宋_GB2312" w:cs="仿宋_GB2312"/>
          <w:i w:val="0"/>
          <w:iCs w:val="0"/>
          <w:caps w:val="0"/>
          <w:color w:val="auto"/>
          <w:spacing w:val="0"/>
          <w:sz w:val="31"/>
          <w:szCs w:val="31"/>
          <w:highlight w:val="none"/>
        </w:rPr>
      </w:pPr>
      <w:r>
        <w:rPr>
          <w:rFonts w:ascii="仿宋_GB2312" w:hAnsi="仿宋_GB2312" w:eastAsia="仿宋_GB2312" w:cs="仿宋_GB2312"/>
          <w:b/>
          <w:bCs/>
          <w:i w:val="0"/>
          <w:iCs w:val="0"/>
          <w:caps w:val="0"/>
          <w:color w:val="auto"/>
          <w:spacing w:val="0"/>
          <w:kern w:val="0"/>
          <w:sz w:val="31"/>
          <w:szCs w:val="31"/>
          <w:highlight w:val="none"/>
          <w:shd w:val="clear" w:fill="FFFFFF"/>
          <w:lang w:val="en-US" w:eastAsia="zh-CN" w:bidi="ar"/>
        </w:rPr>
        <w:t>（一）一般公共预算财政拨款支出决算总体情况</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ascii="仿宋_GB2312" w:hAnsi="仿宋_GB2312" w:eastAsia="仿宋_GB2312" w:cs="仿宋_GB2312"/>
          <w:i w:val="0"/>
          <w:iCs w:val="0"/>
          <w:caps w:val="0"/>
          <w:color w:val="auto"/>
          <w:spacing w:val="0"/>
          <w:sz w:val="31"/>
          <w:szCs w:val="31"/>
        </w:rPr>
      </w:pPr>
      <w:r>
        <w:rPr>
          <w:rFonts w:ascii="仿宋_GB2312" w:hAnsi="仿宋_GB2312" w:eastAsia="仿宋_GB2312" w:cs="仿宋_GB2312"/>
          <w:i w:val="0"/>
          <w:iCs w:val="0"/>
          <w:caps w:val="0"/>
          <w:color w:val="auto"/>
          <w:spacing w:val="0"/>
          <w:kern w:val="0"/>
          <w:sz w:val="31"/>
          <w:szCs w:val="31"/>
          <w:highlight w:val="none"/>
          <w:shd w:val="clear" w:fill="FFFFFF"/>
          <w:lang w:val="en-US" w:eastAsia="zh-CN" w:bidi="ar"/>
        </w:rPr>
        <w:t>2024年度一般公共预算财政拨款支出5,033.95​万元，占本年支出合计的95.57%。与上年相比，增加​2,340.52万元，增长86.9%，主要原因是：</w:t>
      </w:r>
      <w:r>
        <w:rPr>
          <w:rFonts w:hint="eastAsia" w:ascii="仿宋_GB2312" w:hAnsi="仿宋_GB2312" w:eastAsia="仿宋_GB2312" w:cs="仿宋_GB2312"/>
          <w:i w:val="0"/>
          <w:iCs w:val="0"/>
          <w:caps w:val="0"/>
          <w:color w:val="auto"/>
          <w:spacing w:val="0"/>
          <w:kern w:val="0"/>
          <w:sz w:val="31"/>
          <w:szCs w:val="31"/>
          <w:highlight w:val="none"/>
          <w:shd w:val="clear" w:fill="FFFFFF"/>
          <w:lang w:val="en-US" w:eastAsia="zh-CN" w:bidi="ar"/>
        </w:rPr>
        <w:t>一是2024年原来由各乡镇支出的村干部和村民小组长报酬近600余人的工资调整至市委组织部发放，2024年1-12月共计发放金额为2381.60万元。</w:t>
      </w:r>
      <w:r>
        <w:rPr>
          <w:rFonts w:hint="eastAsia" w:ascii="Times New Roman" w:hAnsi="Times New Roman" w:eastAsia="方正仿宋_GBK" w:cs="Times New Roman"/>
          <w:color w:val="000000"/>
          <w:spacing w:val="4"/>
          <w:sz w:val="31"/>
          <w:szCs w:val="31"/>
          <w:highlight w:val="none"/>
          <w:lang w:val="en-US" w:eastAsia="zh-CN"/>
        </w:rPr>
        <w:t>二是项目经费支出有所增加，对年度收支产生了较大影响</w:t>
      </w:r>
      <w:r>
        <w:rPr>
          <w:rFonts w:ascii="仿宋_GB2312" w:hAnsi="仿宋_GB2312" w:eastAsia="仿宋_GB2312" w:cs="仿宋_GB2312"/>
          <w:i w:val="0"/>
          <w:iCs w:val="0"/>
          <w:caps w:val="0"/>
          <w:color w:val="auto"/>
          <w:spacing w:val="0"/>
          <w:kern w:val="0"/>
          <w:sz w:val="31"/>
          <w:szCs w:val="31"/>
          <w:highlight w:val="none"/>
          <w:shd w:val="clear" w:fill="FFFFFF"/>
          <w:lang w:val="en-US" w:eastAsia="zh-CN" w:bidi="ar"/>
        </w:rPr>
        <w:t>。与年初预算相比，年初预算数3,383.04万元，决算数5,033.95万元，预决算差异率48.8%，主要原因是：</w:t>
      </w:r>
      <w:r>
        <w:rPr>
          <w:rFonts w:hint="eastAsia" w:ascii="仿宋_GB2312" w:hAnsi="仿宋_GB2312" w:eastAsia="仿宋_GB2312" w:cs="仿宋_GB2312"/>
          <w:i w:val="0"/>
          <w:iCs w:val="0"/>
          <w:caps w:val="0"/>
          <w:color w:val="auto"/>
          <w:spacing w:val="0"/>
          <w:kern w:val="0"/>
          <w:sz w:val="31"/>
          <w:szCs w:val="31"/>
          <w:highlight w:val="none"/>
          <w:shd w:val="clear" w:fill="FFFFFF"/>
          <w:lang w:val="en-US" w:eastAsia="zh-CN" w:bidi="ar"/>
        </w:rPr>
        <w:t>2024年原来由各乡镇支出的村干部和村民小组长报酬近600余人的工资调整至市委组织部发放，2024年1-12月共计发放金额为2381.60万元。</w:t>
      </w:r>
      <w:r>
        <w:rPr>
          <w:rFonts w:hint="eastAsia" w:ascii="Times New Roman" w:hAnsi="Times New Roman" w:eastAsia="方正仿宋_GBK" w:cs="Times New Roman"/>
          <w:color w:val="000000"/>
          <w:spacing w:val="4"/>
          <w:sz w:val="31"/>
          <w:szCs w:val="31"/>
          <w:highlight w:val="none"/>
          <w:lang w:val="en-US" w:eastAsia="zh-CN"/>
        </w:rPr>
        <w:t>二是项目经费支出有所增加，对年度收支产生了较大影响</w:t>
      </w:r>
      <w:r>
        <w:rPr>
          <w:rFonts w:ascii="仿宋_GB2312" w:hAnsi="仿宋_GB2312" w:eastAsia="仿宋_GB2312" w:cs="仿宋_GB2312"/>
          <w:i w:val="0"/>
          <w:iCs w:val="0"/>
          <w:caps w:val="0"/>
          <w:color w:val="auto"/>
          <w:spacing w:val="0"/>
          <w:kern w:val="0"/>
          <w:sz w:val="31"/>
          <w:szCs w:val="31"/>
          <w:shd w:val="clear" w:fill="FFFFFF"/>
          <w:lang w:val="en-US" w:eastAsia="zh-CN" w:bidi="ar"/>
        </w:rPr>
        <w:t>。</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2" w:firstLineChars="200"/>
        <w:jc w:val="both"/>
        <w:textAlignment w:val="auto"/>
        <w:rPr>
          <w:rFonts w:ascii="仿宋_GB2312" w:hAnsi="仿宋_GB2312" w:eastAsia="仿宋_GB2312" w:cs="仿宋_GB2312"/>
          <w:i w:val="0"/>
          <w:iCs w:val="0"/>
          <w:caps w:val="0"/>
          <w:color w:val="auto"/>
          <w:spacing w:val="0"/>
          <w:sz w:val="31"/>
          <w:szCs w:val="31"/>
        </w:rPr>
      </w:pPr>
      <w:r>
        <w:rPr>
          <w:rFonts w:ascii="仿宋_GB2312" w:hAnsi="仿宋_GB2312" w:eastAsia="仿宋_GB2312" w:cs="仿宋_GB2312"/>
          <w:b/>
          <w:bCs/>
          <w:i w:val="0"/>
          <w:iCs w:val="0"/>
          <w:caps w:val="0"/>
          <w:color w:val="auto"/>
          <w:spacing w:val="0"/>
          <w:kern w:val="0"/>
          <w:sz w:val="31"/>
          <w:szCs w:val="31"/>
          <w:shd w:val="clear" w:fill="FFFFFF"/>
          <w:lang w:val="en-US" w:eastAsia="zh-CN" w:bidi="ar"/>
        </w:rPr>
        <w:t>（二）一般公共预算财政拨款支出决算结构情况</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ascii="仿宋_GB2312" w:hAnsi="仿宋_GB2312" w:eastAsia="仿宋_GB2312" w:cs="仿宋_GB2312"/>
          <w:i w:val="0"/>
          <w:iCs w:val="0"/>
          <w:caps w:val="0"/>
          <w:color w:val="auto"/>
          <w:spacing w:val="0"/>
          <w:sz w:val="31"/>
          <w:szCs w:val="31"/>
        </w:rPr>
      </w:pPr>
      <w:r>
        <w:rPr>
          <w:rFonts w:ascii="仿宋_GB2312" w:hAnsi="仿宋_GB2312" w:eastAsia="仿宋_GB2312" w:cs="仿宋_GB2312"/>
          <w:i w:val="0"/>
          <w:iCs w:val="0"/>
          <w:caps w:val="0"/>
          <w:color w:val="auto"/>
          <w:spacing w:val="0"/>
          <w:kern w:val="0"/>
          <w:sz w:val="31"/>
          <w:szCs w:val="31"/>
          <w:shd w:val="clear" w:fill="FFFFFF"/>
          <w:lang w:val="en-US" w:eastAsia="zh-CN" w:bidi="ar"/>
        </w:rPr>
        <w:t>一般公共服务支出（类）4,837.33万元，占96.09%。</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ascii="仿宋_GB2312" w:hAnsi="仿宋_GB2312" w:eastAsia="仿宋_GB2312" w:cs="仿宋_GB2312"/>
          <w:i w:val="0"/>
          <w:iCs w:val="0"/>
          <w:caps w:val="0"/>
          <w:color w:val="auto"/>
          <w:spacing w:val="0"/>
          <w:sz w:val="31"/>
          <w:szCs w:val="31"/>
        </w:rPr>
      </w:pPr>
      <w:r>
        <w:rPr>
          <w:rFonts w:ascii="仿宋_GB2312" w:hAnsi="仿宋_GB2312" w:eastAsia="仿宋_GB2312" w:cs="仿宋_GB2312"/>
          <w:i w:val="0"/>
          <w:iCs w:val="0"/>
          <w:caps w:val="0"/>
          <w:color w:val="auto"/>
          <w:spacing w:val="0"/>
          <w:kern w:val="0"/>
          <w:sz w:val="31"/>
          <w:szCs w:val="31"/>
          <w:shd w:val="clear" w:fill="FFFFFF"/>
          <w:lang w:val="en-US" w:eastAsia="zh-CN" w:bidi="ar"/>
        </w:rPr>
        <w:t>教育支出（类）2.3万元，占0.05%。​</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ascii="仿宋_GB2312" w:hAnsi="仿宋_GB2312" w:eastAsia="仿宋_GB2312" w:cs="仿宋_GB2312"/>
          <w:i w:val="0"/>
          <w:iCs w:val="0"/>
          <w:caps w:val="0"/>
          <w:color w:val="auto"/>
          <w:spacing w:val="0"/>
          <w:sz w:val="31"/>
          <w:szCs w:val="31"/>
        </w:rPr>
      </w:pPr>
      <w:r>
        <w:rPr>
          <w:rFonts w:ascii="仿宋_GB2312" w:hAnsi="仿宋_GB2312" w:eastAsia="仿宋_GB2312" w:cs="仿宋_GB2312"/>
          <w:i w:val="0"/>
          <w:iCs w:val="0"/>
          <w:caps w:val="0"/>
          <w:color w:val="auto"/>
          <w:spacing w:val="0"/>
          <w:kern w:val="0"/>
          <w:sz w:val="31"/>
          <w:szCs w:val="31"/>
          <w:shd w:val="clear" w:fill="FFFFFF"/>
          <w:lang w:val="en-US" w:eastAsia="zh-CN" w:bidi="ar"/>
        </w:rPr>
        <w:t>社会保障和就业支出（类）72.79万元，占1.45%。</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ascii="仿宋_GB2312" w:hAnsi="仿宋_GB2312" w:eastAsia="仿宋_GB2312" w:cs="仿宋_GB2312"/>
          <w:i w:val="0"/>
          <w:iCs w:val="0"/>
          <w:caps w:val="0"/>
          <w:color w:val="auto"/>
          <w:spacing w:val="0"/>
          <w:sz w:val="31"/>
          <w:szCs w:val="31"/>
        </w:rPr>
      </w:pPr>
      <w:r>
        <w:rPr>
          <w:rFonts w:ascii="仿宋_GB2312" w:hAnsi="仿宋_GB2312" w:eastAsia="仿宋_GB2312" w:cs="仿宋_GB2312"/>
          <w:i w:val="0"/>
          <w:iCs w:val="0"/>
          <w:caps w:val="0"/>
          <w:color w:val="auto"/>
          <w:spacing w:val="0"/>
          <w:kern w:val="0"/>
          <w:sz w:val="31"/>
          <w:szCs w:val="31"/>
          <w:shd w:val="clear" w:fill="FFFFFF"/>
          <w:lang w:val="en-US" w:eastAsia="zh-CN" w:bidi="ar"/>
        </w:rPr>
        <w:t>卫生健康支出（类）41.58万元，占0.83%。​</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ascii="仿宋_GB2312" w:hAnsi="仿宋_GB2312" w:eastAsia="仿宋_GB2312" w:cs="仿宋_GB2312"/>
          <w:i w:val="0"/>
          <w:iCs w:val="0"/>
          <w:caps w:val="0"/>
          <w:color w:val="auto"/>
          <w:spacing w:val="0"/>
          <w:sz w:val="31"/>
          <w:szCs w:val="31"/>
        </w:rPr>
      </w:pPr>
      <w:r>
        <w:rPr>
          <w:rFonts w:ascii="仿宋_GB2312" w:hAnsi="仿宋_GB2312" w:eastAsia="仿宋_GB2312" w:cs="仿宋_GB2312"/>
          <w:i w:val="0"/>
          <w:iCs w:val="0"/>
          <w:caps w:val="0"/>
          <w:color w:val="auto"/>
          <w:spacing w:val="0"/>
          <w:kern w:val="0"/>
          <w:sz w:val="31"/>
          <w:szCs w:val="31"/>
          <w:shd w:val="clear" w:fill="FFFFFF"/>
          <w:lang w:val="en-US" w:eastAsia="zh-CN" w:bidi="ar"/>
        </w:rPr>
        <w:t>农林水支出（类）18.76万元，占0.37%。​</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ascii="仿宋_GB2312" w:hAnsi="仿宋_GB2312" w:eastAsia="仿宋_GB2312" w:cs="仿宋_GB2312"/>
          <w:i w:val="0"/>
          <w:iCs w:val="0"/>
          <w:caps w:val="0"/>
          <w:color w:val="auto"/>
          <w:spacing w:val="0"/>
          <w:sz w:val="31"/>
          <w:szCs w:val="31"/>
        </w:rPr>
      </w:pPr>
      <w:r>
        <w:rPr>
          <w:rFonts w:ascii="仿宋_GB2312" w:hAnsi="仿宋_GB2312" w:eastAsia="仿宋_GB2312" w:cs="仿宋_GB2312"/>
          <w:i w:val="0"/>
          <w:iCs w:val="0"/>
          <w:caps w:val="0"/>
          <w:color w:val="auto"/>
          <w:spacing w:val="0"/>
          <w:kern w:val="0"/>
          <w:sz w:val="31"/>
          <w:szCs w:val="31"/>
          <w:shd w:val="clear" w:fill="FFFFFF"/>
          <w:lang w:val="en-US" w:eastAsia="zh-CN" w:bidi="ar"/>
        </w:rPr>
        <w:t>住房保障支出（类）58.69万元，占1.17%。​</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ascii="仿宋_GB2312" w:hAnsi="仿宋_GB2312" w:eastAsia="仿宋_GB2312" w:cs="仿宋_GB2312"/>
          <w:i w:val="0"/>
          <w:iCs w:val="0"/>
          <w:caps w:val="0"/>
          <w:color w:val="auto"/>
          <w:spacing w:val="0"/>
          <w:sz w:val="31"/>
          <w:szCs w:val="31"/>
        </w:rPr>
      </w:pPr>
      <w:r>
        <w:rPr>
          <w:rFonts w:ascii="仿宋_GB2312" w:hAnsi="仿宋_GB2312" w:eastAsia="仿宋_GB2312" w:cs="仿宋_GB2312"/>
          <w:i w:val="0"/>
          <w:iCs w:val="0"/>
          <w:caps w:val="0"/>
          <w:color w:val="auto"/>
          <w:spacing w:val="0"/>
          <w:kern w:val="0"/>
          <w:sz w:val="31"/>
          <w:szCs w:val="31"/>
          <w:shd w:val="clear" w:fill="FFFFFF"/>
          <w:lang w:val="en-US" w:eastAsia="zh-CN" w:bidi="ar"/>
        </w:rPr>
        <w:t>其他支出（类）2.49万元，占0.05%。​</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2" w:firstLineChars="200"/>
        <w:jc w:val="both"/>
        <w:textAlignment w:val="auto"/>
        <w:rPr>
          <w:rFonts w:ascii="仿宋_GB2312" w:hAnsi="仿宋_GB2312" w:eastAsia="仿宋_GB2312" w:cs="仿宋_GB2312"/>
          <w:i w:val="0"/>
          <w:iCs w:val="0"/>
          <w:caps w:val="0"/>
          <w:color w:val="auto"/>
          <w:spacing w:val="0"/>
          <w:sz w:val="31"/>
          <w:szCs w:val="31"/>
        </w:rPr>
      </w:pPr>
      <w:r>
        <w:rPr>
          <w:rFonts w:ascii="仿宋_GB2312" w:hAnsi="仿宋_GB2312" w:eastAsia="仿宋_GB2312" w:cs="仿宋_GB2312"/>
          <w:b/>
          <w:bCs/>
          <w:i w:val="0"/>
          <w:iCs w:val="0"/>
          <w:caps w:val="0"/>
          <w:color w:val="auto"/>
          <w:spacing w:val="0"/>
          <w:kern w:val="0"/>
          <w:sz w:val="31"/>
          <w:szCs w:val="31"/>
          <w:shd w:val="clear" w:fill="FFFFFF"/>
          <w:lang w:val="en-US" w:eastAsia="zh-CN" w:bidi="ar"/>
        </w:rPr>
        <w:t>（三）一般公共预算财政拨款支出决算具体情况</w:t>
      </w:r>
    </w:p>
    <w:p>
      <w:pPr>
        <w:keepNext w:val="0"/>
        <w:keepLines w:val="0"/>
        <w:pageBreakBefore w:val="0"/>
        <w:widowControl/>
        <w:suppressLineNumbers w:val="0"/>
        <w:shd w:val="clear"/>
        <w:kinsoku/>
        <w:overflowPunct/>
        <w:topLinePunct w:val="0"/>
        <w:autoSpaceDE/>
        <w:autoSpaceDN/>
        <w:bidi w:val="0"/>
        <w:adjustRightInd/>
        <w:snapToGrid/>
        <w:spacing w:line="560" w:lineRule="exact"/>
        <w:ind w:left="0" w:firstLine="620" w:firstLineChars="200"/>
        <w:jc w:val="both"/>
        <w:textAlignment w:val="auto"/>
        <w:rPr>
          <w:rFonts w:hint="default" w:ascii="仿宋_GB2312" w:hAnsi="仿宋_GB2312" w:eastAsia="仿宋_GB2312" w:cs="仿宋_GB2312"/>
          <w:i w:val="0"/>
          <w:iCs w:val="0"/>
          <w:caps w:val="0"/>
          <w:color w:val="auto"/>
          <w:spacing w:val="0"/>
          <w:sz w:val="31"/>
          <w:szCs w:val="31"/>
          <w:lang w:val="en-US"/>
        </w:rPr>
      </w:pPr>
      <w:r>
        <w:rPr>
          <w:rFonts w:ascii="仿宋_GB2312" w:hAnsi="仿宋_GB2312" w:eastAsia="仿宋_GB2312" w:cs="仿宋_GB2312"/>
          <w:i w:val="0"/>
          <w:iCs w:val="0"/>
          <w:caps w:val="0"/>
          <w:color w:val="auto"/>
          <w:spacing w:val="0"/>
          <w:kern w:val="0"/>
          <w:sz w:val="31"/>
          <w:szCs w:val="31"/>
          <w:shd w:val="clear" w:fill="FFFFFF"/>
          <w:lang w:val="en-US" w:eastAsia="zh-CN" w:bidi="ar"/>
        </w:rPr>
        <w:t>1、一般公共服务支出（类）组织事务（款）行政运行（项）：支出决算数为1,158.51万元，与上年决算相比减少299.76万元，下降20.56%，主要原因是：</w:t>
      </w:r>
      <w:r>
        <w:rPr>
          <w:rFonts w:hint="eastAsia" w:ascii="仿宋_GB2312" w:hAnsi="仿宋_GB2312" w:eastAsia="仿宋_GB2312" w:cs="仿宋_GB2312"/>
          <w:i w:val="0"/>
          <w:iCs w:val="0"/>
          <w:caps w:val="0"/>
          <w:color w:val="auto"/>
          <w:spacing w:val="0"/>
          <w:kern w:val="0"/>
          <w:sz w:val="31"/>
          <w:szCs w:val="31"/>
          <w:shd w:val="clear" w:fill="FFFFFF"/>
          <w:lang w:val="en-US" w:eastAsia="zh-CN" w:bidi="ar"/>
        </w:rPr>
        <w:t>一是与2024年相比，2023年发放了2020年绩效考核奖金、补发津补贴、十三个月工资；二是同工同酬人员辞职，支出相应减少；三是厉行节约，办公经费支出减少。</w:t>
      </w:r>
    </w:p>
    <w:p>
      <w:pPr>
        <w:keepNext w:val="0"/>
        <w:keepLines w:val="0"/>
        <w:pageBreakBefore w:val="0"/>
        <w:widowControl/>
        <w:suppressLineNumbers w:val="0"/>
        <w:shd w:val="clear"/>
        <w:kinsoku/>
        <w:overflowPunct/>
        <w:topLinePunct w:val="0"/>
        <w:autoSpaceDE/>
        <w:autoSpaceDN/>
        <w:bidi w:val="0"/>
        <w:adjustRightInd/>
        <w:snapToGrid/>
        <w:spacing w:line="560" w:lineRule="exact"/>
        <w:ind w:left="0" w:firstLine="620" w:firstLineChars="200"/>
        <w:jc w:val="both"/>
        <w:textAlignment w:val="auto"/>
        <w:rPr>
          <w:rFonts w:ascii="仿宋_GB2312" w:hAnsi="仿宋_GB2312" w:eastAsia="仿宋_GB2312" w:cs="仿宋_GB2312"/>
          <w:i w:val="0"/>
          <w:iCs w:val="0"/>
          <w:caps w:val="0"/>
          <w:color w:val="auto"/>
          <w:spacing w:val="0"/>
          <w:kern w:val="0"/>
          <w:sz w:val="31"/>
          <w:szCs w:val="31"/>
          <w:shd w:val="clear" w:fill="FFFFFF"/>
          <w:lang w:val="en-US" w:eastAsia="zh-CN" w:bidi="ar"/>
        </w:rPr>
      </w:pPr>
      <w:r>
        <w:rPr>
          <w:rFonts w:ascii="仿宋_GB2312" w:hAnsi="仿宋_GB2312" w:eastAsia="仿宋_GB2312" w:cs="仿宋_GB2312"/>
          <w:i w:val="0"/>
          <w:iCs w:val="0"/>
          <w:caps w:val="0"/>
          <w:color w:val="auto"/>
          <w:spacing w:val="0"/>
          <w:kern w:val="0"/>
          <w:sz w:val="31"/>
          <w:szCs w:val="31"/>
          <w:shd w:val="clear" w:fill="FFFFFF"/>
          <w:lang w:val="en-US" w:eastAsia="zh-CN" w:bidi="ar"/>
        </w:rPr>
        <w:t>2、一般公共服务支出（类）组织事务（款）其他组织事务支出（项）：支出决算数为3,678.82万元，与上年决算相比增加2,938.78万元，增长397.11%，主要原因是：</w:t>
      </w:r>
      <w:r>
        <w:rPr>
          <w:rFonts w:hint="eastAsia" w:ascii="仿宋_GB2312" w:hAnsi="仿宋_GB2312" w:eastAsia="仿宋_GB2312" w:cs="仿宋_GB2312"/>
          <w:i w:val="0"/>
          <w:iCs w:val="0"/>
          <w:caps w:val="0"/>
          <w:color w:val="auto"/>
          <w:spacing w:val="0"/>
          <w:kern w:val="0"/>
          <w:sz w:val="31"/>
          <w:szCs w:val="31"/>
          <w:shd w:val="clear" w:fill="FFFFFF"/>
          <w:lang w:val="en-US" w:eastAsia="zh-CN" w:bidi="ar"/>
        </w:rPr>
        <w:t>此项支出新增2024年各乡镇村干部和村民小组长报酬2381.06万元、四老人员生活补助支出。</w:t>
      </w:r>
    </w:p>
    <w:p>
      <w:pPr>
        <w:keepNext w:val="0"/>
        <w:keepLines w:val="0"/>
        <w:pageBreakBefore w:val="0"/>
        <w:widowControl/>
        <w:suppressLineNumbers w:val="0"/>
        <w:shd w:val="clear"/>
        <w:kinsoku/>
        <w:overflowPunct/>
        <w:topLinePunct w:val="0"/>
        <w:autoSpaceDE/>
        <w:autoSpaceDN/>
        <w:bidi w:val="0"/>
        <w:adjustRightInd/>
        <w:snapToGrid/>
        <w:spacing w:line="560" w:lineRule="exact"/>
        <w:ind w:left="0" w:firstLine="620" w:firstLineChars="200"/>
        <w:jc w:val="both"/>
        <w:textAlignment w:val="auto"/>
        <w:rPr>
          <w:rFonts w:hint="default" w:ascii="仿宋_GB2312" w:hAnsi="仿宋_GB2312" w:eastAsia="仿宋_GB2312" w:cs="仿宋_GB2312"/>
          <w:i w:val="0"/>
          <w:iCs w:val="0"/>
          <w:caps w:val="0"/>
          <w:color w:val="auto"/>
          <w:spacing w:val="0"/>
          <w:sz w:val="31"/>
          <w:szCs w:val="31"/>
          <w:lang w:val="en-US"/>
        </w:rPr>
      </w:pPr>
      <w:r>
        <w:rPr>
          <w:rFonts w:ascii="仿宋_GB2312" w:hAnsi="仿宋_GB2312" w:eastAsia="仿宋_GB2312" w:cs="仿宋_GB2312"/>
          <w:i w:val="0"/>
          <w:iCs w:val="0"/>
          <w:caps w:val="0"/>
          <w:color w:val="auto"/>
          <w:spacing w:val="0"/>
          <w:kern w:val="0"/>
          <w:sz w:val="31"/>
          <w:szCs w:val="31"/>
          <w:shd w:val="clear" w:fill="FFFFFF"/>
          <w:lang w:val="en-US" w:eastAsia="zh-CN" w:bidi="ar"/>
        </w:rPr>
        <w:t>3、教育支出（类）进修及培训（款）培训支出（项）：支出决算数为2.3万元，与上年决算相比减少5.55万元，下降70.7%，主要原因是：</w:t>
      </w:r>
      <w:r>
        <w:rPr>
          <w:rFonts w:hint="eastAsia" w:ascii="仿宋_GB2312" w:hAnsi="仿宋_GB2312" w:eastAsia="仿宋_GB2312" w:cs="仿宋_GB2312"/>
          <w:i w:val="0"/>
          <w:iCs w:val="0"/>
          <w:caps w:val="0"/>
          <w:color w:val="auto"/>
          <w:spacing w:val="0"/>
          <w:kern w:val="0"/>
          <w:sz w:val="31"/>
          <w:szCs w:val="31"/>
          <w:shd w:val="clear" w:fill="FFFFFF"/>
          <w:lang w:val="en-US" w:eastAsia="zh-CN" w:bidi="ar"/>
        </w:rPr>
        <w:t>本年业务培训比上年减少。</w:t>
      </w:r>
    </w:p>
    <w:p>
      <w:pPr>
        <w:keepNext w:val="0"/>
        <w:keepLines w:val="0"/>
        <w:pageBreakBefore w:val="0"/>
        <w:widowControl/>
        <w:suppressLineNumbers w:val="0"/>
        <w:shd w:val="clear"/>
        <w:kinsoku/>
        <w:wordWrap/>
        <w:overflowPunct/>
        <w:topLinePunct w:val="0"/>
        <w:autoSpaceDE/>
        <w:autoSpaceDN/>
        <w:bidi w:val="0"/>
        <w:adjustRightInd/>
        <w:snapToGrid/>
        <w:spacing w:line="560" w:lineRule="exact"/>
        <w:ind w:left="0" w:firstLine="620" w:firstLineChars="200"/>
        <w:jc w:val="both"/>
        <w:textAlignment w:val="auto"/>
        <w:rPr>
          <w:rFonts w:ascii="仿宋_GB2312" w:hAnsi="仿宋_GB2312" w:eastAsia="仿宋_GB2312" w:cs="仿宋_GB2312"/>
          <w:i w:val="0"/>
          <w:iCs w:val="0"/>
          <w:caps w:val="0"/>
          <w:color w:val="auto"/>
          <w:spacing w:val="0"/>
          <w:sz w:val="31"/>
          <w:szCs w:val="31"/>
        </w:rPr>
      </w:pPr>
      <w:r>
        <w:rPr>
          <w:rFonts w:ascii="仿宋_GB2312" w:hAnsi="仿宋_GB2312" w:eastAsia="仿宋_GB2312" w:cs="仿宋_GB2312"/>
          <w:i w:val="0"/>
          <w:iCs w:val="0"/>
          <w:caps w:val="0"/>
          <w:color w:val="auto"/>
          <w:spacing w:val="0"/>
          <w:kern w:val="0"/>
          <w:sz w:val="31"/>
          <w:szCs w:val="31"/>
          <w:shd w:val="clear" w:fill="FFFFFF"/>
          <w:lang w:val="en-US" w:eastAsia="zh-CN" w:bidi="ar"/>
        </w:rPr>
        <w:t>4、社会保障和就业支出（类）行政事业单位养老支出（款）机关事业单位基本养老保险缴费支出（项）：支出决算数为72.79万元，与上年决算相比增加3.42万元，增长4.93%，主要原因是：</w:t>
      </w:r>
      <w:r>
        <w:rPr>
          <w:rFonts w:hint="default" w:ascii="仿宋_GB2312" w:hAnsi="Times New Roman" w:eastAsia="仿宋_GB2312" w:cs="Times New Roman"/>
          <w:sz w:val="32"/>
          <w:szCs w:val="32"/>
          <w:highlight w:val="none"/>
          <w:lang w:val="en-US" w:eastAsia="zh-CN"/>
        </w:rPr>
        <w:t>本年养老保险缴费基数上调</w:t>
      </w:r>
      <w:r>
        <w:rPr>
          <w:rFonts w:hint="default" w:ascii="仿宋_GB2312"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both"/>
        <w:textAlignment w:val="auto"/>
        <w:rPr>
          <w:rFonts w:ascii="仿宋_GB2312" w:hAnsi="仿宋_GB2312" w:eastAsia="仿宋_GB2312" w:cs="仿宋_GB2312"/>
          <w:i w:val="0"/>
          <w:iCs w:val="0"/>
          <w:caps w:val="0"/>
          <w:color w:val="auto"/>
          <w:spacing w:val="0"/>
          <w:sz w:val="31"/>
          <w:szCs w:val="31"/>
        </w:rPr>
      </w:pPr>
      <w:r>
        <w:rPr>
          <w:rFonts w:ascii="仿宋_GB2312" w:hAnsi="仿宋_GB2312" w:eastAsia="仿宋_GB2312" w:cs="仿宋_GB2312"/>
          <w:i w:val="0"/>
          <w:iCs w:val="0"/>
          <w:caps w:val="0"/>
          <w:color w:val="auto"/>
          <w:spacing w:val="0"/>
          <w:kern w:val="0"/>
          <w:sz w:val="31"/>
          <w:szCs w:val="31"/>
          <w:shd w:val="clear" w:fill="FFFFFF"/>
          <w:lang w:val="en-US" w:eastAsia="zh-CN" w:bidi="ar"/>
        </w:rPr>
        <w:t>5、卫生健康支出（类）行政事业单位医疗（款）行政单位医疗（项）：支出决算数为33.19万元，与上年决算相比增加1.14万元，增长3.56%，主要原因是：</w:t>
      </w:r>
      <w:r>
        <w:rPr>
          <w:rFonts w:hint="default" w:ascii="仿宋_GB2312" w:hAnsi="Times New Roman" w:eastAsia="仿宋_GB2312" w:cs="Times New Roman"/>
          <w:sz w:val="32"/>
          <w:szCs w:val="32"/>
          <w:highlight w:val="none"/>
          <w:lang w:val="en-US" w:eastAsia="zh-CN"/>
        </w:rPr>
        <w:t>本年基本医疗保险缴费基数上调</w:t>
      </w:r>
      <w:r>
        <w:rPr>
          <w:rFonts w:hint="default" w:ascii="仿宋_GB2312" w:hAnsi="Times New Roman" w:eastAsia="仿宋_GB2312" w:cs="Times New Roman"/>
          <w:sz w:val="32"/>
          <w:szCs w:val="32"/>
          <w:highlight w:val="none"/>
          <w:lang w:val="zh-CN" w:eastAsia="zh-CN"/>
        </w:rPr>
        <w:t>。</w:t>
      </w:r>
    </w:p>
    <w:p>
      <w:pPr>
        <w:keepNext w:val="0"/>
        <w:keepLines w:val="0"/>
        <w:pageBreakBefore w:val="0"/>
        <w:widowControl/>
        <w:suppressLineNumbers w:val="0"/>
        <w:shd w:val="clear"/>
        <w:kinsoku/>
        <w:wordWrap/>
        <w:overflowPunct/>
        <w:topLinePunct w:val="0"/>
        <w:autoSpaceDE/>
        <w:autoSpaceDN/>
        <w:bidi w:val="0"/>
        <w:adjustRightInd/>
        <w:snapToGrid/>
        <w:spacing w:line="560" w:lineRule="exact"/>
        <w:ind w:left="0" w:firstLine="620" w:firstLineChars="200"/>
        <w:jc w:val="both"/>
        <w:textAlignment w:val="auto"/>
        <w:rPr>
          <w:rFonts w:ascii="仿宋_GB2312" w:hAnsi="仿宋_GB2312" w:eastAsia="仿宋_GB2312" w:cs="仿宋_GB2312"/>
          <w:i w:val="0"/>
          <w:iCs w:val="0"/>
          <w:caps w:val="0"/>
          <w:color w:val="auto"/>
          <w:spacing w:val="0"/>
          <w:sz w:val="31"/>
          <w:szCs w:val="31"/>
        </w:rPr>
      </w:pPr>
      <w:r>
        <w:rPr>
          <w:rFonts w:ascii="仿宋_GB2312" w:hAnsi="仿宋_GB2312" w:eastAsia="仿宋_GB2312" w:cs="仿宋_GB2312"/>
          <w:i w:val="0"/>
          <w:iCs w:val="0"/>
          <w:caps w:val="0"/>
          <w:color w:val="auto"/>
          <w:spacing w:val="0"/>
          <w:kern w:val="0"/>
          <w:sz w:val="31"/>
          <w:szCs w:val="31"/>
          <w:shd w:val="clear" w:fill="FFFFFF"/>
          <w:lang w:val="en-US" w:eastAsia="zh-CN" w:bidi="ar"/>
        </w:rPr>
        <w:t>6、卫生健康支出（类）行政事业单位医疗（款）公务员医疗补助（项）：支出决算数为8.39万元，与上年决算相比增加0.54万元，增长6.88%，主要原因是：</w:t>
      </w:r>
      <w:r>
        <w:rPr>
          <w:rFonts w:hint="default" w:ascii="仿宋_GB2312" w:hAnsi="Times New Roman" w:eastAsia="仿宋_GB2312" w:cs="Times New Roman"/>
          <w:sz w:val="32"/>
          <w:szCs w:val="32"/>
          <w:highlight w:val="none"/>
          <w:lang w:val="en-US" w:eastAsia="zh-CN"/>
        </w:rPr>
        <w:t>本年公务员补助缴费基数上调</w:t>
      </w:r>
      <w:r>
        <w:rPr>
          <w:rFonts w:hint="default" w:ascii="仿宋_GB2312" w:hAnsi="Times New Roman" w:eastAsia="仿宋_GB2312" w:cs="Times New Roman"/>
          <w:sz w:val="32"/>
          <w:szCs w:val="32"/>
          <w:highlight w:val="none"/>
          <w:lang w:val="zh-CN" w:eastAsia="zh-CN"/>
        </w:rPr>
        <w:t>。</w:t>
      </w:r>
    </w:p>
    <w:p>
      <w:pPr>
        <w:keepNext w:val="0"/>
        <w:keepLines w:val="0"/>
        <w:pageBreakBefore w:val="0"/>
        <w:widowControl/>
        <w:suppressLineNumbers w:val="0"/>
        <w:shd w:val="clear"/>
        <w:kinsoku/>
        <w:wordWrap/>
        <w:overflowPunct/>
        <w:topLinePunct w:val="0"/>
        <w:autoSpaceDE/>
        <w:autoSpaceDN/>
        <w:bidi w:val="0"/>
        <w:adjustRightInd/>
        <w:snapToGrid/>
        <w:spacing w:line="560" w:lineRule="exact"/>
        <w:ind w:left="0" w:firstLine="620" w:firstLineChars="200"/>
        <w:jc w:val="both"/>
        <w:textAlignment w:val="auto"/>
        <w:rPr>
          <w:rFonts w:hint="default" w:ascii="仿宋_GB2312" w:hAnsi="仿宋_GB2312" w:eastAsia="仿宋_GB2312" w:cs="仿宋_GB2312"/>
          <w:i w:val="0"/>
          <w:iCs w:val="0"/>
          <w:caps w:val="0"/>
          <w:color w:val="auto"/>
          <w:spacing w:val="0"/>
          <w:sz w:val="31"/>
          <w:szCs w:val="31"/>
          <w:lang w:val="en-US"/>
        </w:rPr>
      </w:pPr>
      <w:r>
        <w:rPr>
          <w:rFonts w:ascii="仿宋_GB2312" w:hAnsi="仿宋_GB2312" w:eastAsia="仿宋_GB2312" w:cs="仿宋_GB2312"/>
          <w:i w:val="0"/>
          <w:iCs w:val="0"/>
          <w:caps w:val="0"/>
          <w:color w:val="auto"/>
          <w:spacing w:val="0"/>
          <w:kern w:val="0"/>
          <w:sz w:val="31"/>
          <w:szCs w:val="31"/>
          <w:shd w:val="clear" w:fill="FFFFFF"/>
          <w:lang w:val="en-US" w:eastAsia="zh-CN" w:bidi="ar"/>
        </w:rPr>
        <w:t>7、农林水支出（类）农村综合改革（款）对村民委员会和村党支部的补助（项）：支出决算数为18.76万元，与上年决算相比增加0.76万元，增长4.22%，主要原因是：</w:t>
      </w:r>
      <w:r>
        <w:rPr>
          <w:rFonts w:hint="eastAsia" w:ascii="仿宋_GB2312" w:hAnsi="仿宋_GB2312" w:eastAsia="仿宋_GB2312" w:cs="仿宋_GB2312"/>
          <w:i w:val="0"/>
          <w:iCs w:val="0"/>
          <w:caps w:val="0"/>
          <w:color w:val="auto"/>
          <w:spacing w:val="0"/>
          <w:kern w:val="0"/>
          <w:sz w:val="31"/>
          <w:szCs w:val="31"/>
          <w:shd w:val="clear" w:fill="FFFFFF"/>
          <w:lang w:val="en-US" w:eastAsia="zh-CN" w:bidi="ar"/>
        </w:rPr>
        <w:t>此项支出为2024年</w:t>
      </w:r>
      <w:r>
        <w:rPr>
          <w:rFonts w:ascii="仿宋_GB2312" w:hAnsi="仿宋_GB2312" w:eastAsia="仿宋_GB2312" w:cs="仿宋_GB2312"/>
          <w:i w:val="0"/>
          <w:iCs w:val="0"/>
          <w:caps w:val="0"/>
          <w:color w:val="auto"/>
          <w:spacing w:val="0"/>
          <w:kern w:val="0"/>
          <w:sz w:val="31"/>
          <w:szCs w:val="31"/>
          <w:shd w:val="clear" w:fill="FFFFFF"/>
          <w:lang w:val="en-US" w:eastAsia="zh-CN" w:bidi="ar"/>
        </w:rPr>
        <w:t>村干部意外伤害保险</w:t>
      </w:r>
      <w:r>
        <w:rPr>
          <w:rFonts w:hint="eastAsia" w:ascii="仿宋_GB2312" w:hAnsi="仿宋_GB2312" w:eastAsia="仿宋_GB2312" w:cs="仿宋_GB2312"/>
          <w:i w:val="0"/>
          <w:iCs w:val="0"/>
          <w:caps w:val="0"/>
          <w:color w:val="auto"/>
          <w:spacing w:val="0"/>
          <w:kern w:val="0"/>
          <w:sz w:val="31"/>
          <w:szCs w:val="31"/>
          <w:shd w:val="clear" w:fill="FFFFFF"/>
          <w:lang w:val="en-US" w:eastAsia="zh-CN" w:bidi="ar"/>
        </w:rPr>
        <w:t>和</w:t>
      </w:r>
      <w:r>
        <w:rPr>
          <w:rFonts w:ascii="仿宋_GB2312" w:hAnsi="仿宋_GB2312" w:eastAsia="仿宋_GB2312" w:cs="仿宋_GB2312"/>
          <w:i w:val="0"/>
          <w:iCs w:val="0"/>
          <w:caps w:val="0"/>
          <w:color w:val="auto"/>
          <w:spacing w:val="0"/>
          <w:kern w:val="0"/>
          <w:sz w:val="31"/>
          <w:szCs w:val="31"/>
          <w:shd w:val="clear" w:fill="FFFFFF"/>
          <w:lang w:val="en-US" w:eastAsia="zh-CN" w:bidi="ar"/>
        </w:rPr>
        <w:t>农牧民身份村党组书记养老保险</w:t>
      </w:r>
      <w:r>
        <w:rPr>
          <w:rFonts w:hint="eastAsia" w:ascii="仿宋_GB2312" w:hAnsi="仿宋_GB2312" w:eastAsia="仿宋_GB2312" w:cs="仿宋_GB2312"/>
          <w:i w:val="0"/>
          <w:iCs w:val="0"/>
          <w:caps w:val="0"/>
          <w:color w:val="auto"/>
          <w:spacing w:val="0"/>
          <w:kern w:val="0"/>
          <w:sz w:val="31"/>
          <w:szCs w:val="31"/>
          <w:shd w:val="clear" w:fill="FFFFFF"/>
          <w:lang w:val="en-US" w:eastAsia="zh-CN" w:bidi="ar"/>
        </w:rPr>
        <w:t>，由于本年度</w:t>
      </w:r>
      <w:r>
        <w:rPr>
          <w:rFonts w:hint="default" w:ascii="仿宋_GB2312" w:hAnsi="Times New Roman" w:eastAsia="仿宋_GB2312" w:cs="Times New Roman"/>
          <w:sz w:val="32"/>
          <w:szCs w:val="32"/>
          <w:highlight w:val="none"/>
          <w:lang w:val="en-US" w:eastAsia="zh-CN"/>
        </w:rPr>
        <w:t>养老保险缴费基数上调</w:t>
      </w:r>
      <w:r>
        <w:rPr>
          <w:rFonts w:hint="eastAsia" w:ascii="仿宋_GB2312" w:hAnsi="Times New Roman" w:eastAsia="仿宋_GB2312" w:cs="Times New Roman"/>
          <w:sz w:val="32"/>
          <w:szCs w:val="32"/>
          <w:highlight w:val="none"/>
          <w:lang w:val="en-US" w:eastAsia="zh-CN"/>
        </w:rPr>
        <w:t>而增长。</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both"/>
        <w:textAlignment w:val="auto"/>
        <w:rPr>
          <w:rFonts w:ascii="仿宋_GB2312" w:hAnsi="仿宋_GB2312" w:eastAsia="仿宋_GB2312" w:cs="仿宋_GB2312"/>
          <w:i w:val="0"/>
          <w:iCs w:val="0"/>
          <w:caps w:val="0"/>
          <w:color w:val="auto"/>
          <w:spacing w:val="0"/>
          <w:sz w:val="31"/>
          <w:szCs w:val="31"/>
        </w:rPr>
      </w:pPr>
      <w:r>
        <w:rPr>
          <w:rFonts w:ascii="仿宋_GB2312" w:hAnsi="仿宋_GB2312" w:eastAsia="仿宋_GB2312" w:cs="仿宋_GB2312"/>
          <w:i w:val="0"/>
          <w:iCs w:val="0"/>
          <w:caps w:val="0"/>
          <w:color w:val="auto"/>
          <w:spacing w:val="0"/>
          <w:kern w:val="0"/>
          <w:sz w:val="31"/>
          <w:szCs w:val="31"/>
          <w:shd w:val="clear" w:fill="FFFFFF"/>
          <w:lang w:val="en-US" w:eastAsia="zh-CN" w:bidi="ar"/>
        </w:rPr>
        <w:t>8、住房保障支出（类）住房改革支出（款）住房公积金（项）：支出决算数为58.69万元，与上年决算相比增加3.13万元，增长5.63%，主要原因是：</w:t>
      </w:r>
      <w:r>
        <w:rPr>
          <w:rFonts w:hint="default" w:ascii="仿宋_GB2312" w:hAnsi="Times New Roman" w:eastAsia="仿宋_GB2312" w:cs="Times New Roman"/>
          <w:sz w:val="32"/>
          <w:szCs w:val="32"/>
          <w:highlight w:val="none"/>
          <w:lang w:val="en-US" w:eastAsia="zh-CN"/>
        </w:rPr>
        <w:t>本年住房公积金缴费基数上调</w:t>
      </w:r>
      <w:r>
        <w:rPr>
          <w:rFonts w:hint="default" w:ascii="仿宋_GB2312" w:hAnsi="Times New Roman" w:eastAsia="仿宋_GB2312" w:cs="Times New Roman"/>
          <w:sz w:val="32"/>
          <w:szCs w:val="32"/>
          <w:highlight w:val="none"/>
          <w:lang w:val="zh-CN" w:eastAsia="zh-CN"/>
        </w:rPr>
        <w:t>。</w:t>
      </w:r>
    </w:p>
    <w:p>
      <w:pPr>
        <w:keepNext w:val="0"/>
        <w:keepLines w:val="0"/>
        <w:pageBreakBefore w:val="0"/>
        <w:widowControl/>
        <w:suppressLineNumbers w:val="0"/>
        <w:shd w:val="clear"/>
        <w:kinsoku/>
        <w:wordWrap/>
        <w:overflowPunct/>
        <w:topLinePunct w:val="0"/>
        <w:autoSpaceDE/>
        <w:autoSpaceDN/>
        <w:bidi w:val="0"/>
        <w:adjustRightInd/>
        <w:snapToGrid/>
        <w:spacing w:line="560" w:lineRule="exact"/>
        <w:ind w:left="0" w:firstLine="620" w:firstLineChars="200"/>
        <w:jc w:val="both"/>
        <w:textAlignment w:val="auto"/>
        <w:rPr>
          <w:rFonts w:hint="default" w:ascii="仿宋_GB2312" w:hAnsi="仿宋_GB2312" w:eastAsia="仿宋_GB2312" w:cs="仿宋_GB2312"/>
          <w:i w:val="0"/>
          <w:iCs w:val="0"/>
          <w:caps w:val="0"/>
          <w:color w:val="auto"/>
          <w:spacing w:val="0"/>
          <w:sz w:val="31"/>
          <w:szCs w:val="31"/>
          <w:lang w:val="en-US"/>
        </w:rPr>
      </w:pPr>
      <w:r>
        <w:rPr>
          <w:rFonts w:ascii="仿宋_GB2312" w:hAnsi="仿宋_GB2312" w:eastAsia="仿宋_GB2312" w:cs="仿宋_GB2312"/>
          <w:i w:val="0"/>
          <w:iCs w:val="0"/>
          <w:caps w:val="0"/>
          <w:color w:val="auto"/>
          <w:spacing w:val="0"/>
          <w:kern w:val="0"/>
          <w:sz w:val="31"/>
          <w:szCs w:val="31"/>
          <w:shd w:val="clear" w:fill="FFFFFF"/>
          <w:lang w:val="en-US" w:eastAsia="zh-CN" w:bidi="ar"/>
        </w:rPr>
        <w:t>9、其他支出（类）其他支出（款）其他支出（项）：支出决算数为2.49万元，与上年决算相比减少301.95万元，下降99.18%，主要原因是：</w:t>
      </w:r>
      <w:r>
        <w:rPr>
          <w:rFonts w:hint="eastAsia" w:ascii="仿宋_GB2312" w:hAnsi="仿宋_GB2312" w:eastAsia="仿宋_GB2312" w:cs="仿宋_GB2312"/>
          <w:i w:val="0"/>
          <w:iCs w:val="0"/>
          <w:caps w:val="0"/>
          <w:color w:val="auto"/>
          <w:spacing w:val="0"/>
          <w:kern w:val="0"/>
          <w:sz w:val="31"/>
          <w:szCs w:val="31"/>
          <w:shd w:val="clear" w:fill="FFFFFF"/>
          <w:lang w:val="en-US" w:eastAsia="zh-CN" w:bidi="ar"/>
        </w:rPr>
        <w:t>2024年四老人员生活补助支出调整至其他科目。</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ascii="黑体" w:hAnsi="宋体" w:eastAsia="黑体" w:cs="黑体"/>
          <w:i w:val="0"/>
          <w:iCs w:val="0"/>
          <w:caps w:val="0"/>
          <w:color w:val="auto"/>
          <w:spacing w:val="0"/>
          <w:sz w:val="31"/>
          <w:szCs w:val="31"/>
        </w:rPr>
      </w:pPr>
      <w:r>
        <w:rPr>
          <w:rFonts w:ascii="黑体" w:hAnsi="宋体" w:eastAsia="黑体" w:cs="黑体"/>
          <w:i w:val="0"/>
          <w:iCs w:val="0"/>
          <w:caps w:val="0"/>
          <w:color w:val="auto"/>
          <w:spacing w:val="0"/>
          <w:kern w:val="0"/>
          <w:sz w:val="31"/>
          <w:szCs w:val="31"/>
          <w:shd w:val="clear" w:fill="FFFFFF"/>
          <w:lang w:val="en-US" w:eastAsia="zh-CN" w:bidi="ar"/>
        </w:rPr>
        <w:t>六、一般公共预算财政拨款基本支出决算情况说明</w:t>
      </w:r>
    </w:p>
    <w:p>
      <w:pPr>
        <w:keepNext w:val="0"/>
        <w:keepLines w:val="0"/>
        <w:pageBreakBefore w:val="0"/>
        <w:widowControl/>
        <w:suppressLineNumbers w:val="0"/>
        <w:pBdr>
          <w:left w:val="none" w:color="auto" w:sz="0" w:space="0"/>
        </w:pBdr>
        <w:shd w:val="clear"/>
        <w:kinsoku/>
        <w:wordWrap w:val="0"/>
        <w:overflowPunct/>
        <w:topLinePunct w:val="0"/>
        <w:autoSpaceDE/>
        <w:autoSpaceDN/>
        <w:bidi w:val="0"/>
        <w:adjustRightInd/>
        <w:snapToGrid/>
        <w:spacing w:line="560" w:lineRule="exact"/>
        <w:ind w:left="0" w:firstLine="620" w:firstLineChars="200"/>
        <w:jc w:val="both"/>
        <w:textAlignment w:val="auto"/>
        <w:rPr>
          <w:rFonts w:ascii="仿宋_GB2312" w:hAnsi="仿宋_GB2312" w:eastAsia="仿宋_GB2312" w:cs="仿宋_GB2312"/>
          <w:i w:val="0"/>
          <w:iCs w:val="0"/>
          <w:caps w:val="0"/>
          <w:color w:val="auto"/>
          <w:spacing w:val="0"/>
          <w:sz w:val="31"/>
          <w:szCs w:val="31"/>
        </w:rPr>
      </w:pPr>
      <w:r>
        <w:rPr>
          <w:rFonts w:ascii="仿宋_GB2312" w:hAnsi="仿宋_GB2312" w:eastAsia="仿宋_GB2312" w:cs="仿宋_GB2312"/>
          <w:i w:val="0"/>
          <w:iCs w:val="0"/>
          <w:caps w:val="0"/>
          <w:color w:val="auto"/>
          <w:spacing w:val="0"/>
          <w:kern w:val="0"/>
          <w:sz w:val="31"/>
          <w:szCs w:val="31"/>
          <w:shd w:val="clear" w:fill="FFFFFF"/>
          <w:lang w:val="en-US" w:eastAsia="zh-CN" w:bidi="ar"/>
        </w:rPr>
        <w:t>2024年度一般公共预算财政拨款基本支出3,719.7万元，其中</w:t>
      </w:r>
      <w:r>
        <w:rPr>
          <w:rFonts w:hint="eastAsia" w:ascii="仿宋_GB2312" w:hAnsi="仿宋_GB2312" w:eastAsia="仿宋_GB2312" w:cs="仿宋_GB2312"/>
          <w:i w:val="0"/>
          <w:iCs w:val="0"/>
          <w:caps w:val="0"/>
          <w:color w:val="auto"/>
          <w:spacing w:val="0"/>
          <w:kern w:val="0"/>
          <w:sz w:val="31"/>
          <w:szCs w:val="31"/>
          <w:shd w:val="clear" w:fill="FFFFFF"/>
          <w:lang w:val="en-US" w:eastAsia="zh-CN" w:bidi="ar"/>
        </w:rPr>
        <w:t>：</w:t>
      </w:r>
      <w:r>
        <w:rPr>
          <w:rFonts w:ascii="仿宋_GB2312" w:hAnsi="仿宋_GB2312" w:eastAsia="仿宋_GB2312" w:cs="仿宋_GB2312"/>
          <w:i w:val="0"/>
          <w:iCs w:val="0"/>
          <w:caps w:val="0"/>
          <w:color w:val="auto"/>
          <w:spacing w:val="0"/>
          <w:kern w:val="0"/>
          <w:sz w:val="31"/>
          <w:szCs w:val="31"/>
          <w:shd w:val="clear" w:fill="FFFFFF"/>
          <w:lang w:val="en-US" w:eastAsia="zh-CN" w:bidi="ar"/>
        </w:rPr>
        <w:t>人员经费3,655.85万元，包括</w:t>
      </w:r>
      <w:r>
        <w:rPr>
          <w:rFonts w:hint="eastAsia" w:ascii="仿宋_GB2312" w:hAnsi="仿宋_GB2312" w:eastAsia="仿宋_GB2312" w:cs="仿宋_GB2312"/>
          <w:i w:val="0"/>
          <w:iCs w:val="0"/>
          <w:caps w:val="0"/>
          <w:color w:val="auto"/>
          <w:spacing w:val="0"/>
          <w:kern w:val="0"/>
          <w:sz w:val="31"/>
          <w:szCs w:val="31"/>
          <w:shd w:val="clear" w:fill="FFFFFF"/>
          <w:lang w:val="en-US" w:eastAsia="zh-CN" w:bidi="ar"/>
        </w:rPr>
        <w:t>：</w:t>
      </w:r>
      <w:r>
        <w:rPr>
          <w:rFonts w:ascii="仿宋_GB2312" w:hAnsi="仿宋_GB2312" w:eastAsia="仿宋_GB2312" w:cs="仿宋_GB2312"/>
          <w:i w:val="0"/>
          <w:iCs w:val="0"/>
          <w:caps w:val="0"/>
          <w:color w:val="auto"/>
          <w:spacing w:val="0"/>
          <w:kern w:val="0"/>
          <w:sz w:val="31"/>
          <w:szCs w:val="31"/>
          <w:shd w:val="clear" w:fill="FFFFFF"/>
          <w:lang w:val="en-US" w:eastAsia="zh-CN" w:bidi="ar"/>
        </w:rPr>
        <w:t>基本工资、津贴补贴、奖金、机关事业单位基本养老保险缴费、职工基本医疗保险缴费、公务员医疗补助缴费、其他社会保障缴费、住房公积金、其他工资福利支出和生活补助。</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ascii="仿宋_GB2312" w:hAnsi="仿宋_GB2312" w:eastAsia="仿宋_GB2312" w:cs="仿宋_GB2312"/>
          <w:i w:val="0"/>
          <w:iCs w:val="0"/>
          <w:caps w:val="0"/>
          <w:color w:val="auto"/>
          <w:spacing w:val="0"/>
          <w:sz w:val="31"/>
          <w:szCs w:val="31"/>
        </w:rPr>
      </w:pPr>
      <w:r>
        <w:rPr>
          <w:rFonts w:ascii="仿宋_GB2312" w:hAnsi="仿宋_GB2312" w:eastAsia="仿宋_GB2312" w:cs="仿宋_GB2312"/>
          <w:i w:val="0"/>
          <w:iCs w:val="0"/>
          <w:caps w:val="0"/>
          <w:color w:val="auto"/>
          <w:spacing w:val="0"/>
          <w:kern w:val="0"/>
          <w:sz w:val="31"/>
          <w:szCs w:val="31"/>
          <w:shd w:val="clear" w:fill="FFFFFF"/>
          <w:lang w:val="en-US" w:eastAsia="zh-CN" w:bidi="ar"/>
        </w:rPr>
        <w:t>公用经费63.85万元，包括：办公费、邮电费、差旅费、培训费、工会经费、福利费和公务用车运行维护费。</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ascii="黑体" w:hAnsi="宋体" w:eastAsia="黑体" w:cs="黑体"/>
          <w:i w:val="0"/>
          <w:iCs w:val="0"/>
          <w:caps w:val="0"/>
          <w:color w:val="auto"/>
          <w:spacing w:val="0"/>
          <w:sz w:val="31"/>
          <w:szCs w:val="31"/>
        </w:rPr>
      </w:pPr>
      <w:r>
        <w:rPr>
          <w:rFonts w:ascii="黑体" w:hAnsi="宋体" w:eastAsia="黑体" w:cs="黑体"/>
          <w:i w:val="0"/>
          <w:iCs w:val="0"/>
          <w:caps w:val="0"/>
          <w:color w:val="auto"/>
          <w:spacing w:val="0"/>
          <w:kern w:val="0"/>
          <w:sz w:val="31"/>
          <w:szCs w:val="31"/>
          <w:shd w:val="clear" w:fill="FFFFFF"/>
          <w:lang w:val="en-US" w:eastAsia="zh-CN" w:bidi="ar"/>
        </w:rPr>
        <w:t>七、政府性基金预算财政拨款收入支出决算情况说明​如不公开此处内容请勾选此按钮​</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ascii="仿宋_GB2312" w:hAnsi="仿宋_GB2312" w:eastAsia="仿宋_GB2312" w:cs="仿宋_GB2312"/>
          <w:i w:val="0"/>
          <w:iCs w:val="0"/>
          <w:caps w:val="0"/>
          <w:color w:val="auto"/>
          <w:spacing w:val="0"/>
          <w:sz w:val="31"/>
          <w:szCs w:val="31"/>
        </w:rPr>
      </w:pPr>
      <w:r>
        <w:rPr>
          <w:rFonts w:ascii="仿宋_GB2312" w:hAnsi="仿宋_GB2312" w:eastAsia="仿宋_GB2312" w:cs="仿宋_GB2312"/>
          <w:i w:val="0"/>
          <w:iCs w:val="0"/>
          <w:caps w:val="0"/>
          <w:color w:val="auto"/>
          <w:spacing w:val="0"/>
          <w:kern w:val="0"/>
          <w:sz w:val="31"/>
          <w:szCs w:val="31"/>
          <w:shd w:val="clear" w:fill="FFFFFF"/>
          <w:lang w:val="en-US" w:eastAsia="zh-CN" w:bidi="ar"/>
        </w:rPr>
        <w:t>本单位本年度无政府性基金预算财政拨款收入支出及结转和结余政府性基金预算财政拨款收入支出决算表为空表。</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ascii="黑体" w:hAnsi="宋体" w:eastAsia="黑体" w:cs="黑体"/>
          <w:i w:val="0"/>
          <w:iCs w:val="0"/>
          <w:caps w:val="0"/>
          <w:color w:val="auto"/>
          <w:spacing w:val="0"/>
          <w:sz w:val="31"/>
          <w:szCs w:val="31"/>
        </w:rPr>
      </w:pPr>
      <w:r>
        <w:rPr>
          <w:rFonts w:ascii="黑体" w:hAnsi="宋体" w:eastAsia="黑体" w:cs="黑体"/>
          <w:i w:val="0"/>
          <w:iCs w:val="0"/>
          <w:caps w:val="0"/>
          <w:color w:val="auto"/>
          <w:spacing w:val="0"/>
          <w:kern w:val="0"/>
          <w:sz w:val="31"/>
          <w:szCs w:val="31"/>
          <w:shd w:val="clear" w:fill="FFFFFF"/>
          <w:lang w:val="en-US" w:eastAsia="zh-CN" w:bidi="ar"/>
        </w:rPr>
        <w:t>八、国有资本经营预算财政拨款收入支出决算情况说明​如不公开此处内容请勾选此按钮​</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ascii="仿宋_GB2312" w:hAnsi="仿宋_GB2312" w:eastAsia="仿宋_GB2312" w:cs="仿宋_GB2312"/>
          <w:i w:val="0"/>
          <w:iCs w:val="0"/>
          <w:caps w:val="0"/>
          <w:color w:val="auto"/>
          <w:spacing w:val="0"/>
          <w:sz w:val="31"/>
          <w:szCs w:val="31"/>
        </w:rPr>
      </w:pPr>
      <w:r>
        <w:rPr>
          <w:rFonts w:ascii="仿宋_GB2312" w:hAnsi="仿宋_GB2312" w:eastAsia="仿宋_GB2312" w:cs="仿宋_GB2312"/>
          <w:i w:val="0"/>
          <w:iCs w:val="0"/>
          <w:caps w:val="0"/>
          <w:color w:val="auto"/>
          <w:spacing w:val="0"/>
          <w:kern w:val="0"/>
          <w:sz w:val="31"/>
          <w:szCs w:val="31"/>
          <w:shd w:val="clear" w:fill="FFFFFF"/>
          <w:lang w:val="en-US" w:eastAsia="zh-CN" w:bidi="ar"/>
        </w:rPr>
        <w:t>本单位本年度无国有资本经营预算财政拨款收入、支出及结转和结余，国有资本经营预算财政拨款收入支出决算表为空表。</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ascii="黑体" w:hAnsi="宋体" w:eastAsia="黑体" w:cs="黑体"/>
          <w:i w:val="0"/>
          <w:iCs w:val="0"/>
          <w:caps w:val="0"/>
          <w:color w:val="auto"/>
          <w:spacing w:val="0"/>
          <w:sz w:val="31"/>
          <w:szCs w:val="31"/>
        </w:rPr>
      </w:pPr>
      <w:r>
        <w:rPr>
          <w:rFonts w:ascii="黑体" w:hAnsi="宋体" w:eastAsia="黑体" w:cs="黑体"/>
          <w:i w:val="0"/>
          <w:iCs w:val="0"/>
          <w:caps w:val="0"/>
          <w:color w:val="auto"/>
          <w:spacing w:val="0"/>
          <w:kern w:val="0"/>
          <w:sz w:val="31"/>
          <w:szCs w:val="31"/>
          <w:shd w:val="clear" w:fill="FFFFFF"/>
          <w:lang w:val="en-US" w:eastAsia="zh-CN" w:bidi="ar"/>
        </w:rPr>
        <w:t>九、财政拨款“三公”经费支出决算情况说明</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ascii="仿宋_GB2312" w:hAnsi="仿宋_GB2312" w:eastAsia="仿宋_GB2312" w:cs="仿宋_GB2312"/>
          <w:i w:val="0"/>
          <w:iCs w:val="0"/>
          <w:caps w:val="0"/>
          <w:color w:val="auto"/>
          <w:spacing w:val="0"/>
          <w:sz w:val="31"/>
          <w:szCs w:val="31"/>
        </w:rPr>
      </w:pPr>
      <w:r>
        <w:rPr>
          <w:rFonts w:ascii="仿宋_GB2312" w:hAnsi="仿宋_GB2312" w:eastAsia="仿宋_GB2312" w:cs="仿宋_GB2312"/>
          <w:i w:val="0"/>
          <w:iCs w:val="0"/>
          <w:caps w:val="0"/>
          <w:color w:val="auto"/>
          <w:spacing w:val="0"/>
          <w:kern w:val="0"/>
          <w:sz w:val="31"/>
          <w:szCs w:val="31"/>
          <w:shd w:val="clear" w:fill="FFFFFF"/>
          <w:lang w:val="en-US" w:eastAsia="zh-CN" w:bidi="ar"/>
        </w:rPr>
        <w:t>2024年度财政拨款“三公”经费支出7.84万元，比上年减少2.38万元，下降23.29%，主要原因是</w:t>
      </w:r>
      <w:r>
        <w:rPr>
          <w:rFonts w:hint="eastAsia" w:ascii="仿宋_GB2312" w:hAnsi="仿宋_GB2312" w:eastAsia="仿宋_GB2312" w:cs="仿宋_GB2312"/>
          <w:i w:val="0"/>
          <w:iCs w:val="0"/>
          <w:caps w:val="0"/>
          <w:color w:val="auto"/>
          <w:spacing w:val="0"/>
          <w:kern w:val="0"/>
          <w:sz w:val="31"/>
          <w:szCs w:val="31"/>
          <w:shd w:val="clear" w:fill="FFFFFF"/>
          <w:lang w:val="en-US" w:eastAsia="zh-CN" w:bidi="ar"/>
        </w:rPr>
        <w:t>：</w:t>
      </w:r>
      <w:r>
        <w:rPr>
          <w:rFonts w:hint="default" w:ascii="Times New Roman" w:hAnsi="Times New Roman" w:eastAsia="方正仿宋_GBK" w:cs="Times New Roman"/>
          <w:color w:val="auto"/>
          <w:sz w:val="31"/>
          <w:szCs w:val="31"/>
          <w:lang w:val="en-US" w:eastAsia="zh-CN"/>
        </w:rPr>
        <w:t>厉行节约，车辆运行经费减少</w:t>
      </w:r>
      <w:r>
        <w:rPr>
          <w:rFonts w:hint="default" w:ascii="Times New Roman" w:hAnsi="Times New Roman" w:eastAsia="方正仿宋_GBK" w:cs="Times New Roman"/>
          <w:color w:val="auto"/>
          <w:sz w:val="31"/>
          <w:szCs w:val="31"/>
        </w:rPr>
        <w:t>。</w:t>
      </w:r>
      <w:r>
        <w:rPr>
          <w:rFonts w:ascii="仿宋_GB2312" w:hAnsi="仿宋_GB2312" w:eastAsia="仿宋_GB2312" w:cs="仿宋_GB2312"/>
          <w:i w:val="0"/>
          <w:iCs w:val="0"/>
          <w:caps w:val="0"/>
          <w:color w:val="auto"/>
          <w:spacing w:val="0"/>
          <w:kern w:val="0"/>
          <w:sz w:val="31"/>
          <w:szCs w:val="31"/>
          <w:shd w:val="clear" w:fill="FFFFFF"/>
          <w:lang w:val="en-US" w:eastAsia="zh-CN" w:bidi="ar"/>
        </w:rPr>
        <w:t>其中：因公出国（境）费支出0万元,占0%，与上年相比无变化，主要原因是：</w:t>
      </w:r>
      <w:r>
        <w:rPr>
          <w:rFonts w:hint="eastAsia" w:ascii="仿宋_GB2312" w:hAnsi="Times New Roman" w:eastAsia="仿宋_GB2312" w:cs="Times New Roman"/>
          <w:sz w:val="32"/>
          <w:szCs w:val="32"/>
          <w:highlight w:val="none"/>
          <w:lang w:val="en-US" w:eastAsia="zh-CN"/>
        </w:rPr>
        <w:t>我单位</w:t>
      </w:r>
      <w:r>
        <w:rPr>
          <w:rFonts w:hint="default" w:ascii="仿宋_GB2312" w:hAnsi="Times New Roman" w:eastAsia="仿宋_GB2312" w:cs="Times New Roman"/>
          <w:sz w:val="32"/>
          <w:szCs w:val="32"/>
          <w:highlight w:val="none"/>
          <w:lang w:val="en-US" w:eastAsia="zh-CN"/>
        </w:rPr>
        <w:t>无因公出国（境）支出</w:t>
      </w:r>
      <w:r>
        <w:rPr>
          <w:rFonts w:ascii="仿宋_GB2312" w:hAnsi="仿宋_GB2312" w:eastAsia="仿宋_GB2312" w:cs="仿宋_GB2312"/>
          <w:i w:val="0"/>
          <w:iCs w:val="0"/>
          <w:caps w:val="0"/>
          <w:color w:val="auto"/>
          <w:spacing w:val="0"/>
          <w:kern w:val="0"/>
          <w:sz w:val="31"/>
          <w:szCs w:val="31"/>
          <w:shd w:val="clear" w:fill="FFFFFF"/>
          <w:lang w:val="en-US" w:eastAsia="zh-CN" w:bidi="ar"/>
        </w:rPr>
        <w:t>；公务用车购置及运行维护费支出7.84万元，占100%，比上年减少2.38万元，下降23.29%，主要原因是</w:t>
      </w:r>
      <w:r>
        <w:rPr>
          <w:rFonts w:hint="default" w:ascii="Times New Roman" w:hAnsi="Times New Roman" w:eastAsia="方正仿宋_GBK" w:cs="Times New Roman"/>
          <w:color w:val="auto"/>
          <w:sz w:val="31"/>
          <w:szCs w:val="31"/>
          <w:lang w:val="en-US" w:eastAsia="zh-CN"/>
        </w:rPr>
        <w:t>厉行节约，车辆运行经费减少</w:t>
      </w:r>
      <w:r>
        <w:rPr>
          <w:rFonts w:hint="eastAsia" w:ascii="Times New Roman" w:hAnsi="Times New Roman" w:eastAsia="方正仿宋_GBK" w:cs="Times New Roman"/>
          <w:color w:val="auto"/>
          <w:sz w:val="31"/>
          <w:szCs w:val="31"/>
          <w:lang w:val="en-US" w:eastAsia="zh-CN"/>
        </w:rPr>
        <w:t>；</w:t>
      </w:r>
      <w:r>
        <w:rPr>
          <w:rFonts w:ascii="仿宋_GB2312" w:hAnsi="仿宋_GB2312" w:eastAsia="仿宋_GB2312" w:cs="仿宋_GB2312"/>
          <w:i w:val="0"/>
          <w:iCs w:val="0"/>
          <w:caps w:val="0"/>
          <w:color w:val="auto"/>
          <w:spacing w:val="0"/>
          <w:kern w:val="0"/>
          <w:sz w:val="31"/>
          <w:szCs w:val="31"/>
          <w:shd w:val="clear" w:fill="FFFFFF"/>
          <w:lang w:val="en-US" w:eastAsia="zh-CN" w:bidi="ar"/>
        </w:rPr>
        <w:t>公务接待费支出0万元，占0%，与上年相比无变化，主要原因是：</w:t>
      </w:r>
      <w:r>
        <w:rPr>
          <w:rFonts w:hint="eastAsia" w:ascii="仿宋_GB2312" w:hAnsi="Times New Roman" w:eastAsia="仿宋_GB2312" w:cs="Times New Roman"/>
          <w:sz w:val="32"/>
          <w:szCs w:val="32"/>
          <w:highlight w:val="none"/>
          <w:lang w:val="en-US" w:eastAsia="zh-CN"/>
        </w:rPr>
        <w:t>我单位无</w:t>
      </w:r>
      <w:r>
        <w:rPr>
          <w:rFonts w:hint="default" w:ascii="仿宋_GB2312" w:hAnsi="Times New Roman" w:eastAsia="仿宋_GB2312" w:cs="Times New Roman"/>
          <w:sz w:val="32"/>
          <w:szCs w:val="32"/>
          <w:highlight w:val="none"/>
          <w:lang w:val="en-US" w:eastAsia="zh-CN"/>
        </w:rPr>
        <w:t>公务接待</w:t>
      </w:r>
      <w:r>
        <w:rPr>
          <w:rFonts w:hint="eastAsia" w:ascii="仿宋_GB2312" w:hAnsi="Times New Roman" w:eastAsia="仿宋_GB2312" w:cs="Times New Roman"/>
          <w:sz w:val="32"/>
          <w:szCs w:val="32"/>
          <w:highlight w:val="none"/>
          <w:lang w:val="en-US" w:eastAsia="zh-CN"/>
        </w:rPr>
        <w:t>支出</w:t>
      </w:r>
      <w:r>
        <w:rPr>
          <w:rFonts w:ascii="仿宋_GB2312" w:hAnsi="仿宋_GB2312" w:eastAsia="仿宋_GB2312" w:cs="仿宋_GB2312"/>
          <w:i w:val="0"/>
          <w:iCs w:val="0"/>
          <w:caps w:val="0"/>
          <w:color w:val="auto"/>
          <w:spacing w:val="0"/>
          <w:kern w:val="0"/>
          <w:sz w:val="31"/>
          <w:szCs w:val="31"/>
          <w:shd w:val="clear" w:fill="FFFFFF"/>
          <w:lang w:val="en-US" w:eastAsia="zh-CN" w:bidi="ar"/>
        </w:rPr>
        <w:t>。</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ascii="仿宋_GB2312" w:hAnsi="仿宋_GB2312" w:eastAsia="仿宋_GB2312" w:cs="仿宋_GB2312"/>
          <w:i w:val="0"/>
          <w:iCs w:val="0"/>
          <w:caps w:val="0"/>
          <w:color w:val="auto"/>
          <w:spacing w:val="0"/>
          <w:sz w:val="31"/>
          <w:szCs w:val="31"/>
        </w:rPr>
      </w:pPr>
      <w:r>
        <w:rPr>
          <w:rFonts w:ascii="仿宋_GB2312" w:hAnsi="仿宋_GB2312" w:eastAsia="仿宋_GB2312" w:cs="仿宋_GB2312"/>
          <w:i w:val="0"/>
          <w:iCs w:val="0"/>
          <w:caps w:val="0"/>
          <w:color w:val="auto"/>
          <w:spacing w:val="0"/>
          <w:kern w:val="0"/>
          <w:sz w:val="31"/>
          <w:szCs w:val="31"/>
          <w:shd w:val="clear" w:fill="FFFFFF"/>
          <w:lang w:val="en-US" w:eastAsia="zh-CN" w:bidi="ar"/>
        </w:rPr>
        <w:t>具体情况如下：</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ascii="仿宋_GB2312" w:hAnsi="仿宋_GB2312" w:eastAsia="仿宋_GB2312" w:cs="仿宋_GB2312"/>
          <w:i w:val="0"/>
          <w:iCs w:val="0"/>
          <w:caps w:val="0"/>
          <w:color w:val="auto"/>
          <w:spacing w:val="0"/>
          <w:sz w:val="31"/>
          <w:szCs w:val="31"/>
        </w:rPr>
      </w:pPr>
      <w:r>
        <w:rPr>
          <w:rFonts w:ascii="仿宋_GB2312" w:hAnsi="仿宋_GB2312" w:eastAsia="仿宋_GB2312" w:cs="仿宋_GB2312"/>
          <w:i w:val="0"/>
          <w:iCs w:val="0"/>
          <w:caps w:val="0"/>
          <w:color w:val="auto"/>
          <w:spacing w:val="0"/>
          <w:kern w:val="0"/>
          <w:sz w:val="31"/>
          <w:szCs w:val="31"/>
          <w:shd w:val="clear" w:fill="FFFFFF"/>
          <w:lang w:val="en-US" w:eastAsia="zh-CN" w:bidi="ar"/>
        </w:rPr>
        <w:t>因公出国（境）费支出0万元，开支内容</w:t>
      </w:r>
      <w:r>
        <w:rPr>
          <w:rFonts w:hint="eastAsia" w:ascii="仿宋_GB2312" w:hAnsi="Times New Roman" w:eastAsia="仿宋_GB2312" w:cs="Times New Roman"/>
          <w:sz w:val="32"/>
          <w:szCs w:val="32"/>
          <w:highlight w:val="none"/>
          <w:lang w:val="zh-CN" w:eastAsia="zh-CN"/>
        </w:rPr>
        <w:t>包括</w:t>
      </w:r>
      <w:r>
        <w:rPr>
          <w:rFonts w:hint="eastAsia" w:ascii="仿宋_GB2312" w:hAnsi="Times New Roman" w:eastAsia="仿宋_GB2312" w:cs="Times New Roman"/>
          <w:sz w:val="32"/>
          <w:szCs w:val="32"/>
          <w:highlight w:val="none"/>
          <w:lang w:val="en-US" w:eastAsia="zh-CN"/>
        </w:rPr>
        <w:t>我单位</w:t>
      </w:r>
      <w:r>
        <w:rPr>
          <w:rFonts w:hint="default" w:ascii="仿宋_GB2312" w:hAnsi="Times New Roman" w:eastAsia="仿宋_GB2312" w:cs="Times New Roman"/>
          <w:sz w:val="32"/>
          <w:szCs w:val="32"/>
          <w:highlight w:val="none"/>
          <w:lang w:val="en-US" w:eastAsia="zh-CN"/>
        </w:rPr>
        <w:t>无因公出国（境）支出</w:t>
      </w:r>
      <w:r>
        <w:rPr>
          <w:rFonts w:hint="eastAsia" w:ascii="仿宋_GB2312" w:hAnsi="Times New Roman" w:eastAsia="仿宋_GB2312" w:cs="Times New Roman"/>
          <w:sz w:val="32"/>
          <w:szCs w:val="32"/>
          <w:highlight w:val="none"/>
          <w:lang w:val="zh-CN" w:eastAsia="zh-CN"/>
        </w:rPr>
        <w:t>。</w:t>
      </w:r>
      <w:r>
        <w:rPr>
          <w:rFonts w:ascii="仿宋_GB2312" w:hAnsi="仿宋_GB2312" w:eastAsia="仿宋_GB2312" w:cs="仿宋_GB2312"/>
          <w:i w:val="0"/>
          <w:iCs w:val="0"/>
          <w:caps w:val="0"/>
          <w:color w:val="auto"/>
          <w:spacing w:val="0"/>
          <w:kern w:val="0"/>
          <w:sz w:val="31"/>
          <w:szCs w:val="31"/>
          <w:shd w:val="clear" w:fill="FFFFFF"/>
          <w:lang w:val="en-US" w:eastAsia="zh-CN" w:bidi="ar"/>
        </w:rPr>
        <w:t>单位全年安排的因公出国（境）团组0个，因公出国（境）0人次。</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hint="eastAsia" w:ascii="仿宋_GB2312" w:hAnsi="Times New Roman" w:eastAsia="仿宋_GB2312" w:cs="Times New Roman"/>
          <w:sz w:val="32"/>
          <w:szCs w:val="32"/>
          <w:highlight w:val="none"/>
          <w:lang w:val="zh-CN" w:eastAsia="zh-CN"/>
        </w:rPr>
      </w:pPr>
      <w:r>
        <w:rPr>
          <w:rFonts w:ascii="仿宋_GB2312" w:hAnsi="仿宋_GB2312" w:eastAsia="仿宋_GB2312" w:cs="仿宋_GB2312"/>
          <w:i w:val="0"/>
          <w:iCs w:val="0"/>
          <w:caps w:val="0"/>
          <w:color w:val="auto"/>
          <w:spacing w:val="0"/>
          <w:kern w:val="0"/>
          <w:sz w:val="31"/>
          <w:szCs w:val="31"/>
          <w:shd w:val="clear" w:fill="FFFFFF"/>
          <w:lang w:val="en-US" w:eastAsia="zh-CN" w:bidi="ar"/>
        </w:rPr>
        <w:t>公务用车购置及运行维护费7.84万元，其中：公务用车购置费0万元，公务用车运行维护费7.84万元。公务用车运行维护费开支</w:t>
      </w:r>
      <w:r>
        <w:rPr>
          <w:rFonts w:ascii="仿宋_GB2312" w:hAnsi="仿宋_GB2312" w:eastAsia="仿宋_GB2312" w:cs="仿宋_GB2312"/>
          <w:i w:val="0"/>
          <w:iCs w:val="0"/>
          <w:caps w:val="0"/>
          <w:color w:val="auto"/>
          <w:spacing w:val="0"/>
          <w:kern w:val="0"/>
          <w:sz w:val="31"/>
          <w:szCs w:val="31"/>
          <w:highlight w:val="none"/>
          <w:shd w:val="clear" w:fill="FFFFFF"/>
          <w:lang w:val="en-US" w:eastAsia="zh-CN" w:bidi="ar"/>
        </w:rPr>
        <w:t>内容包括</w:t>
      </w:r>
      <w:r>
        <w:rPr>
          <w:rFonts w:ascii="仿宋_GB2312" w:eastAsia="仿宋_GB2312"/>
          <w:b w:val="0"/>
          <w:sz w:val="32"/>
          <w:szCs w:val="32"/>
          <w:highlight w:val="none"/>
        </w:rPr>
        <w:t>车辆保险费、车辆保养维修费、车辆燃油费。</w:t>
      </w:r>
      <w:r>
        <w:rPr>
          <w:rFonts w:ascii="仿宋_GB2312" w:hAnsi="仿宋_GB2312" w:eastAsia="仿宋_GB2312" w:cs="仿宋_GB2312"/>
          <w:i w:val="0"/>
          <w:iCs w:val="0"/>
          <w:caps w:val="0"/>
          <w:color w:val="auto"/>
          <w:spacing w:val="0"/>
          <w:kern w:val="0"/>
          <w:sz w:val="31"/>
          <w:szCs w:val="31"/>
          <w:highlight w:val="none"/>
          <w:shd w:val="clear" w:fill="FFFFFF"/>
          <w:lang w:val="en-US" w:eastAsia="zh-CN" w:bidi="ar"/>
        </w:rPr>
        <w:t>公务</w:t>
      </w:r>
      <w:r>
        <w:rPr>
          <w:rFonts w:ascii="仿宋_GB2312" w:hAnsi="仿宋_GB2312" w:eastAsia="仿宋_GB2312" w:cs="仿宋_GB2312"/>
          <w:i w:val="0"/>
          <w:iCs w:val="0"/>
          <w:caps w:val="0"/>
          <w:color w:val="auto"/>
          <w:spacing w:val="0"/>
          <w:kern w:val="0"/>
          <w:sz w:val="31"/>
          <w:szCs w:val="31"/>
          <w:shd w:val="clear" w:fill="FFFFFF"/>
          <w:lang w:val="en-US" w:eastAsia="zh-CN" w:bidi="ar"/>
        </w:rPr>
        <w:t>用车购置数0辆，公务用车保有量3辆。国有资产占用情况中固定资产车辆3辆，与公务用车保有量差异原因是：</w:t>
      </w:r>
      <w:r>
        <w:rPr>
          <w:rFonts w:hint="eastAsia" w:ascii="仿宋_GB2312" w:hAnsi="Times New Roman" w:eastAsia="仿宋_GB2312" w:cs="Times New Roman"/>
          <w:sz w:val="32"/>
          <w:szCs w:val="32"/>
          <w:highlight w:val="none"/>
          <w:lang w:val="zh-CN" w:eastAsia="zh-CN"/>
        </w:rPr>
        <w:t>固定资产车辆与公务用车保有量无差异。</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both"/>
        <w:textAlignment w:val="auto"/>
        <w:rPr>
          <w:rFonts w:hint="eastAsia" w:ascii="仿宋_GB2312" w:hAnsi="Times New Roman" w:eastAsia="仿宋_GB2312" w:cs="Times New Roman"/>
          <w:sz w:val="32"/>
          <w:szCs w:val="32"/>
          <w:highlight w:val="none"/>
          <w:lang w:val="zh-CN" w:eastAsia="zh-CN"/>
        </w:rPr>
      </w:pPr>
      <w:r>
        <w:rPr>
          <w:rFonts w:ascii="仿宋_GB2312" w:hAnsi="仿宋_GB2312" w:eastAsia="仿宋_GB2312" w:cs="仿宋_GB2312"/>
          <w:i w:val="0"/>
          <w:iCs w:val="0"/>
          <w:caps w:val="0"/>
          <w:color w:val="auto"/>
          <w:spacing w:val="0"/>
          <w:kern w:val="0"/>
          <w:sz w:val="31"/>
          <w:szCs w:val="31"/>
          <w:shd w:val="clear" w:fill="FFFFFF"/>
          <w:lang w:val="en-US" w:eastAsia="zh-CN" w:bidi="ar"/>
        </w:rPr>
        <w:t>公务接待费0万元，</w:t>
      </w:r>
      <w:r>
        <w:rPr>
          <w:rFonts w:hint="eastAsia" w:ascii="仿宋_GB2312" w:hAnsi="Times New Roman" w:eastAsia="仿宋_GB2312" w:cs="Times New Roman"/>
          <w:sz w:val="32"/>
          <w:szCs w:val="32"/>
          <w:highlight w:val="none"/>
          <w:lang w:val="zh-CN" w:eastAsia="zh-CN"/>
        </w:rPr>
        <w:t>开支内容包括</w:t>
      </w:r>
      <w:r>
        <w:rPr>
          <w:rFonts w:hint="eastAsia" w:ascii="仿宋_GB2312" w:hAnsi="Times New Roman" w:eastAsia="仿宋_GB2312" w:cs="Times New Roman"/>
          <w:sz w:val="32"/>
          <w:szCs w:val="32"/>
          <w:highlight w:val="none"/>
          <w:lang w:val="en-US" w:eastAsia="zh-CN"/>
        </w:rPr>
        <w:t>我单位无</w:t>
      </w:r>
      <w:r>
        <w:rPr>
          <w:rFonts w:hint="default" w:ascii="仿宋_GB2312" w:hAnsi="Times New Roman" w:eastAsia="仿宋_GB2312" w:cs="Times New Roman"/>
          <w:sz w:val="32"/>
          <w:szCs w:val="32"/>
          <w:highlight w:val="none"/>
          <w:lang w:val="en-US" w:eastAsia="zh-CN"/>
        </w:rPr>
        <w:t>公务接待</w:t>
      </w:r>
      <w:r>
        <w:rPr>
          <w:rFonts w:hint="eastAsia" w:ascii="仿宋_GB2312" w:hAnsi="Times New Roman" w:eastAsia="仿宋_GB2312" w:cs="Times New Roman"/>
          <w:sz w:val="32"/>
          <w:szCs w:val="32"/>
          <w:highlight w:val="none"/>
          <w:lang w:val="en-US" w:eastAsia="zh-CN"/>
        </w:rPr>
        <w:t>支出</w:t>
      </w:r>
      <w:r>
        <w:rPr>
          <w:rFonts w:hint="eastAsia" w:ascii="仿宋_GB2312" w:hAnsi="Times New Roman" w:eastAsia="仿宋_GB2312" w:cs="Times New Roman"/>
          <w:sz w:val="32"/>
          <w:szCs w:val="32"/>
          <w:highlight w:val="none"/>
          <w:lang w:val="zh-CN" w:eastAsia="zh-CN"/>
        </w:rPr>
        <w:t>。单位全年安排的国内公务接待0批次，0人次。</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ascii="仿宋_GB2312" w:hAnsi="仿宋_GB2312" w:eastAsia="仿宋_GB2312" w:cs="仿宋_GB2312"/>
          <w:i w:val="0"/>
          <w:iCs w:val="0"/>
          <w:caps w:val="0"/>
          <w:color w:val="auto"/>
          <w:spacing w:val="0"/>
          <w:sz w:val="31"/>
          <w:szCs w:val="31"/>
        </w:rPr>
      </w:pPr>
      <w:r>
        <w:rPr>
          <w:rFonts w:ascii="仿宋_GB2312" w:hAnsi="仿宋_GB2312" w:eastAsia="仿宋_GB2312" w:cs="仿宋_GB2312"/>
          <w:i w:val="0"/>
          <w:iCs w:val="0"/>
          <w:caps w:val="0"/>
          <w:color w:val="auto"/>
          <w:spacing w:val="0"/>
          <w:kern w:val="0"/>
          <w:sz w:val="31"/>
          <w:szCs w:val="31"/>
          <w:shd w:val="clear" w:fill="FFFFFF"/>
          <w:lang w:val="en-US" w:eastAsia="zh-CN" w:bidi="ar"/>
        </w:rPr>
        <w:t>与全年预算相比，财政拨款“三公”经费支出全年预算数7.84万元，决算数7.84万元，预决算差异率0%，主要原因是</w:t>
      </w:r>
      <w:r>
        <w:rPr>
          <w:rFonts w:hint="eastAsia" w:ascii="仿宋_GB2312" w:hAnsi="Times New Roman" w:eastAsia="仿宋_GB2312" w:cs="Times New Roman"/>
          <w:sz w:val="32"/>
          <w:szCs w:val="32"/>
          <w:highlight w:val="none"/>
          <w:lang w:val="zh-CN" w:eastAsia="zh-CN"/>
        </w:rPr>
        <w:t>：预决算一致无差异。</w:t>
      </w:r>
      <w:r>
        <w:rPr>
          <w:rFonts w:ascii="仿宋_GB2312" w:hAnsi="仿宋_GB2312" w:eastAsia="仿宋_GB2312" w:cs="仿宋_GB2312"/>
          <w:i w:val="0"/>
          <w:iCs w:val="0"/>
          <w:caps w:val="0"/>
          <w:color w:val="auto"/>
          <w:spacing w:val="0"/>
          <w:kern w:val="0"/>
          <w:sz w:val="31"/>
          <w:szCs w:val="31"/>
          <w:shd w:val="clear" w:fill="FFFFFF"/>
          <w:lang w:val="en-US" w:eastAsia="zh-CN" w:bidi="ar"/>
        </w:rPr>
        <w:t>其中：因公出国（境）费全年预算数0万元，决算数0万元，预决算差异率0%，主要原因是</w:t>
      </w:r>
      <w:r>
        <w:rPr>
          <w:rFonts w:hint="eastAsia" w:ascii="仿宋_GB2312" w:hAnsi="Times New Roman" w:eastAsia="仿宋_GB2312" w:cs="Times New Roman"/>
          <w:sz w:val="32"/>
          <w:szCs w:val="32"/>
          <w:highlight w:val="none"/>
          <w:lang w:val="zh-CN" w:eastAsia="zh-CN"/>
        </w:rPr>
        <w:t>：</w:t>
      </w:r>
      <w:r>
        <w:rPr>
          <w:rFonts w:hint="eastAsia" w:ascii="仿宋_GB2312" w:hAnsi="Times New Roman" w:eastAsia="仿宋_GB2312" w:cs="Times New Roman"/>
          <w:sz w:val="32"/>
          <w:szCs w:val="32"/>
          <w:highlight w:val="none"/>
          <w:lang w:val="en-US" w:eastAsia="zh-CN"/>
        </w:rPr>
        <w:t>我单位</w:t>
      </w:r>
      <w:r>
        <w:rPr>
          <w:rFonts w:hint="default" w:ascii="仿宋_GB2312" w:hAnsi="Times New Roman" w:eastAsia="仿宋_GB2312" w:cs="Times New Roman"/>
          <w:sz w:val="32"/>
          <w:szCs w:val="32"/>
          <w:highlight w:val="none"/>
          <w:lang w:val="en-US" w:eastAsia="zh-CN"/>
        </w:rPr>
        <w:t>无因公出国（境）</w:t>
      </w:r>
      <w:r>
        <w:rPr>
          <w:rFonts w:hint="eastAsia" w:ascii="仿宋_GB2312" w:hAnsi="Times New Roman" w:eastAsia="仿宋_GB2312" w:cs="Times New Roman"/>
          <w:sz w:val="32"/>
          <w:szCs w:val="32"/>
          <w:highlight w:val="none"/>
          <w:lang w:val="en-US" w:eastAsia="zh-CN"/>
        </w:rPr>
        <w:t>费。</w:t>
      </w:r>
      <w:r>
        <w:rPr>
          <w:rFonts w:ascii="仿宋_GB2312" w:hAnsi="仿宋_GB2312" w:eastAsia="仿宋_GB2312" w:cs="仿宋_GB2312"/>
          <w:i w:val="0"/>
          <w:iCs w:val="0"/>
          <w:caps w:val="0"/>
          <w:color w:val="auto"/>
          <w:spacing w:val="0"/>
          <w:kern w:val="0"/>
          <w:sz w:val="31"/>
          <w:szCs w:val="31"/>
          <w:shd w:val="clear" w:fill="FFFFFF"/>
          <w:lang w:val="en-US" w:eastAsia="zh-CN" w:bidi="ar"/>
        </w:rPr>
        <w:t>公务用车购置费全年预算数0万元，决算数0万元，预决算差异率0%，</w:t>
      </w:r>
      <w:r>
        <w:rPr>
          <w:rFonts w:hint="eastAsia" w:ascii="仿宋_GB2312" w:hAnsi="Times New Roman" w:eastAsia="仿宋_GB2312" w:cs="Times New Roman"/>
          <w:sz w:val="32"/>
          <w:szCs w:val="32"/>
          <w:highlight w:val="none"/>
          <w:lang w:val="zh-CN" w:eastAsia="zh-CN"/>
        </w:rPr>
        <w:t>：</w:t>
      </w:r>
      <w:r>
        <w:rPr>
          <w:rFonts w:hint="eastAsia" w:ascii="仿宋_GB2312" w:hAnsi="Times New Roman" w:eastAsia="仿宋_GB2312" w:cs="Times New Roman"/>
          <w:sz w:val="32"/>
          <w:szCs w:val="32"/>
          <w:highlight w:val="none"/>
          <w:lang w:val="en-US" w:eastAsia="zh-CN"/>
        </w:rPr>
        <w:t>我单位</w:t>
      </w:r>
      <w:r>
        <w:rPr>
          <w:rFonts w:hint="default" w:ascii="仿宋_GB2312" w:hAnsi="Times New Roman" w:eastAsia="仿宋_GB2312" w:cs="Times New Roman"/>
          <w:sz w:val="32"/>
          <w:szCs w:val="32"/>
          <w:highlight w:val="none"/>
          <w:lang w:val="en-US" w:eastAsia="zh-CN"/>
        </w:rPr>
        <w:t>无</w:t>
      </w:r>
      <w:r>
        <w:rPr>
          <w:rFonts w:hint="eastAsia" w:ascii="仿宋_GB2312" w:hAnsi="Times New Roman" w:eastAsia="仿宋_GB2312" w:cs="Times New Roman"/>
          <w:sz w:val="32"/>
          <w:szCs w:val="32"/>
          <w:highlight w:val="none"/>
          <w:lang w:val="en-US" w:eastAsia="zh-CN"/>
        </w:rPr>
        <w:t>公务用车购置费。</w:t>
      </w:r>
      <w:r>
        <w:rPr>
          <w:rFonts w:ascii="仿宋_GB2312" w:hAnsi="仿宋_GB2312" w:eastAsia="仿宋_GB2312" w:cs="仿宋_GB2312"/>
          <w:i w:val="0"/>
          <w:iCs w:val="0"/>
          <w:caps w:val="0"/>
          <w:color w:val="auto"/>
          <w:spacing w:val="0"/>
          <w:kern w:val="0"/>
          <w:sz w:val="31"/>
          <w:szCs w:val="31"/>
          <w:shd w:val="clear" w:fill="FFFFFF"/>
          <w:lang w:val="en-US" w:eastAsia="zh-CN" w:bidi="ar"/>
        </w:rPr>
        <w:t>公务用车运行维护费全年预算数7.84万元，决算数7.84万元，预决算差异率0%，主要原因是：</w:t>
      </w:r>
      <w:r>
        <w:rPr>
          <w:rFonts w:hint="eastAsia" w:ascii="仿宋_GB2312" w:hAnsi="Times New Roman" w:eastAsia="仿宋_GB2312" w:cs="Times New Roman"/>
          <w:sz w:val="32"/>
          <w:szCs w:val="32"/>
          <w:highlight w:val="none"/>
          <w:lang w:val="zh-CN" w:eastAsia="zh-CN"/>
        </w:rPr>
        <w:t>预决算一致无差异</w:t>
      </w:r>
      <w:r>
        <w:rPr>
          <w:rFonts w:ascii="仿宋_GB2312" w:hAnsi="仿宋_GB2312" w:eastAsia="仿宋_GB2312" w:cs="仿宋_GB2312"/>
          <w:i w:val="0"/>
          <w:iCs w:val="0"/>
          <w:caps w:val="0"/>
          <w:color w:val="auto"/>
          <w:spacing w:val="0"/>
          <w:kern w:val="0"/>
          <w:sz w:val="31"/>
          <w:szCs w:val="31"/>
          <w:shd w:val="clear" w:fill="FFFFFF"/>
          <w:lang w:val="en-US" w:eastAsia="zh-CN" w:bidi="ar"/>
        </w:rPr>
        <w:t>。公务接待费全年预算数0万元，决算数0万元，预决算差异率0%，主要原因是：</w:t>
      </w:r>
      <w:r>
        <w:rPr>
          <w:rFonts w:hint="eastAsia" w:ascii="仿宋_GB2312" w:hAnsi="Times New Roman" w:eastAsia="仿宋_GB2312" w:cs="Times New Roman"/>
          <w:sz w:val="32"/>
          <w:szCs w:val="32"/>
          <w:highlight w:val="none"/>
          <w:lang w:val="en-US" w:eastAsia="zh-CN"/>
        </w:rPr>
        <w:t>我单位</w:t>
      </w:r>
      <w:r>
        <w:rPr>
          <w:rFonts w:hint="default" w:ascii="仿宋_GB2312" w:hAnsi="Times New Roman" w:eastAsia="仿宋_GB2312" w:cs="Times New Roman"/>
          <w:sz w:val="32"/>
          <w:szCs w:val="32"/>
          <w:highlight w:val="none"/>
          <w:lang w:val="en-US" w:eastAsia="zh-CN"/>
        </w:rPr>
        <w:t>无</w:t>
      </w:r>
      <w:r>
        <w:rPr>
          <w:rFonts w:hint="eastAsia" w:ascii="仿宋_GB2312" w:hAnsi="Times New Roman" w:eastAsia="仿宋_GB2312" w:cs="Times New Roman"/>
          <w:sz w:val="32"/>
          <w:szCs w:val="32"/>
          <w:highlight w:val="none"/>
          <w:lang w:val="en-US" w:eastAsia="zh-CN"/>
        </w:rPr>
        <w:t>公务接待费支出</w:t>
      </w:r>
      <w:r>
        <w:rPr>
          <w:rFonts w:ascii="仿宋_GB2312" w:hAnsi="仿宋_GB2312" w:eastAsia="仿宋_GB2312" w:cs="仿宋_GB2312"/>
          <w:i w:val="0"/>
          <w:iCs w:val="0"/>
          <w:caps w:val="0"/>
          <w:color w:val="auto"/>
          <w:spacing w:val="0"/>
          <w:kern w:val="0"/>
          <w:sz w:val="31"/>
          <w:szCs w:val="31"/>
          <w:shd w:val="clear" w:fill="FFFFFF"/>
          <w:lang w:val="en-US" w:eastAsia="zh-CN" w:bidi="ar"/>
        </w:rPr>
        <w:t>。</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ascii="黑体" w:hAnsi="宋体" w:eastAsia="黑体" w:cs="黑体"/>
          <w:i w:val="0"/>
          <w:iCs w:val="0"/>
          <w:caps w:val="0"/>
          <w:color w:val="auto"/>
          <w:spacing w:val="0"/>
          <w:sz w:val="31"/>
          <w:szCs w:val="31"/>
        </w:rPr>
      </w:pPr>
      <w:r>
        <w:rPr>
          <w:rFonts w:ascii="黑体" w:hAnsi="宋体" w:eastAsia="黑体" w:cs="黑体"/>
          <w:i w:val="0"/>
          <w:iCs w:val="0"/>
          <w:caps w:val="0"/>
          <w:color w:val="auto"/>
          <w:spacing w:val="0"/>
          <w:kern w:val="0"/>
          <w:sz w:val="31"/>
          <w:szCs w:val="31"/>
          <w:shd w:val="clear" w:fill="FFFFFF"/>
          <w:lang w:val="en-US" w:eastAsia="zh-CN" w:bidi="ar"/>
        </w:rPr>
        <w:t>十、其他重要事项的情况说明</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2" w:firstLineChars="200"/>
        <w:jc w:val="both"/>
        <w:textAlignment w:val="auto"/>
        <w:rPr>
          <w:rFonts w:ascii="仿宋_GB2312" w:hAnsi="仿宋_GB2312" w:eastAsia="仿宋_GB2312" w:cs="仿宋_GB2312"/>
          <w:i w:val="0"/>
          <w:iCs w:val="0"/>
          <w:caps w:val="0"/>
          <w:color w:val="auto"/>
          <w:spacing w:val="0"/>
          <w:sz w:val="31"/>
          <w:szCs w:val="31"/>
        </w:rPr>
      </w:pPr>
      <w:r>
        <w:rPr>
          <w:rFonts w:ascii="仿宋_GB2312" w:hAnsi="仿宋_GB2312" w:eastAsia="仿宋_GB2312" w:cs="仿宋_GB2312"/>
          <w:b/>
          <w:bCs/>
          <w:i w:val="0"/>
          <w:iCs w:val="0"/>
          <w:caps w:val="0"/>
          <w:color w:val="auto"/>
          <w:spacing w:val="0"/>
          <w:kern w:val="0"/>
          <w:sz w:val="31"/>
          <w:szCs w:val="31"/>
          <w:shd w:val="clear" w:fill="FFFFFF"/>
          <w:lang w:val="en-US" w:eastAsia="zh-CN" w:bidi="ar"/>
        </w:rPr>
        <w:t>（一）机关运行经费及公用经费支出情况</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ascii="仿宋_GB2312" w:hAnsi="仿宋_GB2312" w:eastAsia="仿宋_GB2312" w:cs="仿宋_GB2312"/>
          <w:i w:val="0"/>
          <w:iCs w:val="0"/>
          <w:caps w:val="0"/>
          <w:color w:val="auto"/>
          <w:spacing w:val="0"/>
          <w:sz w:val="31"/>
          <w:szCs w:val="31"/>
        </w:rPr>
      </w:pPr>
      <w:r>
        <w:rPr>
          <w:rFonts w:ascii="仿宋_GB2312" w:hAnsi="仿宋_GB2312" w:eastAsia="仿宋_GB2312" w:cs="仿宋_GB2312"/>
          <w:i w:val="0"/>
          <w:iCs w:val="0"/>
          <w:caps w:val="0"/>
          <w:color w:val="auto"/>
          <w:spacing w:val="0"/>
          <w:kern w:val="0"/>
          <w:sz w:val="31"/>
          <w:szCs w:val="31"/>
          <w:shd w:val="clear" w:fill="FFFFFF"/>
          <w:lang w:val="en-US" w:eastAsia="zh-CN" w:bidi="ar"/>
        </w:rPr>
        <w:t>2024年度中共库尔勒市委员会组织部单位机关运行经费支出63.85万元，比上年减少24.14万元，下降27.43%</w:t>
      </w:r>
      <w:r>
        <w:rPr>
          <w:rFonts w:hint="eastAsia" w:ascii="仿宋_GB2312" w:hAnsi="仿宋_GB2312" w:eastAsia="仿宋_GB2312" w:cs="仿宋_GB2312"/>
          <w:i w:val="0"/>
          <w:iCs w:val="0"/>
          <w:caps w:val="0"/>
          <w:color w:val="auto"/>
          <w:spacing w:val="0"/>
          <w:kern w:val="0"/>
          <w:sz w:val="31"/>
          <w:szCs w:val="31"/>
          <w:shd w:val="clear" w:fill="FFFFFF"/>
          <w:lang w:val="en-US" w:eastAsia="zh-CN" w:bidi="ar"/>
        </w:rPr>
        <w:t>，</w:t>
      </w:r>
      <w:r>
        <w:rPr>
          <w:rFonts w:ascii="仿宋_GB2312" w:hAnsi="仿宋_GB2312" w:eastAsia="仿宋_GB2312" w:cs="仿宋_GB2312"/>
          <w:i w:val="0"/>
          <w:iCs w:val="0"/>
          <w:caps w:val="0"/>
          <w:color w:val="auto"/>
          <w:spacing w:val="0"/>
          <w:kern w:val="0"/>
          <w:sz w:val="31"/>
          <w:szCs w:val="31"/>
          <w:shd w:val="clear" w:fill="FFFFFF"/>
          <w:lang w:val="en-US" w:eastAsia="zh-CN" w:bidi="ar"/>
        </w:rPr>
        <w:t>主要原因是：</w:t>
      </w:r>
      <w:r>
        <w:rPr>
          <w:rFonts w:hint="eastAsia" w:ascii="仿宋_GB2312" w:hAnsi="仿宋_GB2312" w:eastAsia="仿宋_GB2312" w:cs="仿宋_GB2312"/>
          <w:i w:val="0"/>
          <w:iCs w:val="0"/>
          <w:caps w:val="0"/>
          <w:color w:val="auto"/>
          <w:spacing w:val="0"/>
          <w:kern w:val="0"/>
          <w:sz w:val="31"/>
          <w:szCs w:val="31"/>
          <w:shd w:val="clear" w:fill="FFFFFF"/>
          <w:lang w:val="en-US" w:eastAsia="zh-CN" w:bidi="ar"/>
        </w:rPr>
        <w:t>厉行节约，基本支出减少</w:t>
      </w:r>
      <w:r>
        <w:rPr>
          <w:rFonts w:ascii="仿宋_GB2312" w:hAnsi="仿宋_GB2312" w:eastAsia="仿宋_GB2312" w:cs="仿宋_GB2312"/>
          <w:i w:val="0"/>
          <w:iCs w:val="0"/>
          <w:caps w:val="0"/>
          <w:color w:val="auto"/>
          <w:spacing w:val="0"/>
          <w:kern w:val="0"/>
          <w:sz w:val="31"/>
          <w:szCs w:val="31"/>
          <w:shd w:val="clear" w:fill="FFFFFF"/>
          <w:lang w:val="en-US" w:eastAsia="zh-CN" w:bidi="ar"/>
        </w:rPr>
        <w:t>。</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2" w:firstLineChars="200"/>
        <w:jc w:val="both"/>
        <w:textAlignment w:val="auto"/>
        <w:rPr>
          <w:rFonts w:ascii="仿宋_GB2312" w:hAnsi="仿宋_GB2312" w:eastAsia="仿宋_GB2312" w:cs="仿宋_GB2312"/>
          <w:i w:val="0"/>
          <w:iCs w:val="0"/>
          <w:caps w:val="0"/>
          <w:color w:val="auto"/>
          <w:spacing w:val="0"/>
          <w:sz w:val="31"/>
          <w:szCs w:val="31"/>
        </w:rPr>
      </w:pPr>
      <w:r>
        <w:rPr>
          <w:rFonts w:ascii="仿宋_GB2312" w:hAnsi="仿宋_GB2312" w:eastAsia="仿宋_GB2312" w:cs="仿宋_GB2312"/>
          <w:b/>
          <w:bCs/>
          <w:i w:val="0"/>
          <w:iCs w:val="0"/>
          <w:caps w:val="0"/>
          <w:color w:val="auto"/>
          <w:spacing w:val="0"/>
          <w:kern w:val="0"/>
          <w:sz w:val="31"/>
          <w:szCs w:val="31"/>
          <w:shd w:val="clear" w:fill="FFFFFF"/>
          <w:lang w:val="en-US" w:eastAsia="zh-CN" w:bidi="ar"/>
        </w:rPr>
        <w:t>（二）政府采购情况</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ascii="仿宋_GB2312" w:hAnsi="仿宋_GB2312" w:eastAsia="仿宋_GB2312" w:cs="仿宋_GB2312"/>
          <w:i w:val="0"/>
          <w:iCs w:val="0"/>
          <w:caps w:val="0"/>
          <w:color w:val="auto"/>
          <w:spacing w:val="0"/>
          <w:sz w:val="31"/>
          <w:szCs w:val="31"/>
        </w:rPr>
      </w:pPr>
      <w:r>
        <w:rPr>
          <w:rFonts w:ascii="仿宋_GB2312" w:hAnsi="仿宋_GB2312" w:eastAsia="仿宋_GB2312" w:cs="仿宋_GB2312"/>
          <w:i w:val="0"/>
          <w:iCs w:val="0"/>
          <w:caps w:val="0"/>
          <w:color w:val="auto"/>
          <w:spacing w:val="0"/>
          <w:kern w:val="0"/>
          <w:sz w:val="31"/>
          <w:szCs w:val="31"/>
          <w:shd w:val="clear" w:fill="FFFFFF"/>
          <w:lang w:val="en-US" w:eastAsia="zh-CN" w:bidi="ar"/>
        </w:rPr>
        <w:t>2024年度政府采购支出总额8.99万元，其中：政府采购货物支出5.48万元、政府采购工程支出0万元、政府采购服务支出3.51万元。</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ascii="仿宋_GB2312" w:hAnsi="仿宋_GB2312" w:eastAsia="仿宋_GB2312" w:cs="仿宋_GB2312"/>
          <w:i w:val="0"/>
          <w:iCs w:val="0"/>
          <w:caps w:val="0"/>
          <w:color w:val="auto"/>
          <w:spacing w:val="0"/>
          <w:sz w:val="31"/>
          <w:szCs w:val="31"/>
        </w:rPr>
      </w:pPr>
      <w:r>
        <w:rPr>
          <w:rFonts w:ascii="仿宋_GB2312" w:hAnsi="仿宋_GB2312" w:eastAsia="仿宋_GB2312" w:cs="仿宋_GB2312"/>
          <w:i w:val="0"/>
          <w:iCs w:val="0"/>
          <w:caps w:val="0"/>
          <w:color w:val="auto"/>
          <w:spacing w:val="0"/>
          <w:kern w:val="0"/>
          <w:sz w:val="31"/>
          <w:szCs w:val="31"/>
          <w:shd w:val="clear" w:fill="FFFFFF"/>
          <w:lang w:val="en-US" w:eastAsia="zh-CN" w:bidi="ar"/>
        </w:rPr>
        <w:t>授予中小企业合同金额8.99万元，占政府采购支出总额的100%，其中：授予小微企业合同金额8.99万元，占政府采购支出总额的100%。</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2" w:firstLineChars="200"/>
        <w:jc w:val="both"/>
        <w:textAlignment w:val="auto"/>
        <w:rPr>
          <w:rFonts w:ascii="仿宋_GB2312" w:hAnsi="仿宋_GB2312" w:eastAsia="仿宋_GB2312" w:cs="仿宋_GB2312"/>
          <w:i w:val="0"/>
          <w:iCs w:val="0"/>
          <w:caps w:val="0"/>
          <w:color w:val="auto"/>
          <w:spacing w:val="0"/>
          <w:sz w:val="31"/>
          <w:szCs w:val="31"/>
        </w:rPr>
      </w:pPr>
      <w:r>
        <w:rPr>
          <w:rFonts w:ascii="仿宋_GB2312" w:hAnsi="仿宋_GB2312" w:eastAsia="仿宋_GB2312" w:cs="仿宋_GB2312"/>
          <w:b/>
          <w:bCs/>
          <w:i w:val="0"/>
          <w:iCs w:val="0"/>
          <w:caps w:val="0"/>
          <w:color w:val="auto"/>
          <w:spacing w:val="0"/>
          <w:kern w:val="0"/>
          <w:sz w:val="31"/>
          <w:szCs w:val="31"/>
          <w:shd w:val="clear" w:fill="FFFFFF"/>
          <w:lang w:val="en-US" w:eastAsia="zh-CN" w:bidi="ar"/>
        </w:rPr>
        <w:t>（三）国有资产占用情况说明</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ascii="仿宋_GB2312" w:hAnsi="仿宋_GB2312" w:eastAsia="仿宋_GB2312" w:cs="仿宋_GB2312"/>
          <w:i w:val="0"/>
          <w:iCs w:val="0"/>
          <w:caps w:val="0"/>
          <w:color w:val="auto"/>
          <w:spacing w:val="0"/>
          <w:sz w:val="31"/>
          <w:szCs w:val="31"/>
        </w:rPr>
      </w:pPr>
      <w:r>
        <w:rPr>
          <w:rFonts w:ascii="仿宋_GB2312" w:hAnsi="仿宋_GB2312" w:eastAsia="仿宋_GB2312" w:cs="仿宋_GB2312"/>
          <w:i w:val="0"/>
          <w:iCs w:val="0"/>
          <w:caps w:val="0"/>
          <w:color w:val="auto"/>
          <w:spacing w:val="0"/>
          <w:kern w:val="0"/>
          <w:sz w:val="31"/>
          <w:szCs w:val="31"/>
          <w:shd w:val="clear" w:fill="FFFFFF"/>
          <w:lang w:val="en-US" w:eastAsia="zh-CN" w:bidi="ar"/>
        </w:rPr>
        <w:t>截至2024年12月31日，房屋0平方米，价值0万元。车辆3辆，价值46.02万元，其中：副部（省）级及以上领导用车0辆、主要负责人用车0辆、机要通信用车0辆、应急保障用车0辆、执法执勤用车0辆、特种专业技术用车0辆、离退休干部服务用车0辆、其他用车3辆，其他用车主要是：</w:t>
      </w:r>
      <w:r>
        <w:rPr>
          <w:rFonts w:hint="default" w:ascii="仿宋_GB2312" w:hAnsi="Times New Roman" w:eastAsia="仿宋_GB2312" w:cs="Times New Roman"/>
          <w:sz w:val="32"/>
          <w:szCs w:val="32"/>
          <w:highlight w:val="none"/>
          <w:lang w:val="en-US" w:eastAsia="zh-CN"/>
        </w:rPr>
        <w:t>一般公务用车</w:t>
      </w:r>
      <w:r>
        <w:rPr>
          <w:rFonts w:hint="eastAsia" w:ascii="仿宋_GB2312" w:hAnsi="Times New Roman" w:eastAsia="仿宋_GB2312" w:cs="Times New Roman"/>
          <w:sz w:val="32"/>
          <w:szCs w:val="32"/>
          <w:highlight w:val="none"/>
          <w:lang w:val="zh-CN" w:eastAsia="zh-CN"/>
        </w:rPr>
        <w:t>；</w:t>
      </w:r>
      <w:r>
        <w:rPr>
          <w:rFonts w:ascii="仿宋_GB2312" w:hAnsi="仿宋_GB2312" w:eastAsia="仿宋_GB2312" w:cs="仿宋_GB2312"/>
          <w:i w:val="0"/>
          <w:iCs w:val="0"/>
          <w:caps w:val="0"/>
          <w:color w:val="auto"/>
          <w:spacing w:val="0"/>
          <w:kern w:val="0"/>
          <w:sz w:val="31"/>
          <w:szCs w:val="31"/>
          <w:shd w:val="clear" w:fill="FFFFFF"/>
          <w:lang w:val="en-US" w:eastAsia="zh-CN" w:bidi="ar"/>
        </w:rPr>
        <w:t>单价100万元（含）以上设备（不含车辆</w:t>
      </w:r>
      <w:r>
        <w:rPr>
          <w:rFonts w:hint="eastAsia" w:ascii="仿宋_GB2312" w:hAnsi="仿宋_GB2312" w:eastAsia="仿宋_GB2312" w:cs="仿宋_GB2312"/>
          <w:i w:val="0"/>
          <w:iCs w:val="0"/>
          <w:caps w:val="0"/>
          <w:color w:val="auto"/>
          <w:spacing w:val="0"/>
          <w:kern w:val="0"/>
          <w:sz w:val="31"/>
          <w:szCs w:val="31"/>
          <w:shd w:val="clear" w:fill="FFFFFF"/>
          <w:lang w:val="en-US" w:eastAsia="zh-CN" w:bidi="ar"/>
        </w:rPr>
        <w:t>）</w:t>
      </w:r>
      <w:r>
        <w:rPr>
          <w:rFonts w:ascii="仿宋_GB2312" w:hAnsi="仿宋_GB2312" w:eastAsia="仿宋_GB2312" w:cs="仿宋_GB2312"/>
          <w:i w:val="0"/>
          <w:iCs w:val="0"/>
          <w:caps w:val="0"/>
          <w:color w:val="auto"/>
          <w:spacing w:val="0"/>
          <w:kern w:val="0"/>
          <w:sz w:val="31"/>
          <w:szCs w:val="31"/>
          <w:shd w:val="clear" w:fill="FFFFFF"/>
          <w:lang w:val="en-US" w:eastAsia="zh-CN" w:bidi="ar"/>
        </w:rPr>
        <w:t>1台（套）。</w:t>
      </w:r>
    </w:p>
    <w:p>
      <w:pPr>
        <w:keepNext w:val="0"/>
        <w:keepLines w:val="0"/>
        <w:pageBreakBefore w:val="0"/>
        <w:widowControl/>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ascii="黑体" w:hAnsi="宋体" w:eastAsia="黑体" w:cs="黑体"/>
          <w:i w:val="0"/>
          <w:iCs w:val="0"/>
          <w:caps w:val="0"/>
          <w:color w:val="auto"/>
          <w:spacing w:val="0"/>
          <w:sz w:val="31"/>
          <w:szCs w:val="31"/>
        </w:rPr>
      </w:pPr>
      <w:r>
        <w:rPr>
          <w:rFonts w:ascii="黑体" w:hAnsi="宋体" w:eastAsia="黑体" w:cs="黑体"/>
          <w:i w:val="0"/>
          <w:iCs w:val="0"/>
          <w:caps w:val="0"/>
          <w:color w:val="auto"/>
          <w:spacing w:val="0"/>
          <w:kern w:val="0"/>
          <w:sz w:val="31"/>
          <w:szCs w:val="31"/>
          <w:shd w:val="clear" w:fill="FFFFFF"/>
          <w:lang w:val="en-US" w:eastAsia="zh-CN" w:bidi="ar"/>
        </w:rPr>
        <w:t>十一、预算绩效的情况说明​</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both"/>
        <w:textAlignment w:val="auto"/>
        <w:rPr>
          <w:rFonts w:ascii="仿宋_GB2312" w:hAnsi="仿宋_GB2312" w:eastAsia="仿宋_GB2312" w:cs="仿宋_GB2312"/>
          <w:i w:val="0"/>
          <w:iCs w:val="0"/>
          <w:caps w:val="0"/>
          <w:color w:val="auto"/>
          <w:spacing w:val="0"/>
          <w:sz w:val="31"/>
          <w:szCs w:val="31"/>
        </w:rPr>
      </w:pPr>
      <w:r>
        <w:rPr>
          <w:rFonts w:ascii="仿宋_GB2312" w:hAnsi="仿宋_GB2312" w:eastAsia="仿宋_GB2312" w:cs="仿宋_GB2312"/>
          <w:i w:val="0"/>
          <w:iCs w:val="0"/>
          <w:caps w:val="0"/>
          <w:color w:val="auto"/>
          <w:spacing w:val="0"/>
          <w:kern w:val="0"/>
          <w:sz w:val="31"/>
          <w:szCs w:val="31"/>
          <w:shd w:val="clear" w:fill="FFFFFF"/>
          <w:lang w:val="en-US" w:eastAsia="zh-CN" w:bidi="ar"/>
        </w:rPr>
        <w:t>根据预算绩效管理要求，本单位2024年度预算绩效管理形成整体支出绩效自评表1个，全年预算总额</w:t>
      </w:r>
      <w:r>
        <w:rPr>
          <w:rFonts w:hint="eastAsia" w:ascii="仿宋_GB2312" w:hAnsi="仿宋_GB2312" w:eastAsia="仿宋_GB2312" w:cs="仿宋_GB2312"/>
          <w:i w:val="0"/>
          <w:iCs w:val="0"/>
          <w:caps w:val="0"/>
          <w:color w:val="auto"/>
          <w:spacing w:val="0"/>
          <w:kern w:val="0"/>
          <w:sz w:val="31"/>
          <w:szCs w:val="31"/>
          <w:shd w:val="clear" w:fill="FFFFFF"/>
          <w:lang w:val="en-US" w:eastAsia="zh-CN" w:bidi="ar"/>
        </w:rPr>
        <w:t>3383.04</w:t>
      </w:r>
      <w:r>
        <w:rPr>
          <w:rFonts w:ascii="仿宋_GB2312" w:hAnsi="仿宋_GB2312" w:eastAsia="仿宋_GB2312" w:cs="仿宋_GB2312"/>
          <w:i w:val="0"/>
          <w:iCs w:val="0"/>
          <w:caps w:val="0"/>
          <w:color w:val="auto"/>
          <w:spacing w:val="0"/>
          <w:kern w:val="0"/>
          <w:sz w:val="31"/>
          <w:szCs w:val="31"/>
          <w:shd w:val="clear" w:fill="FFFFFF"/>
          <w:lang w:val="en-US" w:eastAsia="zh-CN" w:bidi="ar"/>
        </w:rPr>
        <w:t>万元，实际执行总额</w:t>
      </w:r>
      <w:r>
        <w:rPr>
          <w:rFonts w:hint="eastAsia" w:ascii="仿宋_GB2312" w:hAnsi="仿宋_GB2312" w:eastAsia="仿宋_GB2312" w:cs="仿宋_GB2312"/>
          <w:i w:val="0"/>
          <w:iCs w:val="0"/>
          <w:caps w:val="0"/>
          <w:color w:val="auto"/>
          <w:spacing w:val="0"/>
          <w:kern w:val="0"/>
          <w:sz w:val="31"/>
          <w:szCs w:val="31"/>
          <w:shd w:val="clear" w:fill="FFFFFF"/>
          <w:lang w:val="en-US" w:eastAsia="zh-CN" w:bidi="ar"/>
        </w:rPr>
        <w:t>5267.33</w:t>
      </w:r>
      <w:r>
        <w:rPr>
          <w:rFonts w:ascii="仿宋_GB2312" w:hAnsi="仿宋_GB2312" w:eastAsia="仿宋_GB2312" w:cs="仿宋_GB2312"/>
          <w:i w:val="0"/>
          <w:iCs w:val="0"/>
          <w:caps w:val="0"/>
          <w:color w:val="auto"/>
          <w:spacing w:val="0"/>
          <w:kern w:val="0"/>
          <w:sz w:val="31"/>
          <w:szCs w:val="31"/>
          <w:shd w:val="clear" w:fill="FFFFFF"/>
          <w:lang w:val="en-US" w:eastAsia="zh-CN" w:bidi="ar"/>
        </w:rPr>
        <w:t>万元；预算绩效评价项</w:t>
      </w:r>
      <w:r>
        <w:rPr>
          <w:rFonts w:ascii="仿宋_GB2312" w:hAnsi="仿宋_GB2312" w:eastAsia="仿宋_GB2312" w:cs="仿宋_GB2312"/>
          <w:i w:val="0"/>
          <w:iCs w:val="0"/>
          <w:caps w:val="0"/>
          <w:color w:val="auto"/>
          <w:spacing w:val="0"/>
          <w:kern w:val="0"/>
          <w:sz w:val="31"/>
          <w:szCs w:val="31"/>
          <w:highlight w:val="none"/>
          <w:shd w:val="clear" w:fill="FFFFFF"/>
          <w:lang w:val="en-US" w:eastAsia="zh-CN" w:bidi="ar"/>
        </w:rPr>
        <w:t>目</w:t>
      </w:r>
      <w:r>
        <w:rPr>
          <w:rFonts w:hint="eastAsia" w:ascii="仿宋_GB2312" w:hAnsi="仿宋_GB2312" w:eastAsia="仿宋_GB2312" w:cs="仿宋_GB2312"/>
          <w:i w:val="0"/>
          <w:iCs w:val="0"/>
          <w:caps w:val="0"/>
          <w:color w:val="auto"/>
          <w:spacing w:val="0"/>
          <w:kern w:val="0"/>
          <w:sz w:val="31"/>
          <w:szCs w:val="31"/>
          <w:highlight w:val="none"/>
          <w:shd w:val="clear" w:fill="FFFFFF"/>
          <w:lang w:val="en-US" w:eastAsia="zh-CN" w:bidi="ar"/>
        </w:rPr>
        <w:t>14</w:t>
      </w:r>
      <w:r>
        <w:rPr>
          <w:rFonts w:ascii="仿宋_GB2312" w:hAnsi="仿宋_GB2312" w:eastAsia="仿宋_GB2312" w:cs="仿宋_GB2312"/>
          <w:i w:val="0"/>
          <w:iCs w:val="0"/>
          <w:caps w:val="0"/>
          <w:color w:val="auto"/>
          <w:spacing w:val="0"/>
          <w:kern w:val="0"/>
          <w:sz w:val="31"/>
          <w:szCs w:val="31"/>
          <w:highlight w:val="none"/>
          <w:shd w:val="clear" w:fill="FFFFFF"/>
          <w:lang w:val="en-US" w:eastAsia="zh-CN" w:bidi="ar"/>
        </w:rPr>
        <w:t>个</w:t>
      </w:r>
      <w:r>
        <w:rPr>
          <w:rFonts w:ascii="仿宋_GB2312" w:hAnsi="仿宋_GB2312" w:eastAsia="仿宋_GB2312" w:cs="仿宋_GB2312"/>
          <w:i w:val="0"/>
          <w:iCs w:val="0"/>
          <w:caps w:val="0"/>
          <w:color w:val="auto"/>
          <w:spacing w:val="0"/>
          <w:kern w:val="0"/>
          <w:sz w:val="31"/>
          <w:szCs w:val="31"/>
          <w:shd w:val="clear" w:fill="FFFFFF"/>
          <w:lang w:val="en-US" w:eastAsia="zh-CN" w:bidi="ar"/>
        </w:rPr>
        <w:t>，全年预算数</w:t>
      </w:r>
      <w:r>
        <w:rPr>
          <w:rFonts w:hint="eastAsia" w:ascii="仿宋_GB2312" w:hAnsi="仿宋_GB2312" w:eastAsia="仿宋_GB2312" w:cs="仿宋_GB2312"/>
          <w:i w:val="0"/>
          <w:iCs w:val="0"/>
          <w:caps w:val="0"/>
          <w:color w:val="auto"/>
          <w:spacing w:val="0"/>
          <w:kern w:val="0"/>
          <w:sz w:val="31"/>
          <w:szCs w:val="31"/>
          <w:shd w:val="clear" w:fill="FFFFFF"/>
          <w:lang w:val="en-US" w:eastAsia="zh-CN" w:bidi="ar"/>
        </w:rPr>
        <w:t>2880.74</w:t>
      </w:r>
      <w:r>
        <w:rPr>
          <w:rFonts w:ascii="仿宋_GB2312" w:hAnsi="仿宋_GB2312" w:eastAsia="仿宋_GB2312" w:cs="仿宋_GB2312"/>
          <w:i w:val="0"/>
          <w:iCs w:val="0"/>
          <w:caps w:val="0"/>
          <w:color w:val="auto"/>
          <w:spacing w:val="0"/>
          <w:kern w:val="0"/>
          <w:sz w:val="31"/>
          <w:szCs w:val="31"/>
          <w:shd w:val="clear" w:fill="FFFFFF"/>
          <w:lang w:val="en-US" w:eastAsia="zh-CN" w:bidi="ar"/>
        </w:rPr>
        <w:t>万元，全年执行数</w:t>
      </w:r>
      <w:r>
        <w:rPr>
          <w:rFonts w:hint="eastAsia" w:ascii="仿宋_GB2312" w:hAnsi="仿宋_GB2312" w:eastAsia="仿宋_GB2312" w:cs="仿宋_GB2312"/>
          <w:i w:val="0"/>
          <w:iCs w:val="0"/>
          <w:caps w:val="0"/>
          <w:color w:val="auto"/>
          <w:spacing w:val="0"/>
          <w:kern w:val="0"/>
          <w:sz w:val="31"/>
          <w:szCs w:val="31"/>
          <w:shd w:val="clear" w:fill="FFFFFF"/>
          <w:lang w:val="en-US" w:eastAsia="zh-CN" w:bidi="ar"/>
        </w:rPr>
        <w:t>1134.16</w:t>
      </w:r>
      <w:r>
        <w:rPr>
          <w:rFonts w:ascii="仿宋_GB2312" w:hAnsi="仿宋_GB2312" w:eastAsia="仿宋_GB2312" w:cs="仿宋_GB2312"/>
          <w:i w:val="0"/>
          <w:iCs w:val="0"/>
          <w:caps w:val="0"/>
          <w:color w:val="auto"/>
          <w:spacing w:val="0"/>
          <w:kern w:val="0"/>
          <w:sz w:val="31"/>
          <w:szCs w:val="31"/>
          <w:shd w:val="clear" w:fill="FFFFFF"/>
          <w:lang w:val="en-US" w:eastAsia="zh-CN" w:bidi="ar"/>
        </w:rPr>
        <w:t>万元。</w:t>
      </w:r>
      <w:r>
        <w:rPr>
          <w:rFonts w:hint="eastAsia" w:ascii="仿宋_GB2312" w:hAnsi="Times New Roman" w:eastAsia="仿宋_GB2312" w:cs="Times New Roman"/>
          <w:sz w:val="32"/>
          <w:szCs w:val="32"/>
          <w:highlight w:val="none"/>
          <w:lang w:val="en-US" w:eastAsia="zh-CN"/>
        </w:rPr>
        <w:t>预算绩效管理取得的成效：</w:t>
      </w:r>
      <w:r>
        <w:rPr>
          <w:rFonts w:hint="default" w:ascii="仿宋_GB2312" w:hAnsi="Times New Roman" w:eastAsia="仿宋_GB2312" w:cs="Times New Roman"/>
          <w:sz w:val="32"/>
          <w:szCs w:val="32"/>
          <w:highlight w:val="none"/>
          <w:lang w:val="en-US" w:eastAsia="zh-CN"/>
        </w:rPr>
        <w:t>一是建立了</w:t>
      </w:r>
      <w:r>
        <w:rPr>
          <w:rFonts w:hint="eastAsia" w:ascii="仿宋_GB2312" w:hAnsi="Times New Roman" w:eastAsia="仿宋_GB2312" w:cs="Times New Roman"/>
          <w:sz w:val="32"/>
          <w:szCs w:val="32"/>
          <w:highlight w:val="none"/>
          <w:lang w:val="en-US" w:eastAsia="zh-CN"/>
        </w:rPr>
        <w:t>“</w:t>
      </w:r>
      <w:r>
        <w:rPr>
          <w:rFonts w:hint="default" w:ascii="仿宋_GB2312" w:hAnsi="Times New Roman" w:eastAsia="仿宋_GB2312" w:cs="Times New Roman"/>
          <w:sz w:val="32"/>
          <w:szCs w:val="32"/>
          <w:highlight w:val="none"/>
          <w:lang w:val="en-US" w:eastAsia="zh-CN"/>
        </w:rPr>
        <w:t>全方位、全过程、全覆盖</w:t>
      </w:r>
      <w:r>
        <w:rPr>
          <w:rFonts w:hint="eastAsia" w:ascii="仿宋_GB2312" w:hAnsi="Times New Roman" w:eastAsia="仿宋_GB2312" w:cs="Times New Roman"/>
          <w:sz w:val="32"/>
          <w:szCs w:val="32"/>
          <w:highlight w:val="none"/>
          <w:lang w:val="en-US" w:eastAsia="zh-CN"/>
        </w:rPr>
        <w:t>”</w:t>
      </w:r>
      <w:r>
        <w:rPr>
          <w:rFonts w:hint="default" w:ascii="仿宋_GB2312" w:hAnsi="Times New Roman" w:eastAsia="仿宋_GB2312" w:cs="Times New Roman"/>
          <w:sz w:val="32"/>
          <w:szCs w:val="32"/>
          <w:highlight w:val="none"/>
          <w:lang w:val="en-US" w:eastAsia="zh-CN"/>
        </w:rPr>
        <w:t>的预算绩效管理体系</w:t>
      </w:r>
      <w:r>
        <w:rPr>
          <w:rFonts w:hint="eastAsia" w:ascii="仿宋_GB2312" w:hAnsi="Times New Roman" w:eastAsia="仿宋_GB2312" w:cs="Times New Roman"/>
          <w:sz w:val="32"/>
          <w:szCs w:val="32"/>
          <w:highlight w:val="none"/>
          <w:lang w:val="en-US" w:eastAsia="zh-CN"/>
        </w:rPr>
        <w:t>；</w:t>
      </w:r>
      <w:r>
        <w:rPr>
          <w:rFonts w:hint="default" w:ascii="仿宋_GB2312" w:hAnsi="Times New Roman" w:eastAsia="仿宋_GB2312" w:cs="Times New Roman"/>
          <w:sz w:val="32"/>
          <w:szCs w:val="32"/>
          <w:highlight w:val="none"/>
          <w:lang w:val="en-US" w:eastAsia="zh-CN"/>
        </w:rPr>
        <w:t>二是形成了预算编制有目标、预算执行有监控、预算完成有评价、评价结果有反馈、反馈结果有应用的预算绩效管理机制</w:t>
      </w:r>
      <w:r>
        <w:rPr>
          <w:rFonts w:hint="eastAsia" w:ascii="仿宋_GB2312" w:hAnsi="Times New Roman" w:eastAsia="仿宋_GB2312" w:cs="Times New Roman"/>
          <w:sz w:val="32"/>
          <w:szCs w:val="32"/>
          <w:highlight w:val="none"/>
          <w:lang w:val="en-US" w:eastAsia="zh-CN"/>
        </w:rPr>
        <w:t>。发现的问题及原因：</w:t>
      </w:r>
      <w:r>
        <w:rPr>
          <w:rFonts w:hint="default" w:ascii="仿宋_GB2312" w:hAnsi="Times New Roman" w:eastAsia="仿宋_GB2312" w:cs="Times New Roman"/>
          <w:sz w:val="32"/>
          <w:szCs w:val="32"/>
          <w:highlight w:val="none"/>
          <w:lang w:val="en-US" w:eastAsia="zh-CN"/>
        </w:rPr>
        <w:t>一是预算指标下达不能和绩效完全同步，资金滞后情况较明显；二是预算执行与预算编制存在较大差异。由于财政部门与预算部门之间的职能和分工不同，财政部门掌握信息与预算单位存在不对称，财政部门难以准确掌握各预算单位的职责，对单位自编项目不能提出很好的建议，而是采用一刀切，按上年的预算数编制</w:t>
      </w:r>
      <w:r>
        <w:rPr>
          <w:rFonts w:hint="eastAsia" w:ascii="仿宋_GB2312" w:hAnsi="Times New Roman" w:eastAsia="仿宋_GB2312" w:cs="Times New Roman"/>
          <w:sz w:val="32"/>
          <w:szCs w:val="32"/>
          <w:highlight w:val="none"/>
          <w:lang w:val="en-US" w:eastAsia="zh-CN"/>
        </w:rPr>
        <w:t>。下一步改进措施：</w:t>
      </w:r>
      <w:r>
        <w:rPr>
          <w:rFonts w:hint="default" w:ascii="仿宋_GB2312" w:hAnsi="Times New Roman" w:eastAsia="仿宋_GB2312" w:cs="Times New Roman"/>
          <w:sz w:val="32"/>
          <w:szCs w:val="32"/>
          <w:highlight w:val="none"/>
          <w:lang w:val="en-US" w:eastAsia="zh-CN"/>
        </w:rPr>
        <w:t>一是加强预算编制管理，夯实预算执行基础；二是部门预算须遵循量入为出、收支平衡的原则，稳妥可靠，采取有效的程序和方法合理安排各项资金，达到综合预算、不偏不漏</w:t>
      </w:r>
      <w:r>
        <w:rPr>
          <w:rFonts w:hint="eastAsia" w:ascii="仿宋_GB2312" w:hAnsi="Times New Roman" w:eastAsia="仿宋_GB2312" w:cs="Times New Roman"/>
          <w:sz w:val="32"/>
          <w:szCs w:val="32"/>
          <w:highlight w:val="none"/>
          <w:lang w:val="en-US" w:eastAsia="zh-CN"/>
        </w:rPr>
        <w:t>。</w:t>
      </w:r>
      <w:r>
        <w:rPr>
          <w:rFonts w:ascii="仿宋_GB2312" w:hAnsi="仿宋_GB2312" w:eastAsia="仿宋_GB2312" w:cs="仿宋_GB2312"/>
          <w:i w:val="0"/>
          <w:iCs w:val="0"/>
          <w:caps w:val="0"/>
          <w:color w:val="auto"/>
          <w:spacing w:val="0"/>
          <w:kern w:val="0"/>
          <w:sz w:val="31"/>
          <w:szCs w:val="31"/>
          <w:shd w:val="clear" w:fill="FFFFFF"/>
          <w:lang w:val="en-US" w:eastAsia="zh-CN" w:bidi="ar"/>
        </w:rPr>
        <w:t>具体附部门整体支出绩效自评表，项目支出绩效自评表和部门评价报告。</w:t>
      </w:r>
    </w:p>
    <w:p>
      <w:pPr>
        <w:keepNext w:val="0"/>
        <w:keepLines w:val="0"/>
        <w:pageBreakBefore w:val="0"/>
        <w:widowControl/>
        <w:numPr>
          <w:ilvl w:val="0"/>
          <w:numId w:val="1"/>
        </w:numPr>
        <w:suppressLineNumbers w:val="0"/>
        <w:shd w:val="clear"/>
        <w:kinsoku/>
        <w:wordWrap w:val="0"/>
        <w:overflowPunct/>
        <w:topLinePunct w:val="0"/>
        <w:autoSpaceDE/>
        <w:autoSpaceDN/>
        <w:bidi w:val="0"/>
        <w:adjustRightInd/>
        <w:snapToGrid/>
        <w:spacing w:line="560" w:lineRule="exact"/>
        <w:ind w:left="0" w:firstLine="620" w:firstLineChars="200"/>
        <w:jc w:val="both"/>
        <w:textAlignment w:val="auto"/>
        <w:rPr>
          <w:rFonts w:ascii="黑体" w:hAnsi="宋体" w:eastAsia="黑体" w:cs="黑体"/>
          <w:i w:val="0"/>
          <w:iCs w:val="0"/>
          <w:caps w:val="0"/>
          <w:color w:val="auto"/>
          <w:spacing w:val="0"/>
          <w:kern w:val="0"/>
          <w:sz w:val="31"/>
          <w:szCs w:val="31"/>
          <w:shd w:val="clear" w:fill="FFFFFF"/>
          <w:lang w:val="en-US" w:eastAsia="zh-CN" w:bidi="ar"/>
        </w:rPr>
      </w:pPr>
      <w:r>
        <w:rPr>
          <w:rFonts w:ascii="黑体" w:hAnsi="宋体" w:eastAsia="黑体" w:cs="黑体"/>
          <w:i w:val="0"/>
          <w:iCs w:val="0"/>
          <w:caps w:val="0"/>
          <w:color w:val="auto"/>
          <w:spacing w:val="0"/>
          <w:kern w:val="0"/>
          <w:sz w:val="31"/>
          <w:szCs w:val="31"/>
          <w:shd w:val="clear" w:fill="FFFFFF"/>
          <w:lang w:val="en-US" w:eastAsia="zh-CN" w:bidi="ar"/>
        </w:rPr>
        <w:t>其他需说明的事项​</w:t>
      </w:r>
    </w:p>
    <w:p>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line="560" w:lineRule="exact"/>
        <w:ind w:firstLine="620" w:firstLineChars="200"/>
        <w:jc w:val="both"/>
        <w:textAlignment w:val="auto"/>
        <w:rPr>
          <w:rFonts w:ascii="仿宋_GB2312" w:hAnsi="仿宋_GB2312" w:eastAsia="仿宋_GB2312" w:cs="仿宋_GB2312"/>
          <w:i w:val="0"/>
          <w:iCs w:val="0"/>
          <w:caps w:val="0"/>
          <w:color w:val="auto"/>
          <w:spacing w:val="0"/>
          <w:sz w:val="31"/>
          <w:szCs w:val="31"/>
        </w:rPr>
      </w:pPr>
      <w:r>
        <w:rPr>
          <w:rFonts w:ascii="仿宋_GB2312" w:hAnsi="仿宋_GB2312" w:eastAsia="仿宋_GB2312" w:cs="仿宋_GB2312"/>
          <w:i w:val="0"/>
          <w:iCs w:val="0"/>
          <w:caps w:val="0"/>
          <w:color w:val="auto"/>
          <w:spacing w:val="0"/>
          <w:kern w:val="0"/>
          <w:sz w:val="31"/>
          <w:szCs w:val="31"/>
          <w:shd w:val="clear" w:fill="FFFFFF"/>
          <w:lang w:val="en-US" w:eastAsia="zh-CN" w:bidi="ar"/>
        </w:rPr>
        <w:t>本单位无其他需说明事项。</w:t>
      </w:r>
    </w:p>
    <w:p>
      <w:pPr>
        <w:rPr>
          <w:lang w:val="en-US" w:eastAsia="zh-CN"/>
        </w:rPr>
      </w:pPr>
    </w:p>
    <w:p>
      <w:pPr>
        <w:pStyle w:val="2"/>
        <w:rPr>
          <w:lang w:val="en-US" w:eastAsia="zh-CN"/>
        </w:rPr>
      </w:pPr>
    </w:p>
    <w:p>
      <w:pPr>
        <w:rPr>
          <w:lang w:val="en-US" w:eastAsia="zh-CN"/>
        </w:rPr>
      </w:pPr>
    </w:p>
    <w:p>
      <w:pPr>
        <w:pStyle w:val="2"/>
        <w:rPr>
          <w:lang w:val="en-US" w:eastAsia="zh-CN"/>
        </w:rPr>
      </w:pPr>
    </w:p>
    <w:p>
      <w:pPr>
        <w:rPr>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sz w:val="32"/>
          <w:szCs w:val="32"/>
          <w:highlight w:val="none"/>
        </w:rPr>
      </w:pPr>
      <w:bookmarkStart w:id="4" w:name="_Toc30038"/>
      <w:r>
        <w:rPr>
          <w:rFonts w:hint="eastAsia" w:ascii="黑体" w:hAnsi="黑体" w:eastAsia="黑体"/>
          <w:sz w:val="32"/>
          <w:szCs w:val="32"/>
          <w:highlight w:val="none"/>
        </w:rPr>
        <w:t>第</w:t>
      </w:r>
      <w:r>
        <w:rPr>
          <w:rFonts w:hint="eastAsia" w:ascii="黑体" w:hAnsi="黑体" w:eastAsia="黑体"/>
          <w:sz w:val="32"/>
          <w:szCs w:val="32"/>
          <w:highlight w:val="none"/>
          <w:lang w:val="en-US" w:eastAsia="zh-CN"/>
        </w:rPr>
        <w:t>三</w:t>
      </w:r>
      <w:r>
        <w:rPr>
          <w:rFonts w:hint="eastAsia" w:ascii="黑体" w:hAnsi="黑体" w:eastAsia="黑体"/>
          <w:sz w:val="32"/>
          <w:szCs w:val="32"/>
          <w:highlight w:val="none"/>
        </w:rPr>
        <w:t>部分 专业名词解释</w:t>
      </w:r>
      <w:bookmarkEnd w:id="4"/>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一、</w:t>
      </w:r>
      <w:r>
        <w:rPr>
          <w:rFonts w:hint="eastAsia" w:ascii="仿宋_GB2312" w:eastAsia="仿宋_GB2312"/>
          <w:b/>
          <w:bCs/>
          <w:sz w:val="32"/>
          <w:szCs w:val="32"/>
          <w:highlight w:val="none"/>
        </w:rPr>
        <w:t>财政拨款收入：</w:t>
      </w:r>
      <w:r>
        <w:rPr>
          <w:rFonts w:hint="eastAsia" w:ascii="仿宋_GB2312" w:eastAsia="仿宋_GB2312"/>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二、</w:t>
      </w:r>
      <w:r>
        <w:rPr>
          <w:rFonts w:hint="eastAsia" w:ascii="仿宋_GB2312" w:eastAsia="仿宋_GB2312"/>
          <w:b/>
          <w:bCs/>
          <w:sz w:val="32"/>
          <w:szCs w:val="32"/>
          <w:highlight w:val="none"/>
        </w:rPr>
        <w:t>上级补助收入：</w:t>
      </w:r>
      <w:r>
        <w:rPr>
          <w:rFonts w:hint="eastAsia" w:ascii="仿宋_GB2312" w:eastAsia="仿宋_GB2312"/>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三、</w:t>
      </w:r>
      <w:r>
        <w:rPr>
          <w:rFonts w:hint="eastAsia" w:ascii="仿宋_GB2312" w:eastAsia="仿宋_GB2312"/>
          <w:b/>
          <w:bCs/>
          <w:sz w:val="32"/>
          <w:szCs w:val="32"/>
          <w:highlight w:val="none"/>
        </w:rPr>
        <w:t>事业收入：</w:t>
      </w:r>
      <w:r>
        <w:rPr>
          <w:rFonts w:hint="eastAsia" w:ascii="仿宋_GB2312" w:eastAsia="仿宋_GB2312"/>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四、</w:t>
      </w:r>
      <w:r>
        <w:rPr>
          <w:rFonts w:hint="eastAsia" w:ascii="仿宋_GB2312" w:eastAsia="仿宋_GB2312"/>
          <w:b/>
          <w:bCs/>
          <w:sz w:val="32"/>
          <w:szCs w:val="32"/>
          <w:highlight w:val="none"/>
        </w:rPr>
        <w:t>经营收入：</w:t>
      </w:r>
      <w:r>
        <w:rPr>
          <w:rFonts w:hint="eastAsia" w:ascii="仿宋_GB2312" w:eastAsia="仿宋_GB2312"/>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五、</w:t>
      </w:r>
      <w:r>
        <w:rPr>
          <w:rFonts w:hint="eastAsia" w:ascii="仿宋_GB2312" w:eastAsia="仿宋_GB2312"/>
          <w:b/>
          <w:bCs/>
          <w:sz w:val="32"/>
          <w:szCs w:val="32"/>
          <w:highlight w:val="none"/>
        </w:rPr>
        <w:t>附属单位上缴收入：</w:t>
      </w:r>
      <w:r>
        <w:rPr>
          <w:rFonts w:hint="eastAsia" w:ascii="仿宋_GB2312" w:eastAsia="仿宋_GB2312"/>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六、</w:t>
      </w:r>
      <w:r>
        <w:rPr>
          <w:rFonts w:hint="eastAsia" w:ascii="仿宋_GB2312" w:eastAsia="仿宋_GB2312"/>
          <w:b/>
          <w:bCs/>
          <w:sz w:val="32"/>
          <w:szCs w:val="32"/>
          <w:highlight w:val="none"/>
        </w:rPr>
        <w:t>其他收入：</w:t>
      </w:r>
      <w:r>
        <w:rPr>
          <w:rFonts w:hint="eastAsia" w:ascii="仿宋_GB2312" w:eastAsia="仿宋_GB2312"/>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七、</w:t>
      </w:r>
      <w:r>
        <w:rPr>
          <w:rFonts w:hint="eastAsia" w:ascii="仿宋_GB2312" w:eastAsia="仿宋_GB2312"/>
          <w:b/>
          <w:bCs/>
          <w:sz w:val="32"/>
          <w:szCs w:val="32"/>
          <w:highlight w:val="none"/>
          <w:lang w:eastAsia="zh-CN"/>
        </w:rPr>
        <w:t>年初</w:t>
      </w:r>
      <w:r>
        <w:rPr>
          <w:rFonts w:hint="eastAsia" w:ascii="仿宋_GB2312" w:eastAsia="仿宋_GB2312"/>
          <w:b/>
          <w:bCs/>
          <w:sz w:val="32"/>
          <w:szCs w:val="32"/>
          <w:highlight w:val="none"/>
        </w:rPr>
        <w:t>结转和结余：</w:t>
      </w:r>
      <w:r>
        <w:rPr>
          <w:rFonts w:hint="eastAsia" w:ascii="仿宋_GB2312" w:eastAsia="仿宋_GB2312"/>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八、</w:t>
      </w:r>
      <w:r>
        <w:rPr>
          <w:rFonts w:hint="eastAsia" w:ascii="仿宋_GB2312" w:eastAsia="仿宋_GB2312"/>
          <w:b/>
          <w:bCs/>
          <w:sz w:val="32"/>
          <w:szCs w:val="32"/>
          <w:highlight w:val="none"/>
        </w:rPr>
        <w:t>年末结转和结余：</w:t>
      </w:r>
      <w:r>
        <w:rPr>
          <w:rFonts w:hint="eastAsia" w:ascii="仿宋_GB2312" w:eastAsia="仿宋_GB2312"/>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九、</w:t>
      </w:r>
      <w:r>
        <w:rPr>
          <w:rFonts w:hint="eastAsia" w:ascii="仿宋_GB2312" w:eastAsia="仿宋_GB2312"/>
          <w:b/>
          <w:bCs/>
          <w:sz w:val="32"/>
          <w:szCs w:val="32"/>
          <w:highlight w:val="none"/>
        </w:rPr>
        <w:t>基本支出：</w:t>
      </w:r>
      <w:r>
        <w:rPr>
          <w:rFonts w:hint="eastAsia" w:ascii="仿宋_GB2312" w:eastAsia="仿宋_GB2312"/>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w:t>
      </w:r>
      <w:r>
        <w:rPr>
          <w:rFonts w:hint="eastAsia" w:ascii="仿宋_GB2312" w:eastAsia="仿宋_GB2312"/>
          <w:b/>
          <w:bCs/>
          <w:sz w:val="32"/>
          <w:szCs w:val="32"/>
          <w:highlight w:val="none"/>
        </w:rPr>
        <w:t>项目支出：</w:t>
      </w:r>
      <w:r>
        <w:rPr>
          <w:rFonts w:hint="eastAsia" w:ascii="仿宋_GB2312" w:eastAsia="仿宋_GB2312"/>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十一、</w:t>
      </w:r>
      <w:r>
        <w:rPr>
          <w:rFonts w:hint="eastAsia" w:ascii="仿宋_GB2312" w:eastAsia="仿宋_GB2312"/>
          <w:b/>
          <w:bCs/>
          <w:sz w:val="32"/>
          <w:szCs w:val="32"/>
          <w:highlight w:val="none"/>
        </w:rPr>
        <w:t>经营支出：</w:t>
      </w:r>
      <w:r>
        <w:rPr>
          <w:rFonts w:hint="eastAsia" w:ascii="仿宋_GB2312" w:eastAsia="仿宋_GB2312"/>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十二、</w:t>
      </w:r>
      <w:r>
        <w:rPr>
          <w:rFonts w:hint="eastAsia" w:ascii="仿宋_GB2312" w:eastAsia="仿宋_GB2312"/>
          <w:b/>
          <w:bCs/>
          <w:sz w:val="32"/>
          <w:szCs w:val="32"/>
          <w:highlight w:val="none"/>
        </w:rPr>
        <w:t>对附属单位补助支出：</w:t>
      </w:r>
      <w:r>
        <w:rPr>
          <w:rFonts w:hint="eastAsia" w:ascii="仿宋_GB2312" w:eastAsia="仿宋_GB2312"/>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z w:val="32"/>
          <w:szCs w:val="32"/>
          <w:highlight w:val="none"/>
          <w:lang w:val="en-US" w:eastAsia="zh-CN"/>
        </w:rPr>
        <w:t>十三、</w:t>
      </w:r>
      <w:r>
        <w:rPr>
          <w:rFonts w:hint="eastAsia" w:ascii="仿宋_GB2312" w:eastAsia="仿宋_GB2312"/>
          <w:b/>
          <w:bCs/>
          <w:sz w:val="32"/>
          <w:szCs w:val="32"/>
          <w:highlight w:val="none"/>
        </w:rPr>
        <w:t>“三公”经费：</w:t>
      </w:r>
      <w:r>
        <w:rPr>
          <w:rFonts w:hint="eastAsia" w:ascii="仿宋_GB2312" w:eastAsia="仿宋_GB2312"/>
          <w:sz w:val="32"/>
          <w:szCs w:val="32"/>
          <w:highlight w:val="none"/>
        </w:rPr>
        <w:t>指用财政拨款安排的因公出国（境）费、公务用车购置及运行费和公务接待费。其中，因公出国（境）费反映单位公务出国（境）的</w:t>
      </w:r>
      <w:r>
        <w:rPr>
          <w:rFonts w:hint="eastAsia" w:ascii="仿宋_GB2312" w:eastAsia="仿宋_GB2312"/>
          <w:sz w:val="32"/>
          <w:szCs w:val="32"/>
          <w:highlight w:val="none"/>
          <w:lang w:eastAsia="zh-CN"/>
        </w:rPr>
        <w:t>国际旅费、国外城市间交通费、</w:t>
      </w:r>
      <w:r>
        <w:rPr>
          <w:rFonts w:hint="eastAsia" w:ascii="仿宋_GB2312" w:eastAsia="仿宋_GB2312"/>
          <w:sz w:val="32"/>
          <w:szCs w:val="32"/>
          <w:highlight w:val="none"/>
        </w:rPr>
        <w:t>住宿费、伙食费、培训费、</w:t>
      </w:r>
      <w:r>
        <w:rPr>
          <w:rFonts w:hint="eastAsia" w:ascii="仿宋_GB2312" w:eastAsia="仿宋_GB2312"/>
          <w:sz w:val="32"/>
          <w:szCs w:val="32"/>
          <w:highlight w:val="none"/>
          <w:lang w:eastAsia="zh-CN"/>
        </w:rPr>
        <w:t>公</w:t>
      </w:r>
      <w:r>
        <w:rPr>
          <w:rFonts w:hint="eastAsia" w:ascii="仿宋_GB2312" w:eastAsia="仿宋_GB2312"/>
          <w:sz w:val="32"/>
          <w:szCs w:val="32"/>
          <w:highlight w:val="none"/>
        </w:rPr>
        <w:t>杂费等支出；公务用车购置</w:t>
      </w:r>
      <w:r>
        <w:rPr>
          <w:rFonts w:hint="eastAsia" w:ascii="仿宋_GB2312" w:eastAsia="仿宋_GB2312"/>
          <w:sz w:val="32"/>
          <w:szCs w:val="32"/>
          <w:highlight w:val="none"/>
          <w:lang w:eastAsia="zh-CN"/>
        </w:rPr>
        <w:t>反映公务用车购置支出（含车辆购置税、牌照费）；</w:t>
      </w:r>
      <w:r>
        <w:rPr>
          <w:rFonts w:hint="eastAsia" w:ascii="仿宋_GB2312" w:eastAsia="仿宋_GB2312"/>
          <w:sz w:val="32"/>
          <w:szCs w:val="32"/>
          <w:highlight w:val="none"/>
        </w:rPr>
        <w:t>公务用车运行</w:t>
      </w:r>
      <w:r>
        <w:rPr>
          <w:rFonts w:hint="eastAsia" w:ascii="仿宋_GB2312" w:eastAsia="仿宋_GB2312"/>
          <w:sz w:val="32"/>
          <w:szCs w:val="32"/>
          <w:highlight w:val="none"/>
          <w:lang w:eastAsia="zh-CN"/>
        </w:rPr>
        <w:t>维护</w:t>
      </w:r>
      <w:r>
        <w:rPr>
          <w:rFonts w:hint="eastAsia" w:ascii="仿宋_GB2312" w:eastAsia="仿宋_GB2312"/>
          <w:sz w:val="32"/>
          <w:szCs w:val="32"/>
          <w:highlight w:val="none"/>
        </w:rPr>
        <w:t>费反映</w:t>
      </w:r>
      <w:r>
        <w:rPr>
          <w:rFonts w:hint="eastAsia" w:ascii="仿宋_GB2312" w:eastAsia="仿宋_GB2312"/>
          <w:sz w:val="32"/>
          <w:szCs w:val="32"/>
          <w:highlight w:val="none"/>
          <w:lang w:eastAsia="zh-CN"/>
        </w:rPr>
        <w:t>单位按规定保留的公务用车燃料费、维修费、</w:t>
      </w:r>
      <w:r>
        <w:rPr>
          <w:rFonts w:hint="eastAsia" w:ascii="仿宋_GB2312" w:eastAsia="仿宋_GB2312"/>
          <w:sz w:val="32"/>
          <w:szCs w:val="32"/>
          <w:highlight w:val="none"/>
        </w:rPr>
        <w:t>过路过桥费、保险费、安全奖励费用等支出</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公务接待费反映单位按规定开支的各类公务接待（含外宾接待）</w:t>
      </w:r>
      <w:r>
        <w:rPr>
          <w:rFonts w:hint="eastAsia" w:ascii="仿宋_GB2312" w:eastAsia="仿宋_GB2312"/>
          <w:sz w:val="32"/>
          <w:szCs w:val="32"/>
          <w:highlight w:val="none"/>
          <w:lang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十四、</w:t>
      </w:r>
      <w:r>
        <w:rPr>
          <w:rFonts w:hint="eastAsia" w:ascii="仿宋_GB2312" w:eastAsia="仿宋_GB2312"/>
          <w:b/>
          <w:bCs/>
          <w:sz w:val="32"/>
          <w:szCs w:val="32"/>
          <w:highlight w:val="none"/>
        </w:rPr>
        <w:t>机关运行经费：</w:t>
      </w:r>
      <w:r>
        <w:rPr>
          <w:rFonts w:hint="eastAsia" w:ascii="仿宋_GB2312" w:eastAsia="仿宋_GB2312"/>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0"/>
        <w:rPr>
          <w:rFonts w:hint="eastAsia" w:ascii="黑体" w:hAnsi="黑体" w:eastAsia="黑体"/>
          <w:sz w:val="32"/>
          <w:szCs w:val="32"/>
          <w:highlight w:val="none"/>
        </w:rPr>
      </w:pPr>
      <w:r>
        <w:rPr>
          <w:rFonts w:hint="eastAsia" w:ascii="仿宋_GB2312" w:eastAsia="仿宋_GB2312"/>
          <w:sz w:val="32"/>
          <w:szCs w:val="32"/>
          <w:highlight w:val="none"/>
        </w:rPr>
        <w:br w:type="page"/>
      </w:r>
      <w:bookmarkStart w:id="5" w:name="_Toc6831"/>
      <w:r>
        <w:rPr>
          <w:rFonts w:hint="eastAsia" w:ascii="黑体" w:hAnsi="黑体" w:eastAsia="黑体"/>
          <w:sz w:val="32"/>
          <w:szCs w:val="32"/>
          <w:highlight w:val="none"/>
        </w:rPr>
        <w:t>第四部分 部门决算报表（见附表）</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6" w:name="_Toc6062"/>
      <w:bookmarkStart w:id="7" w:name="_Toc3845"/>
      <w:r>
        <w:rPr>
          <w:rFonts w:hint="eastAsia" w:ascii="仿宋_GB2312" w:hAnsi="仿宋_GB2312" w:eastAsia="仿宋_GB2312" w:cs="仿宋_GB2312"/>
          <w:bCs/>
          <w:kern w:val="0"/>
          <w:sz w:val="32"/>
          <w:szCs w:val="32"/>
          <w:highlight w:val="none"/>
        </w:rPr>
        <w:t>一、《收入支出决算总表》</w:t>
      </w:r>
      <w:bookmarkEnd w:id="6"/>
      <w:bookmarkEnd w:id="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8" w:name="_Toc30364"/>
      <w:bookmarkStart w:id="9" w:name="_Toc11927"/>
      <w:r>
        <w:rPr>
          <w:rFonts w:hint="eastAsia" w:ascii="仿宋_GB2312" w:hAnsi="仿宋_GB2312" w:eastAsia="仿宋_GB2312" w:cs="仿宋_GB2312"/>
          <w:bCs/>
          <w:kern w:val="0"/>
          <w:sz w:val="32"/>
          <w:szCs w:val="32"/>
          <w:highlight w:val="none"/>
        </w:rPr>
        <w:t>二、《收入决算表》</w:t>
      </w:r>
      <w:bookmarkEnd w:id="8"/>
      <w:bookmarkEnd w:id="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10" w:name="_Toc21304"/>
      <w:bookmarkStart w:id="11" w:name="_Toc7443"/>
      <w:r>
        <w:rPr>
          <w:rFonts w:hint="eastAsia" w:ascii="仿宋_GB2312" w:hAnsi="仿宋_GB2312" w:eastAsia="仿宋_GB2312" w:cs="仿宋_GB2312"/>
          <w:bCs/>
          <w:kern w:val="0"/>
          <w:sz w:val="32"/>
          <w:szCs w:val="32"/>
          <w:highlight w:val="none"/>
        </w:rPr>
        <w:t>三、《支出决算表》</w:t>
      </w:r>
      <w:bookmarkEnd w:id="10"/>
      <w:bookmarkEnd w:id="1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12" w:name="_Toc14238"/>
      <w:bookmarkStart w:id="13" w:name="_Toc24884"/>
      <w:r>
        <w:rPr>
          <w:rFonts w:hint="eastAsia" w:ascii="仿宋_GB2312" w:hAnsi="仿宋_GB2312" w:eastAsia="仿宋_GB2312" w:cs="仿宋_GB2312"/>
          <w:bCs/>
          <w:kern w:val="0"/>
          <w:sz w:val="32"/>
          <w:szCs w:val="32"/>
          <w:highlight w:val="none"/>
        </w:rPr>
        <w:t>四、《财政拨款收入支出决算总表》</w:t>
      </w:r>
      <w:bookmarkEnd w:id="12"/>
      <w:bookmarkEnd w:id="1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14" w:name="_Toc10347"/>
      <w:bookmarkStart w:id="15" w:name="_Toc16518"/>
      <w:r>
        <w:rPr>
          <w:rFonts w:hint="eastAsia" w:ascii="仿宋_GB2312" w:hAnsi="仿宋_GB2312" w:eastAsia="仿宋_GB2312" w:cs="仿宋_GB2312"/>
          <w:bCs/>
          <w:kern w:val="0"/>
          <w:sz w:val="32"/>
          <w:szCs w:val="32"/>
          <w:highlight w:val="none"/>
        </w:rPr>
        <w:t>五、《一般公共预算财政拨款支出决算表》</w:t>
      </w:r>
      <w:bookmarkEnd w:id="14"/>
      <w:bookmarkEnd w:id="1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16" w:name="_Toc5626"/>
      <w:bookmarkStart w:id="17" w:name="_Toc20514"/>
      <w:r>
        <w:rPr>
          <w:rFonts w:hint="eastAsia" w:ascii="仿宋_GB2312" w:hAnsi="仿宋_GB2312" w:eastAsia="仿宋_GB2312" w:cs="仿宋_GB2312"/>
          <w:bCs/>
          <w:kern w:val="0"/>
          <w:sz w:val="32"/>
          <w:szCs w:val="32"/>
          <w:highlight w:val="none"/>
        </w:rPr>
        <w:t>六、《一般公共预算财政拨款基本支出决算表》</w:t>
      </w:r>
      <w:bookmarkEnd w:id="16"/>
      <w:bookmarkEnd w:id="1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18" w:name="_Toc18055"/>
      <w:bookmarkStart w:id="19" w:name="_Toc5453"/>
      <w:r>
        <w:rPr>
          <w:rFonts w:hint="eastAsia" w:ascii="仿宋_GB2312" w:hAnsi="仿宋_GB2312" w:eastAsia="仿宋_GB2312" w:cs="仿宋_GB2312"/>
          <w:bCs/>
          <w:kern w:val="0"/>
          <w:sz w:val="32"/>
          <w:szCs w:val="32"/>
          <w:highlight w:val="none"/>
        </w:rPr>
        <w:t>七、《政府性基金预算财政拨款收入支出决算表》</w:t>
      </w:r>
      <w:bookmarkEnd w:id="18"/>
      <w:bookmarkEnd w:id="19"/>
      <w:r>
        <w:rPr>
          <w:rFonts w:hint="eastAsia" w:ascii="黑体" w:hAnsi="黑体" w:eastAsia="仿宋_GB2312" w:cs="宋体"/>
          <w:bCs/>
          <w:color w:val="000000" w:themeColor="text1"/>
          <w:kern w:val="0"/>
          <w:sz w:val="32"/>
          <w:szCs w:val="32"/>
          <w:highlight w:val="none"/>
          <w:lang w:eastAsia="zh-CN"/>
          <w14:textFill>
            <w14:solidFill>
              <w14:schemeClr w14:val="tx1"/>
            </w14:solidFill>
          </w14:textFill>
        </w:rPr>
        <w:t>（空表）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20" w:name="_Toc10719"/>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bookmarkEnd w:id="20"/>
      <w:r>
        <w:rPr>
          <w:rFonts w:hint="eastAsia" w:ascii="黑体" w:hAnsi="黑体" w:eastAsia="仿宋_GB2312" w:cs="宋体"/>
          <w:bCs/>
          <w:color w:val="000000" w:themeColor="text1"/>
          <w:kern w:val="0"/>
          <w:sz w:val="32"/>
          <w:szCs w:val="32"/>
          <w:highlight w:val="none"/>
          <w:lang w:eastAsia="zh-CN"/>
          <w14:textFill>
            <w14:solidFill>
              <w14:schemeClr w14:val="tx1"/>
            </w14:solidFill>
          </w14:textFill>
        </w:rPr>
        <w:t>（空表）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color w:val="auto"/>
        </w:rPr>
      </w:pPr>
      <w:bookmarkStart w:id="21" w:name="_Toc18861"/>
      <w:bookmarkStart w:id="22" w:name="_Toc29106"/>
      <w:bookmarkStart w:id="23" w:name="_Toc32663"/>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bookmarkEnd w:id="21"/>
      <w:bookmarkEnd w:id="22"/>
      <w:bookmarkEnd w:id="23"/>
    </w:p>
    <w:p>
      <w:pPr>
        <w:keepNext w:val="0"/>
        <w:keepLines w:val="0"/>
        <w:pageBreakBefore w:val="0"/>
        <w:widowControl w:val="0"/>
        <w:kinsoku/>
        <w:wordWrap/>
        <w:overflowPunct/>
        <w:topLinePunct w:val="0"/>
        <w:autoSpaceDE/>
        <w:autoSpaceDN/>
        <w:bidi w:val="0"/>
        <w:adjustRightInd/>
        <w:snapToGrid/>
        <w:spacing w:line="560" w:lineRule="exact"/>
        <w:textAlignment w:val="auto"/>
        <w:rPr>
          <w:color w:val="auto"/>
        </w:rPr>
      </w:pPr>
    </w:p>
    <w:p>
      <w:pPr>
        <w:pStyle w:val="2"/>
        <w:pageBreakBefore w:val="0"/>
        <w:widowControl w:val="0"/>
        <w:kinsoku/>
        <w:wordWrap/>
        <w:overflowPunct/>
        <w:topLinePunct w:val="0"/>
        <w:autoSpaceDE/>
        <w:autoSpaceDN/>
        <w:bidi w:val="0"/>
        <w:adjustRightInd/>
        <w:snapToGrid/>
        <w:spacing w:before="0" w:after="0" w:line="560" w:lineRule="exact"/>
        <w:textAlignment w:val="auto"/>
        <w:rPr>
          <w:color w:val="auto"/>
        </w:rPr>
      </w:pPr>
    </w:p>
    <w:p>
      <w:pPr>
        <w:rPr>
          <w:color w:val="auto"/>
        </w:rPr>
      </w:pPr>
    </w:p>
    <w:p>
      <w:pPr>
        <w:pStyle w:val="2"/>
        <w:rPr>
          <w:color w:val="auto"/>
        </w:rPr>
      </w:pPr>
    </w:p>
    <w:p>
      <w:pPr>
        <w:rPr>
          <w:color w:val="auto"/>
        </w:rPr>
      </w:pPr>
    </w:p>
    <w:p>
      <w:pPr>
        <w:pStyle w:val="2"/>
        <w:rPr>
          <w:color w:val="auto"/>
        </w:rPr>
      </w:pPr>
    </w:p>
    <w:p>
      <w:pPr>
        <w:rPr>
          <w:color w:val="auto"/>
        </w:rPr>
        <w:sectPr>
          <w:pgSz w:w="11906" w:h="16838"/>
          <w:pgMar w:top="1928" w:right="1474" w:bottom="1474" w:left="1474" w:header="0" w:footer="0" w:gutter="0"/>
          <w:paperSrc w:first="6" w:other="6"/>
          <w:pgNumType w:fmt="numberInDash"/>
          <w:cols w:space="0" w:num="1"/>
          <w:titlePg/>
          <w:rtlGutter w:val="0"/>
          <w:docGrid w:linePitch="0" w:charSpace="0"/>
        </w:sectPr>
      </w:pPr>
    </w:p>
    <w:p>
      <w:pPr>
        <w:pStyle w:val="2"/>
        <w:sectPr>
          <w:pgSz w:w="11906" w:h="16838"/>
          <w:pgMar w:top="1928" w:right="1474" w:bottom="1474" w:left="1474" w:header="0" w:footer="0" w:gutter="0"/>
          <w:paperSrc w:first="6" w:other="6"/>
          <w:pgNumType w:fmt="numberInDash"/>
          <w:cols w:space="0" w:num="1"/>
          <w:titlePg/>
          <w:rtlGutter w:val="0"/>
          <w:docGrid w:linePitch="0" w:charSpace="0"/>
        </w:sectPr>
      </w:pPr>
      <w:r>
        <w:drawing>
          <wp:anchor distT="0" distB="0" distL="114300" distR="114300" simplePos="0" relativeHeight="251659264" behindDoc="1" locked="0" layoutInCell="1" allowOverlap="1">
            <wp:simplePos x="0" y="0"/>
            <wp:positionH relativeFrom="column">
              <wp:posOffset>-19050</wp:posOffset>
            </wp:positionH>
            <wp:positionV relativeFrom="page">
              <wp:posOffset>1456055</wp:posOffset>
            </wp:positionV>
            <wp:extent cx="5681345" cy="7968615"/>
            <wp:effectExtent l="0" t="0" r="14605" b="0"/>
            <wp:wrapTight wrapText="bothSides">
              <wp:wrapPolygon>
                <wp:start x="0" y="0"/>
                <wp:lineTo x="0" y="21533"/>
                <wp:lineTo x="21511" y="21533"/>
                <wp:lineTo x="21511" y="0"/>
                <wp:lineTo x="0"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681345" cy="7968615"/>
                    </a:xfrm>
                    <a:prstGeom prst="rect">
                      <a:avLst/>
                    </a:prstGeom>
                    <a:noFill/>
                    <a:ln>
                      <a:noFill/>
                    </a:ln>
                  </pic:spPr>
                </pic:pic>
              </a:graphicData>
            </a:graphic>
          </wp:anchor>
        </w:drawing>
      </w:r>
    </w:p>
    <w:p>
      <w:r>
        <w:drawing>
          <wp:anchor distT="0" distB="0" distL="114300" distR="114300" simplePos="0" relativeHeight="251660288" behindDoc="1" locked="0" layoutInCell="1" allowOverlap="1">
            <wp:simplePos x="0" y="0"/>
            <wp:positionH relativeFrom="column">
              <wp:posOffset>-35560</wp:posOffset>
            </wp:positionH>
            <wp:positionV relativeFrom="page">
              <wp:posOffset>1395730</wp:posOffset>
            </wp:positionV>
            <wp:extent cx="5955030" cy="7610475"/>
            <wp:effectExtent l="0" t="0" r="45720" b="47625"/>
            <wp:wrapTight wrapText="bothSides">
              <wp:wrapPolygon>
                <wp:start x="0" y="0"/>
                <wp:lineTo x="0" y="21573"/>
                <wp:lineTo x="21559" y="21573"/>
                <wp:lineTo x="21559" y="0"/>
                <wp:lineTo x="0" y="0"/>
              </wp:wrapPolygon>
            </wp:wrapTight>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955030" cy="7610475"/>
                    </a:xfrm>
                    <a:prstGeom prst="rect">
                      <a:avLst/>
                    </a:prstGeom>
                    <a:noFill/>
                    <a:ln>
                      <a:noFill/>
                    </a:ln>
                  </pic:spPr>
                </pic:pic>
              </a:graphicData>
            </a:graphic>
          </wp:anchor>
        </w:drawing>
      </w:r>
    </w:p>
    <w:p>
      <w:pPr>
        <w:pStyle w:val="2"/>
        <w:rPr>
          <w:color w:val="auto"/>
        </w:rPr>
      </w:pPr>
    </w:p>
    <w:p>
      <w:pPr>
        <w:rPr>
          <w:color w:val="auto"/>
        </w:rPr>
      </w:pPr>
    </w:p>
    <w:p>
      <w:pPr>
        <w:pStyle w:val="2"/>
      </w:pPr>
      <w:r>
        <w:drawing>
          <wp:anchor distT="0" distB="0" distL="114300" distR="114300" simplePos="0" relativeHeight="251661312" behindDoc="1" locked="0" layoutInCell="1" allowOverlap="1">
            <wp:simplePos x="0" y="0"/>
            <wp:positionH relativeFrom="column">
              <wp:posOffset>-9525</wp:posOffset>
            </wp:positionH>
            <wp:positionV relativeFrom="page">
              <wp:posOffset>1290955</wp:posOffset>
            </wp:positionV>
            <wp:extent cx="5680710" cy="7721600"/>
            <wp:effectExtent l="0" t="0" r="15240" b="0"/>
            <wp:wrapTight wrapText="bothSides">
              <wp:wrapPolygon>
                <wp:start x="0" y="0"/>
                <wp:lineTo x="0" y="21529"/>
                <wp:lineTo x="21513" y="21529"/>
                <wp:lineTo x="21513" y="0"/>
                <wp:lineTo x="0" y="0"/>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680710" cy="7721600"/>
                    </a:xfrm>
                    <a:prstGeom prst="rect">
                      <a:avLst/>
                    </a:prstGeom>
                    <a:noFill/>
                    <a:ln>
                      <a:noFill/>
                    </a:ln>
                  </pic:spPr>
                </pic:pic>
              </a:graphicData>
            </a:graphic>
          </wp:anchor>
        </w:drawing>
      </w:r>
    </w:p>
    <w:p>
      <w:pPr>
        <w:pStyle w:val="2"/>
        <w:jc w:val="both"/>
      </w:pPr>
    </w:p>
    <w:p/>
    <w:p>
      <w:pPr>
        <w:pStyle w:val="2"/>
      </w:pPr>
      <w:r>
        <w:drawing>
          <wp:anchor distT="0" distB="0" distL="114300" distR="114300" simplePos="0" relativeHeight="251662336" behindDoc="1" locked="0" layoutInCell="1" allowOverlap="1">
            <wp:simplePos x="0" y="0"/>
            <wp:positionH relativeFrom="column">
              <wp:posOffset>-57150</wp:posOffset>
            </wp:positionH>
            <wp:positionV relativeFrom="page">
              <wp:posOffset>1437640</wp:posOffset>
            </wp:positionV>
            <wp:extent cx="5852795" cy="6875780"/>
            <wp:effectExtent l="0" t="0" r="0" b="1270"/>
            <wp:wrapTight wrapText="bothSides">
              <wp:wrapPolygon>
                <wp:start x="0" y="0"/>
                <wp:lineTo x="0" y="21544"/>
                <wp:lineTo x="21513" y="21544"/>
                <wp:lineTo x="21513" y="0"/>
                <wp:lineTo x="0" y="0"/>
              </wp:wrapPolygon>
            </wp:wrapTight>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852795" cy="6875780"/>
                    </a:xfrm>
                    <a:prstGeom prst="rect">
                      <a:avLst/>
                    </a:prstGeom>
                    <a:noFill/>
                    <a:ln>
                      <a:noFill/>
                    </a:ln>
                  </pic:spPr>
                </pic:pic>
              </a:graphicData>
            </a:graphic>
          </wp:anchor>
        </w:drawing>
      </w:r>
    </w:p>
    <w:p>
      <w:pPr>
        <w:pStyle w:val="2"/>
      </w:pPr>
    </w:p>
    <w:p>
      <w:pPr>
        <w:pStyle w:val="2"/>
      </w:pPr>
    </w:p>
    <w:p>
      <w:pPr>
        <w:pStyle w:val="2"/>
        <w:ind w:left="0" w:leftChars="0" w:firstLine="0" w:firstLineChars="0"/>
        <w:jc w:val="both"/>
      </w:pPr>
    </w:p>
    <w:p>
      <w:pPr>
        <w:pStyle w:val="2"/>
        <w:sectPr>
          <w:pgSz w:w="11906" w:h="16838"/>
          <w:pgMar w:top="1928" w:right="1474" w:bottom="1474" w:left="1474" w:header="0" w:footer="0" w:gutter="0"/>
          <w:paperSrc w:first="6" w:other="6"/>
          <w:pgNumType w:fmt="numberInDash"/>
          <w:cols w:space="0" w:num="1"/>
          <w:titlePg/>
          <w:rtlGutter w:val="0"/>
          <w:docGrid w:linePitch="0" w:charSpace="0"/>
        </w:sectPr>
      </w:pPr>
    </w:p>
    <w:p>
      <w:pPr>
        <w:pStyle w:val="2"/>
        <w:sectPr>
          <w:pgSz w:w="10500" w:h="16820"/>
          <w:pgMar w:top="1871" w:right="1531" w:bottom="1531" w:left="1531" w:header="0" w:footer="0" w:gutter="0"/>
          <w:paperSrc w:first="6" w:other="6"/>
          <w:pgNumType w:fmt="numberInDash"/>
          <w:cols w:space="0" w:num="1"/>
          <w:titlePg/>
          <w:rtlGutter w:val="0"/>
          <w:docGrid w:linePitch="0" w:charSpace="0"/>
        </w:sectPr>
      </w:pPr>
      <w:r>
        <w:drawing>
          <wp:anchor distT="0" distB="0" distL="114300" distR="114300" simplePos="0" relativeHeight="251663360" behindDoc="0" locked="0" layoutInCell="1" allowOverlap="1">
            <wp:simplePos x="0" y="0"/>
            <wp:positionH relativeFrom="column">
              <wp:posOffset>-95250</wp:posOffset>
            </wp:positionH>
            <wp:positionV relativeFrom="page">
              <wp:posOffset>1245235</wp:posOffset>
            </wp:positionV>
            <wp:extent cx="4843780" cy="7922260"/>
            <wp:effectExtent l="0" t="0" r="13970" b="2540"/>
            <wp:wrapTopAndBottom/>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4843780" cy="7922260"/>
                    </a:xfrm>
                    <a:prstGeom prst="rect">
                      <a:avLst/>
                    </a:prstGeom>
                    <a:noFill/>
                    <a:ln>
                      <a:noFill/>
                    </a:ln>
                  </pic:spPr>
                </pic:pic>
              </a:graphicData>
            </a:graphic>
          </wp:anchor>
        </w:drawing>
      </w:r>
    </w:p>
    <w:p>
      <w:pPr>
        <w:pStyle w:val="2"/>
        <w:sectPr>
          <w:pgSz w:w="10500" w:h="16820"/>
          <w:pgMar w:top="1871" w:right="1531" w:bottom="1531" w:left="1531" w:header="0" w:footer="0" w:gutter="0"/>
          <w:paperSrc w:first="6" w:other="6"/>
          <w:pgNumType w:fmt="numberInDash"/>
          <w:cols w:space="0" w:num="1"/>
          <w:titlePg/>
          <w:rtlGutter w:val="0"/>
          <w:docGrid w:linePitch="0" w:charSpace="0"/>
        </w:sectPr>
      </w:pPr>
      <w:r>
        <w:drawing>
          <wp:anchor distT="0" distB="0" distL="114300" distR="114300" simplePos="0" relativeHeight="251664384" behindDoc="0" locked="0" layoutInCell="1" allowOverlap="1">
            <wp:simplePos x="0" y="0"/>
            <wp:positionH relativeFrom="column">
              <wp:posOffset>-80645</wp:posOffset>
            </wp:positionH>
            <wp:positionV relativeFrom="page">
              <wp:posOffset>1273175</wp:posOffset>
            </wp:positionV>
            <wp:extent cx="4856480" cy="8147685"/>
            <wp:effectExtent l="0" t="0" r="1270" b="5715"/>
            <wp:wrapTopAndBottom/>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4856480" cy="8147685"/>
                    </a:xfrm>
                    <a:prstGeom prst="rect">
                      <a:avLst/>
                    </a:prstGeom>
                    <a:noFill/>
                    <a:ln>
                      <a:noFill/>
                    </a:ln>
                  </pic:spPr>
                </pic:pic>
              </a:graphicData>
            </a:graphic>
          </wp:anchor>
        </w:drawing>
      </w:r>
    </w:p>
    <w:p>
      <w:pPr>
        <w:pStyle w:val="2"/>
      </w:pPr>
      <w:bookmarkStart w:id="24" w:name="_GoBack"/>
      <w:bookmarkEnd w:id="24"/>
      <w:r>
        <w:drawing>
          <wp:anchor distT="0" distB="0" distL="114300" distR="114300" simplePos="0" relativeHeight="251667456" behindDoc="1" locked="0" layoutInCell="1" allowOverlap="1">
            <wp:simplePos x="0" y="0"/>
            <wp:positionH relativeFrom="column">
              <wp:posOffset>-225425</wp:posOffset>
            </wp:positionH>
            <wp:positionV relativeFrom="page">
              <wp:posOffset>1203960</wp:posOffset>
            </wp:positionV>
            <wp:extent cx="5102860" cy="1978025"/>
            <wp:effectExtent l="0" t="0" r="0" b="0"/>
            <wp:wrapTight wrapText="bothSides">
              <wp:wrapPolygon>
                <wp:start x="0" y="0"/>
                <wp:lineTo x="0" y="21427"/>
                <wp:lineTo x="21530" y="21427"/>
                <wp:lineTo x="21530" y="0"/>
                <wp:lineTo x="0" y="0"/>
              </wp:wrapPolygon>
            </wp:wrapTight>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10"/>
                    <a:stretch>
                      <a:fillRect/>
                    </a:stretch>
                  </pic:blipFill>
                  <pic:spPr>
                    <a:xfrm>
                      <a:off x="0" y="0"/>
                      <a:ext cx="5102860" cy="1978025"/>
                    </a:xfrm>
                    <a:prstGeom prst="rect">
                      <a:avLst/>
                    </a:prstGeom>
                    <a:noFill/>
                    <a:ln>
                      <a:noFill/>
                    </a:ln>
                  </pic:spPr>
                </pic:pic>
              </a:graphicData>
            </a:graphic>
          </wp:anchor>
        </w:drawing>
      </w:r>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r>
        <w:drawing>
          <wp:anchor distT="0" distB="0" distL="114300" distR="114300" simplePos="0" relativeHeight="251666432" behindDoc="1" locked="0" layoutInCell="1" allowOverlap="1">
            <wp:simplePos x="0" y="0"/>
            <wp:positionH relativeFrom="column">
              <wp:posOffset>-288290</wp:posOffset>
            </wp:positionH>
            <wp:positionV relativeFrom="page">
              <wp:posOffset>1353185</wp:posOffset>
            </wp:positionV>
            <wp:extent cx="5372735" cy="2065655"/>
            <wp:effectExtent l="0" t="0" r="0" b="0"/>
            <wp:wrapTight wrapText="bothSides">
              <wp:wrapPolygon>
                <wp:start x="0" y="0"/>
                <wp:lineTo x="0" y="21314"/>
                <wp:lineTo x="21521" y="21314"/>
                <wp:lineTo x="21521" y="0"/>
                <wp:lineTo x="0" y="0"/>
              </wp:wrapPolygon>
            </wp:wrapTight>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11"/>
                    <a:stretch>
                      <a:fillRect/>
                    </a:stretch>
                  </pic:blipFill>
                  <pic:spPr>
                    <a:xfrm>
                      <a:off x="0" y="0"/>
                      <a:ext cx="5372735" cy="2065655"/>
                    </a:xfrm>
                    <a:prstGeom prst="rect">
                      <a:avLst/>
                    </a:prstGeom>
                    <a:noFill/>
                    <a:ln>
                      <a:noFill/>
                    </a:ln>
                  </pic:spPr>
                </pic:pic>
              </a:graphicData>
            </a:graphic>
          </wp:anchor>
        </w:drawing>
      </w: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r>
        <w:drawing>
          <wp:anchor distT="0" distB="0" distL="114300" distR="114300" simplePos="0" relativeHeight="251665408" behindDoc="1" locked="0" layoutInCell="1" allowOverlap="1">
            <wp:simplePos x="0" y="0"/>
            <wp:positionH relativeFrom="column">
              <wp:posOffset>-236220</wp:posOffset>
            </wp:positionH>
            <wp:positionV relativeFrom="page">
              <wp:posOffset>1304290</wp:posOffset>
            </wp:positionV>
            <wp:extent cx="5170805" cy="2364740"/>
            <wp:effectExtent l="0" t="0" r="10795" b="16510"/>
            <wp:wrapTight wrapText="bothSides">
              <wp:wrapPolygon>
                <wp:start x="0" y="0"/>
                <wp:lineTo x="0" y="21403"/>
                <wp:lineTo x="21486" y="21403"/>
                <wp:lineTo x="21486" y="0"/>
                <wp:lineTo x="0" y="0"/>
              </wp:wrapPolygon>
            </wp:wrapTight>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5170805" cy="2364740"/>
                    </a:xfrm>
                    <a:prstGeom prst="rect">
                      <a:avLst/>
                    </a:prstGeom>
                    <a:noFill/>
                    <a:ln>
                      <a:noFill/>
                    </a:ln>
                  </pic:spPr>
                </pic:pic>
              </a:graphicData>
            </a:graphic>
          </wp:anchor>
        </w:drawing>
      </w:r>
    </w:p>
    <w:p/>
    <w:p>
      <w:pPr>
        <w:pStyle w:val="2"/>
      </w:pPr>
    </w:p>
    <w:p/>
    <w:p>
      <w:pPr>
        <w:pStyle w:val="2"/>
      </w:pPr>
    </w:p>
    <w:p/>
    <w:p>
      <w:pPr>
        <w:pStyle w:val="2"/>
      </w:pPr>
    </w:p>
    <w:p/>
    <w:p>
      <w:pPr>
        <w:pStyle w:val="2"/>
      </w:pPr>
    </w:p>
    <w:p/>
    <w:p>
      <w:pPr>
        <w:pStyle w:val="2"/>
      </w:pPr>
    </w:p>
    <w:p/>
    <w:sectPr>
      <w:pgSz w:w="10500" w:h="16820"/>
      <w:pgMar w:top="1871" w:right="1531" w:bottom="1531" w:left="1531" w:header="0" w:footer="0" w:gutter="0"/>
      <w:paperSrc w:first="6" w:other="6"/>
      <w:pgNumType w:fmt="numberInDash"/>
      <w:cols w:space="0" w:num="1"/>
      <w:titlePg/>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BDBB42"/>
    <w:multiLevelType w:val="singleLevel"/>
    <w:tmpl w:val="7CBDBB42"/>
    <w:lvl w:ilvl="0" w:tentative="0">
      <w:start w:val="1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10CB7"/>
    <w:rsid w:val="02126089"/>
    <w:rsid w:val="02413DA8"/>
    <w:rsid w:val="02B46BAA"/>
    <w:rsid w:val="03BA5AEB"/>
    <w:rsid w:val="04210A9E"/>
    <w:rsid w:val="04CE3B25"/>
    <w:rsid w:val="051D29C9"/>
    <w:rsid w:val="070E037B"/>
    <w:rsid w:val="091F3945"/>
    <w:rsid w:val="09EC1292"/>
    <w:rsid w:val="0B367D2C"/>
    <w:rsid w:val="0C4B3DAC"/>
    <w:rsid w:val="0C995D21"/>
    <w:rsid w:val="0C9F06D8"/>
    <w:rsid w:val="0D4E11C2"/>
    <w:rsid w:val="0D8008D3"/>
    <w:rsid w:val="0E300D25"/>
    <w:rsid w:val="0F6D1CB6"/>
    <w:rsid w:val="124671A7"/>
    <w:rsid w:val="15536BF8"/>
    <w:rsid w:val="160F6588"/>
    <w:rsid w:val="16603999"/>
    <w:rsid w:val="16EF4774"/>
    <w:rsid w:val="17F23AE8"/>
    <w:rsid w:val="18221D53"/>
    <w:rsid w:val="1AF1287A"/>
    <w:rsid w:val="1BB347E6"/>
    <w:rsid w:val="1BF26BA1"/>
    <w:rsid w:val="1BF55EF9"/>
    <w:rsid w:val="1D2F16F2"/>
    <w:rsid w:val="1D787641"/>
    <w:rsid w:val="1D835119"/>
    <w:rsid w:val="1F157343"/>
    <w:rsid w:val="1F552E58"/>
    <w:rsid w:val="1F762780"/>
    <w:rsid w:val="1FDF74A2"/>
    <w:rsid w:val="22AB05DB"/>
    <w:rsid w:val="23546F1D"/>
    <w:rsid w:val="24150A0B"/>
    <w:rsid w:val="25582F2E"/>
    <w:rsid w:val="257E6A86"/>
    <w:rsid w:val="25DF1EFC"/>
    <w:rsid w:val="26D537F4"/>
    <w:rsid w:val="276A4E35"/>
    <w:rsid w:val="27726BDA"/>
    <w:rsid w:val="291F5D6C"/>
    <w:rsid w:val="293A73A9"/>
    <w:rsid w:val="299A3D4E"/>
    <w:rsid w:val="299F75A1"/>
    <w:rsid w:val="2A2C7FD5"/>
    <w:rsid w:val="2C2E47B7"/>
    <w:rsid w:val="2D5A3839"/>
    <w:rsid w:val="2D602C17"/>
    <w:rsid w:val="2D746F31"/>
    <w:rsid w:val="306C513C"/>
    <w:rsid w:val="30AD7DBA"/>
    <w:rsid w:val="31270BFF"/>
    <w:rsid w:val="32132DEA"/>
    <w:rsid w:val="328632D9"/>
    <w:rsid w:val="33D35EE7"/>
    <w:rsid w:val="33D67357"/>
    <w:rsid w:val="368C6943"/>
    <w:rsid w:val="38F04A2B"/>
    <w:rsid w:val="39E93FE2"/>
    <w:rsid w:val="3C220EDE"/>
    <w:rsid w:val="3E3444F4"/>
    <w:rsid w:val="3F802439"/>
    <w:rsid w:val="40B307FD"/>
    <w:rsid w:val="40E221BE"/>
    <w:rsid w:val="41560830"/>
    <w:rsid w:val="417E03DC"/>
    <w:rsid w:val="41AD53DC"/>
    <w:rsid w:val="429A1BB8"/>
    <w:rsid w:val="440E0B97"/>
    <w:rsid w:val="44897189"/>
    <w:rsid w:val="448B5C58"/>
    <w:rsid w:val="44913BF1"/>
    <w:rsid w:val="48E33E1E"/>
    <w:rsid w:val="4917213C"/>
    <w:rsid w:val="4A343106"/>
    <w:rsid w:val="4AA541A9"/>
    <w:rsid w:val="4BD57A87"/>
    <w:rsid w:val="4BE26AA6"/>
    <w:rsid w:val="4CC30C14"/>
    <w:rsid w:val="4D1355D5"/>
    <w:rsid w:val="4DA51E6F"/>
    <w:rsid w:val="4DFF45C6"/>
    <w:rsid w:val="4F833BBA"/>
    <w:rsid w:val="516F345B"/>
    <w:rsid w:val="53317AF1"/>
    <w:rsid w:val="53A27B4A"/>
    <w:rsid w:val="5713049F"/>
    <w:rsid w:val="577926B9"/>
    <w:rsid w:val="587D4A77"/>
    <w:rsid w:val="5ADE79A7"/>
    <w:rsid w:val="5AFB7BD3"/>
    <w:rsid w:val="5C094DAC"/>
    <w:rsid w:val="5C8E18F3"/>
    <w:rsid w:val="5D762AC7"/>
    <w:rsid w:val="5E6B41FD"/>
    <w:rsid w:val="5EBD668B"/>
    <w:rsid w:val="5F847DA8"/>
    <w:rsid w:val="614C681E"/>
    <w:rsid w:val="620E733F"/>
    <w:rsid w:val="627A6E5C"/>
    <w:rsid w:val="62A330EA"/>
    <w:rsid w:val="657F0431"/>
    <w:rsid w:val="66C75A92"/>
    <w:rsid w:val="6753132B"/>
    <w:rsid w:val="67B63C26"/>
    <w:rsid w:val="69D76D09"/>
    <w:rsid w:val="6A9174B9"/>
    <w:rsid w:val="6B4C3F08"/>
    <w:rsid w:val="6B9E23C5"/>
    <w:rsid w:val="6BB53A2D"/>
    <w:rsid w:val="6BF450D3"/>
    <w:rsid w:val="6CEC5BD3"/>
    <w:rsid w:val="6CFD7D83"/>
    <w:rsid w:val="6F795F60"/>
    <w:rsid w:val="70097ED5"/>
    <w:rsid w:val="71DF23C5"/>
    <w:rsid w:val="72E826C1"/>
    <w:rsid w:val="72FF3BE6"/>
    <w:rsid w:val="748B4392"/>
    <w:rsid w:val="74B0607F"/>
    <w:rsid w:val="758A3324"/>
    <w:rsid w:val="75C130FF"/>
    <w:rsid w:val="78B336BB"/>
    <w:rsid w:val="791B6B5B"/>
    <w:rsid w:val="7DD94389"/>
    <w:rsid w:val="7E4548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99"/>
    <w:pPr>
      <w:keepNext/>
      <w:keepLines/>
      <w:widowControl w:val="0"/>
      <w:spacing w:before="260" w:after="260"/>
      <w:ind w:firstLine="200" w:firstLineChars="200"/>
      <w:jc w:val="center"/>
      <w:outlineLvl w:val="2"/>
    </w:pPr>
    <w:rPr>
      <w:rFonts w:ascii="Calibri" w:hAnsi="Calibri" w:eastAsia="黑体" w:cs="Times New Roman"/>
      <w:bCs/>
      <w:kern w:val="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toc 1"/>
    <w:basedOn w:val="1"/>
    <w:next w:val="1"/>
    <w:qFormat/>
    <w:uiPriority w:val="0"/>
  </w:style>
  <w:style w:type="paragraph" w:styleId="6">
    <w:name w:val="toc 2"/>
    <w:basedOn w:val="1"/>
    <w:next w:val="1"/>
    <w:qFormat/>
    <w:uiPriority w:val="0"/>
    <w:pPr>
      <w:ind w:left="420" w:leftChars="200"/>
    </w:pPr>
  </w:style>
  <w:style w:type="paragraph" w:customStyle="1" w:styleId="9">
    <w:name w:val="正文-公1"/>
    <w:basedOn w:val="10"/>
    <w:next w:val="1"/>
    <w:qFormat/>
    <w:uiPriority w:val="0"/>
    <w:pPr>
      <w:ind w:firstLine="200" w:firstLine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next w:val="9"/>
    <w:qFormat/>
    <w:uiPriority w:val="0"/>
    <w:pPr>
      <w:widowControl w:val="0"/>
      <w:jc w:val="both"/>
    </w:pPr>
    <w:rPr>
      <w:rFonts w:ascii="Times New Roman" w:hAnsi="Times New Roman" w:eastAsia="宋体" w:cs="Times New Roman"/>
      <w:kern w:val="2"/>
      <w:sz w:val="21"/>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2022-05-31T10:07:00Z</dcterms:created>
  <dc:creator>Administrator</dc:creator>
  <cp:lastModifiedBy>Administrator</cp:lastModifiedBy>
  <dcterms:modified xsi:type="dcterms:W3CDTF">2025-08-15T10:53:45Z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