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t>库尔勒市群众工作服务中心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24028"/>
      <w:bookmarkStart w:id="1" w:name="_Toc3191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ind w:firstLine="620" w:firstLineChars="200"/>
        <w:rPr>
          <w:rFonts w:hint="default" w:ascii="Times New Roman" w:hAnsi="Times New Roman" w:eastAsia="方正仿宋_GBK" w:cs="Times New Roman"/>
          <w:sz w:val="31"/>
          <w:szCs w:val="31"/>
        </w:rPr>
      </w:pPr>
      <w:bookmarkStart w:id="4" w:name="_Toc31238"/>
      <w:bookmarkStart w:id="5" w:name="_Toc1387"/>
      <w:r>
        <w:rPr>
          <w:rFonts w:hint="eastAsia" w:ascii="Times New Roman" w:hAnsi="Times New Roman" w:eastAsia="方正仿宋_GBK" w:cs="Times New Roman"/>
          <w:sz w:val="31"/>
          <w:szCs w:val="31"/>
        </w:rPr>
        <w:t>市群众工作服务中心贯彻落实党中央关于群众服务工作的方针政策和决策部署，以及自治区、自治州、市党委相关工作要求，在履职尽责过程中坚持和加强党对群众服务工作的集中统一领导，主要职责是：</w:t>
      </w:r>
    </w:p>
    <w:p>
      <w:pPr>
        <w:ind w:firstLine="620" w:firstLineChars="200"/>
        <w:rPr>
          <w:rFonts w:hint="default" w:ascii="Times New Roman" w:hAnsi="Times New Roman" w:eastAsia="方正仿宋_GBK" w:cs="Times New Roman"/>
          <w:sz w:val="31"/>
          <w:szCs w:val="31"/>
        </w:rPr>
      </w:pPr>
      <w:r>
        <w:rPr>
          <w:rFonts w:hint="eastAsia" w:ascii="Times New Roman" w:hAnsi="Times New Roman" w:eastAsia="方正仿宋_GBK" w:cs="Times New Roman"/>
          <w:sz w:val="31"/>
          <w:szCs w:val="31"/>
        </w:rPr>
        <w:t>(一）全面贯彻落实自治区党委关于群众工作的系列决策部署，落实州、市党委具体工作安排，研究制定加强和改进群众工作的具体措施办法。</w:t>
      </w:r>
    </w:p>
    <w:p>
      <w:pPr>
        <w:ind w:firstLine="620" w:firstLineChars="200"/>
        <w:rPr>
          <w:rFonts w:hint="default" w:ascii="Times New Roman" w:hAnsi="Times New Roman" w:eastAsia="方正仿宋_GBK" w:cs="Times New Roman"/>
          <w:sz w:val="31"/>
          <w:szCs w:val="31"/>
        </w:rPr>
      </w:pPr>
      <w:r>
        <w:rPr>
          <w:rFonts w:hint="eastAsia" w:ascii="Times New Roman" w:hAnsi="Times New Roman" w:eastAsia="方正仿宋_GBK" w:cs="Times New Roman"/>
          <w:sz w:val="31"/>
          <w:szCs w:val="31"/>
        </w:rPr>
        <w:t>（二）指导乡镇场街道、村(社区)层面建立完善群众工作办公室(群众工作站)，大力做好党的民族宗教、惠民等政策的宣传，协调转办各类群众困难诉求，解决群众就业创业相关问题，提升群众就业能力，加强矛盾纠纷化解，深化民族团结和宗教和睦和谐。</w:t>
      </w:r>
    </w:p>
    <w:p>
      <w:pPr>
        <w:ind w:firstLine="620" w:firstLineChars="200"/>
        <w:rPr>
          <w:rFonts w:hint="default" w:ascii="Times New Roman" w:hAnsi="Times New Roman" w:eastAsia="方正仿宋_GBK" w:cs="Times New Roman"/>
          <w:sz w:val="31"/>
          <w:szCs w:val="31"/>
        </w:rPr>
      </w:pPr>
      <w:r>
        <w:rPr>
          <w:rFonts w:hint="eastAsia" w:ascii="Times New Roman" w:hAnsi="Times New Roman" w:eastAsia="方正仿宋_GBK" w:cs="Times New Roman"/>
          <w:sz w:val="31"/>
          <w:szCs w:val="31"/>
        </w:rPr>
        <w:t>（三）按照自治区、自治州决策部署统筹推进流动人口服务管理和出租房屋管理工作，强化流动人口信息采集、录入、核查、评估和服务管理转控和反馈的工作落实。</w:t>
      </w:r>
    </w:p>
    <w:p>
      <w:pPr>
        <w:ind w:firstLine="620" w:firstLineChars="200"/>
        <w:rPr>
          <w:rFonts w:hint="default" w:ascii="Times New Roman" w:hAnsi="Times New Roman" w:eastAsia="方正仿宋_GBK" w:cs="Times New Roman"/>
          <w:sz w:val="31"/>
          <w:szCs w:val="31"/>
        </w:rPr>
      </w:pPr>
      <w:r>
        <w:rPr>
          <w:rFonts w:hint="eastAsia" w:ascii="Times New Roman" w:hAnsi="Times New Roman" w:eastAsia="方正仿宋_GBK" w:cs="Times New Roman"/>
          <w:sz w:val="31"/>
          <w:szCs w:val="31"/>
        </w:rPr>
        <w:t>（四）负责流动人口服务管理工作的“培训、指导、协调、督导”，进一步明确工作任务，压实责任，提升全市流动人口和出租房服务屋管理工作能力。</w:t>
      </w:r>
    </w:p>
    <w:p>
      <w:pPr>
        <w:ind w:firstLine="620" w:firstLineChars="200"/>
        <w:rPr>
          <w:rFonts w:hint="default" w:ascii="Times New Roman" w:hAnsi="Times New Roman" w:eastAsia="方正仿宋_GBK" w:cs="Times New Roman"/>
          <w:sz w:val="31"/>
          <w:szCs w:val="31"/>
        </w:rPr>
      </w:pPr>
      <w:r>
        <w:rPr>
          <w:rFonts w:hint="eastAsia" w:ascii="Times New Roman" w:hAnsi="Times New Roman" w:eastAsia="方正仿宋_GBK" w:cs="Times New Roman"/>
          <w:sz w:val="31"/>
          <w:szCs w:val="31"/>
        </w:rPr>
        <w:t>（五）完成市党委、市党委政法委交办的其他任务。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20" w:firstLineChars="200"/>
        <w:jc w:val="both"/>
        <w:textAlignment w:val="auto"/>
        <w:rPr>
          <w:rFonts w:hint="eastAsia" w:ascii="Times New Roman" w:hAnsi="Times New Roman" w:eastAsia="方正仿宋_GBK" w:cs="Times New Roman"/>
          <w:sz w:val="31"/>
          <w:szCs w:val="31"/>
        </w:rPr>
      </w:pPr>
      <w:r>
        <w:rPr>
          <w:rFonts w:hint="eastAsia" w:ascii="Times New Roman" w:hAnsi="Times New Roman" w:eastAsia="方正仿宋_GBK" w:cs="Times New Roman"/>
          <w:sz w:val="31"/>
          <w:szCs w:val="31"/>
        </w:rPr>
        <w:t>新疆巴州库尔勒市群众工作服务中心202</w:t>
      </w:r>
      <w:r>
        <w:rPr>
          <w:rFonts w:hint="eastAsia" w:ascii="Times New Roman" w:hAnsi="Times New Roman" w:eastAsia="方正仿宋_GBK" w:cs="Times New Roman"/>
          <w:sz w:val="31"/>
          <w:szCs w:val="31"/>
          <w:lang w:val="en-US" w:eastAsia="zh-CN"/>
        </w:rPr>
        <w:t>4</w:t>
      </w:r>
      <w:r>
        <w:rPr>
          <w:rFonts w:hint="eastAsia" w:ascii="Times New Roman" w:hAnsi="Times New Roman" w:eastAsia="方正仿宋_GBK" w:cs="Times New Roman"/>
          <w:sz w:val="31"/>
          <w:szCs w:val="31"/>
        </w:rPr>
        <w:t>年</w:t>
      </w:r>
      <w:r>
        <w:rPr>
          <w:rFonts w:hint="eastAsia" w:eastAsia="方正仿宋_GBK" w:cs="Times New Roman"/>
          <w:sz w:val="31"/>
          <w:szCs w:val="31"/>
          <w:lang w:val="en-US" w:eastAsia="zh-CN"/>
        </w:rPr>
        <w:t>度，</w:t>
      </w:r>
      <w:r>
        <w:rPr>
          <w:rFonts w:hint="eastAsia" w:ascii="Times New Roman" w:hAnsi="Times New Roman" w:eastAsia="方正仿宋_GBK" w:cs="Times New Roman"/>
          <w:sz w:val="31"/>
          <w:szCs w:val="31"/>
        </w:rPr>
        <w:t>实有人数5</w:t>
      </w:r>
      <w:r>
        <w:rPr>
          <w:rFonts w:hint="eastAsia" w:ascii="Times New Roman" w:hAnsi="Times New Roman" w:eastAsia="方正仿宋_GBK" w:cs="Times New Roman"/>
          <w:sz w:val="31"/>
          <w:szCs w:val="31"/>
          <w:lang w:val="en-US" w:eastAsia="zh-CN"/>
        </w:rPr>
        <w:t>4</w:t>
      </w:r>
      <w:r>
        <w:rPr>
          <w:rFonts w:hint="eastAsia" w:ascii="Times New Roman" w:hAnsi="Times New Roman" w:eastAsia="方正仿宋_GBK" w:cs="Times New Roman"/>
          <w:sz w:val="31"/>
          <w:szCs w:val="31"/>
        </w:rPr>
        <w:t>人，其中：在职</w:t>
      </w:r>
      <w:r>
        <w:rPr>
          <w:rFonts w:hint="eastAsia" w:eastAsia="方正仿宋_GBK" w:cs="Times New Roman"/>
          <w:sz w:val="31"/>
          <w:szCs w:val="31"/>
          <w:lang w:val="en-US" w:eastAsia="zh-CN"/>
        </w:rPr>
        <w:t>人员</w:t>
      </w:r>
      <w:r>
        <w:rPr>
          <w:rFonts w:hint="eastAsia" w:ascii="Times New Roman" w:hAnsi="Times New Roman" w:eastAsia="方正仿宋_GBK" w:cs="Times New Roman"/>
          <w:sz w:val="31"/>
          <w:szCs w:val="31"/>
        </w:rPr>
        <w:t>5</w:t>
      </w:r>
      <w:r>
        <w:rPr>
          <w:rFonts w:hint="eastAsia" w:ascii="Times New Roman" w:hAnsi="Times New Roman" w:eastAsia="方正仿宋_GBK" w:cs="Times New Roman"/>
          <w:sz w:val="31"/>
          <w:szCs w:val="31"/>
          <w:lang w:val="en-US" w:eastAsia="zh-CN"/>
        </w:rPr>
        <w:t>1</w:t>
      </w:r>
      <w:r>
        <w:rPr>
          <w:rFonts w:hint="eastAsia" w:ascii="Times New Roman" w:hAnsi="Times New Roman" w:eastAsia="方正仿宋_GBK" w:cs="Times New Roman"/>
          <w:sz w:val="31"/>
          <w:szCs w:val="31"/>
        </w:rPr>
        <w:t>人</w:t>
      </w:r>
      <w:r>
        <w:rPr>
          <w:rFonts w:hint="eastAsia" w:eastAsia="方正仿宋_GBK" w:cs="Times New Roman"/>
          <w:sz w:val="31"/>
          <w:szCs w:val="31"/>
          <w:lang w:eastAsia="zh-CN"/>
        </w:rPr>
        <w:t>，</w:t>
      </w:r>
      <w:r>
        <w:rPr>
          <w:rFonts w:hint="eastAsia" w:eastAsia="方正仿宋_GBK" w:cs="Times New Roman"/>
          <w:sz w:val="31"/>
          <w:szCs w:val="31"/>
          <w:lang w:val="en-US" w:eastAsia="zh-CN"/>
        </w:rPr>
        <w:t>减少3人，变动原因为2个工作人员调出，1个工作人员退休所致；离休人员0人</w:t>
      </w:r>
      <w:r>
        <w:rPr>
          <w:rFonts w:hint="eastAsia" w:ascii="Times New Roman" w:hAnsi="Times New Roman" w:eastAsia="方正仿宋_GBK" w:cs="Times New Roman"/>
          <w:sz w:val="31"/>
          <w:szCs w:val="31"/>
          <w:lang w:eastAsia="zh-CN"/>
        </w:rPr>
        <w:t>，</w:t>
      </w:r>
      <w:r>
        <w:rPr>
          <w:rFonts w:hint="eastAsia" w:ascii="Times New Roman" w:hAnsi="Times New Roman" w:eastAsia="方正仿宋_GBK" w:cs="Times New Roman"/>
          <w:sz w:val="31"/>
          <w:szCs w:val="31"/>
          <w:lang w:val="en-US" w:eastAsia="zh-CN"/>
        </w:rPr>
        <w:t>较上年无变化；</w:t>
      </w:r>
      <w:r>
        <w:rPr>
          <w:rFonts w:hint="eastAsia" w:ascii="Times New Roman" w:hAnsi="Times New Roman" w:eastAsia="方正仿宋_GBK" w:cs="Times New Roman"/>
          <w:sz w:val="31"/>
          <w:szCs w:val="31"/>
        </w:rPr>
        <w:t>退休</w:t>
      </w:r>
      <w:r>
        <w:rPr>
          <w:rFonts w:hint="eastAsia" w:eastAsia="方正仿宋_GBK" w:cs="Times New Roman"/>
          <w:sz w:val="31"/>
          <w:szCs w:val="31"/>
          <w:lang w:val="en-US" w:eastAsia="zh-CN"/>
        </w:rPr>
        <w:t>人员3</w:t>
      </w:r>
      <w:r>
        <w:rPr>
          <w:rFonts w:hint="eastAsia" w:ascii="Times New Roman" w:hAnsi="Times New Roman" w:eastAsia="方正仿宋_GBK" w:cs="Times New Roman"/>
          <w:sz w:val="31"/>
          <w:szCs w:val="31"/>
        </w:rPr>
        <w:t>人</w:t>
      </w:r>
      <w:r>
        <w:rPr>
          <w:rFonts w:hint="eastAsia" w:ascii="Times New Roman" w:hAnsi="Times New Roman" w:eastAsia="方正仿宋_GBK" w:cs="Times New Roman"/>
          <w:sz w:val="31"/>
          <w:szCs w:val="31"/>
          <w:lang w:eastAsia="zh-CN"/>
        </w:rPr>
        <w:t>、</w:t>
      </w:r>
      <w:r>
        <w:rPr>
          <w:rFonts w:hint="eastAsia" w:ascii="Times New Roman" w:hAnsi="Times New Roman" w:eastAsia="方正仿宋_GBK" w:cs="Times New Roman"/>
          <w:sz w:val="31"/>
          <w:szCs w:val="31"/>
          <w:lang w:val="en-US" w:eastAsia="zh-CN"/>
        </w:rPr>
        <w:t>增加1人</w:t>
      </w:r>
      <w:r>
        <w:rPr>
          <w:rFonts w:hint="eastAsia" w:ascii="Times New Roman" w:hAnsi="Times New Roman" w:eastAsia="方正仿宋_GBK" w:cs="Times New Roman"/>
          <w:sz w:val="31"/>
          <w:szCs w:val="31"/>
        </w:rPr>
        <w:t>。</w:t>
      </w:r>
    </w:p>
    <w:p>
      <w:pPr>
        <w:ind w:firstLine="620" w:firstLineChars="200"/>
        <w:rPr>
          <w:rFonts w:hint="default" w:ascii="Times New Roman" w:hAnsi="Times New Roman" w:eastAsia="方正仿宋_GBK" w:cs="Times New Roman"/>
          <w:sz w:val="31"/>
          <w:szCs w:val="31"/>
        </w:rPr>
      </w:pPr>
      <w:r>
        <w:rPr>
          <w:rFonts w:hint="default" w:ascii="Times New Roman" w:hAnsi="Times New Roman" w:eastAsia="方正仿宋_GBK" w:cs="Times New Roman"/>
          <w:sz w:val="31"/>
          <w:szCs w:val="31"/>
        </w:rPr>
        <w:t>新疆巴州库尔勒市群众工作服务中心无下属单位</w:t>
      </w:r>
      <w:r>
        <w:rPr>
          <w:rFonts w:hint="eastAsia" w:ascii="Times New Roman" w:hAnsi="Times New Roman" w:eastAsia="方正仿宋_GBK" w:cs="Times New Roman"/>
          <w:sz w:val="31"/>
          <w:szCs w:val="31"/>
          <w:lang w:eastAsia="zh-CN"/>
        </w:rPr>
        <w:t>，</w:t>
      </w:r>
      <w:r>
        <w:rPr>
          <w:rFonts w:hint="eastAsia" w:ascii="Times New Roman" w:hAnsi="Times New Roman" w:eastAsia="方正仿宋_GBK" w:cs="Times New Roman"/>
          <w:sz w:val="31"/>
          <w:szCs w:val="31"/>
        </w:rPr>
        <w:t>下设</w:t>
      </w:r>
      <w:r>
        <w:rPr>
          <w:rFonts w:hint="eastAsia" w:ascii="Times New Roman" w:hAnsi="Times New Roman" w:eastAsia="方正仿宋_GBK" w:cs="Times New Roman"/>
          <w:sz w:val="31"/>
          <w:szCs w:val="31"/>
          <w:lang w:val="en-US" w:eastAsia="zh-CN"/>
        </w:rPr>
        <w:t>6</w:t>
      </w:r>
      <w:r>
        <w:rPr>
          <w:rFonts w:hint="eastAsia" w:ascii="Times New Roman" w:hAnsi="Times New Roman" w:eastAsia="方正仿宋_GBK" w:cs="Times New Roman"/>
          <w:sz w:val="31"/>
          <w:szCs w:val="31"/>
        </w:rPr>
        <w:t>个处室，分别是：</w:t>
      </w:r>
      <w:r>
        <w:rPr>
          <w:rFonts w:hint="default" w:ascii="Times New Roman" w:hAnsi="Times New Roman" w:eastAsia="方正仿宋_GBK" w:cs="Times New Roman"/>
          <w:sz w:val="31"/>
          <w:szCs w:val="31"/>
        </w:rPr>
        <w:t>综合办公室、组织工作室、社会工作室、民生工作室、宣传工作室、流动人口管理室。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7559"/>
      <w:bookmarkStart w:id="7" w:name="_Toc3092"/>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z w:val="32"/>
          <w:szCs w:val="32"/>
          <w:highlight w:val="none"/>
          <w:lang w:val="en-US" w:eastAsia="zh-CN"/>
        </w:rPr>
        <w:t>805.16</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其中：本年收入合计805.16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总计805.16</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其中：本年支出合计805.16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结余分配0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13.97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1.71</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：主要源于人员变动因素，相应的工资福利，社保医保，住房公积金以及基于人头数分配的办公经费等减少所致。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10" w:name="_Toc6311"/>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val="en-US" w:eastAsia="zh-CN"/>
        </w:rPr>
        <w:t>805.16</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en-US" w:eastAsia="zh-CN"/>
        </w:rPr>
        <w:t>805.16</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hint="eastAsia" w:ascii="仿宋_GB2312" w:eastAsia="仿宋_GB2312"/>
          <w:b/>
          <w:bCs/>
          <w:sz w:val="32"/>
          <w:szCs w:val="32"/>
          <w:highlight w:val="none"/>
          <w:lang w:val="en-US" w:eastAsia="zh-CN"/>
        </w:rPr>
        <w:t>805.16</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其中：基本支出</w:t>
      </w:r>
      <w:r>
        <w:rPr>
          <w:rFonts w:hint="eastAsia" w:ascii="仿宋_GB2312" w:eastAsia="仿宋_GB2312"/>
          <w:sz w:val="32"/>
          <w:szCs w:val="32"/>
          <w:highlight w:val="none"/>
          <w:lang w:val="en-US" w:eastAsia="zh-CN"/>
        </w:rPr>
        <w:t>804.69</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99.94</w:t>
      </w:r>
      <w:r>
        <w:rPr>
          <w:rFonts w:hint="eastAsia" w:ascii="仿宋_GB2312" w:eastAsia="仿宋_GB2312"/>
          <w:sz w:val="32"/>
          <w:szCs w:val="32"/>
          <w:highlight w:val="none"/>
        </w:rPr>
        <w:t>%；项目支出</w:t>
      </w:r>
      <w:r>
        <w:rPr>
          <w:rFonts w:hint="eastAsia" w:ascii="仿宋_GB2312" w:eastAsia="仿宋_GB2312"/>
          <w:sz w:val="32"/>
          <w:szCs w:val="32"/>
          <w:highlight w:val="none"/>
          <w:lang w:val="en-US" w:eastAsia="zh-CN"/>
        </w:rPr>
        <w:t>0.47</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0.06</w:t>
      </w:r>
      <w:r>
        <w:rPr>
          <w:rFonts w:hint="eastAsia" w:ascii="仿宋_GB2312" w:eastAsia="仿宋_GB2312"/>
          <w:sz w:val="32"/>
          <w:szCs w:val="32"/>
          <w:highlight w:val="none"/>
        </w:rPr>
        <w:t>%；上缴上级支出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%；对附属单位补助支出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总计805.16</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本年财政拨款收入805.16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总计805.16</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本年财政拨款支出805.16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13.97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1.71</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：主要源于人员变动因素，相应的工资福利，社保医保，住房公积金以及基于人头数分配的办公经费等减少所致。</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939.38</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805.16</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-14.29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主要源于人员变动因素，相应的工资福利，社保医保，住房公积金以及基于人头数分配的办公经费等减少所致。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8905"/>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hint="eastAsia" w:ascii="仿宋_GB2312" w:eastAsia="仿宋_GB2312"/>
          <w:b/>
          <w:bCs/>
          <w:spacing w:val="0"/>
          <w:sz w:val="32"/>
          <w:szCs w:val="32"/>
          <w:highlight w:val="none"/>
          <w:lang w:val="en-US" w:eastAsia="zh-CN"/>
        </w:rPr>
        <w:t>805.16</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en-US" w:eastAsia="zh-CN"/>
        </w:rPr>
        <w:t>100</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减少</w:t>
      </w:r>
      <w:r>
        <w:rPr>
          <w:rFonts w:hint="eastAsia" w:ascii="仿宋_GB2312" w:eastAsia="仿宋_GB2312"/>
          <w:spacing w:val="0"/>
          <w:sz w:val="32"/>
          <w:szCs w:val="32"/>
          <w:highlight w:val="none"/>
          <w:lang w:val="en-US" w:eastAsia="zh-CN"/>
        </w:rPr>
        <w:t>13.97</w:t>
      </w:r>
      <w:r>
        <w:rPr>
          <w:rFonts w:hint="eastAsia" w:ascii="仿宋_GB2312" w:eastAsia="仿宋_GB2312"/>
          <w:spacing w:val="0"/>
          <w:sz w:val="32"/>
          <w:szCs w:val="32"/>
          <w:highlight w:val="none"/>
        </w:rPr>
        <w:t>万元，</w:t>
      </w:r>
      <w:r>
        <w:rPr>
          <w:rFonts w:hint="eastAsia" w:ascii="仿宋_GB2312" w:eastAsia="仿宋_GB2312"/>
          <w:spacing w:val="0"/>
          <w:sz w:val="32"/>
          <w:szCs w:val="32"/>
          <w:highlight w:val="none"/>
          <w:lang w:eastAsia="zh-CN"/>
        </w:rPr>
        <w:t>下降</w:t>
      </w:r>
      <w:r>
        <w:rPr>
          <w:rFonts w:hint="eastAsia" w:ascii="仿宋_GB2312" w:eastAsia="仿宋_GB2312"/>
          <w:spacing w:val="0"/>
          <w:sz w:val="32"/>
          <w:szCs w:val="32"/>
          <w:highlight w:val="none"/>
          <w:lang w:val="en-US" w:eastAsia="zh-CN"/>
        </w:rPr>
        <w:t>1.71</w:t>
      </w:r>
      <w:r>
        <w:rPr>
          <w:rFonts w:hint="eastAsia" w:ascii="仿宋_GB2312" w:eastAsia="仿宋_GB2312"/>
          <w:spacing w:val="0"/>
          <w:sz w:val="32"/>
          <w:szCs w:val="32"/>
          <w:highlight w:val="none"/>
        </w:rPr>
        <w:t>%</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sz w:val="32"/>
          <w:szCs w:val="32"/>
          <w:highlight w:val="none"/>
        </w:rPr>
        <w:t>主要源于人员变动因素，相应的工资福利，社保医保，住房公积金以及基于人头数分配的办公经费等减少所致。</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939.38</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805.16</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-14.29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主要源于人员变动因素，相应的工资福利，社保医保，住房公积金以及基于人头数分配的办公经费等减少所致。。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1.一般公共服务</w:t>
      </w:r>
      <w:r>
        <w:rPr>
          <w:rFonts w:hint="eastAsia" w:ascii="仿宋_GB2312" w:hAnsi="仿宋_GB2312" w:eastAsia="仿宋_GB2312" w:cs="仿宋_GB2312"/>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lang w:val="en-US" w:eastAsia="zh-CN"/>
        </w:rPr>
        <w:t>594.32</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lang w:val="en-US" w:eastAsia="zh-CN"/>
        </w:rPr>
        <w:t>73.81</w:t>
      </w:r>
      <w:r>
        <w:rPr>
          <w:rFonts w:hint="eastAsia" w:ascii="仿宋_GB2312" w:hAnsi="仿宋_GB2312" w:eastAsia="仿宋_GB2312" w:cs="仿宋_GB2312"/>
          <w:kern w:val="0"/>
          <w:sz w:val="32"/>
          <w:szCs w:val="32"/>
          <w:highlight w:val="none"/>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lang w:val="zh-CN" w:eastAsia="zh-CN" w:bidi="ar-SA"/>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教育</w:t>
      </w:r>
      <w:r>
        <w:rPr>
          <w:rFonts w:hint="default" w:ascii="Times New Roman" w:hAnsi="Times New Roman" w:eastAsia="方正仿宋_GBK" w:cs="Times New Roman"/>
          <w:color w:val="auto"/>
          <w:spacing w:val="0"/>
          <w:kern w:val="2"/>
          <w:sz w:val="32"/>
          <w:szCs w:val="32"/>
          <w:lang w:val="zh-CN" w:eastAsia="zh-CN" w:bidi="ar-SA"/>
        </w:rPr>
        <w:t>支出（类）</w:t>
      </w:r>
      <w:r>
        <w:rPr>
          <w:rFonts w:hint="eastAsia" w:eastAsia="方正仿宋_GBK" w:cs="Times New Roman"/>
          <w:color w:val="auto"/>
          <w:spacing w:val="0"/>
          <w:kern w:val="2"/>
          <w:sz w:val="32"/>
          <w:szCs w:val="32"/>
          <w:lang w:val="en-US" w:eastAsia="zh-CN" w:bidi="ar-SA"/>
        </w:rPr>
        <w:t>1.09</w:t>
      </w:r>
      <w:r>
        <w:rPr>
          <w:rFonts w:hint="default" w:ascii="Times New Roman" w:hAnsi="Times New Roman" w:eastAsia="方正仿宋_GBK" w:cs="Times New Roman"/>
          <w:color w:val="auto"/>
          <w:spacing w:val="0"/>
          <w:kern w:val="2"/>
          <w:sz w:val="32"/>
          <w:szCs w:val="32"/>
          <w:lang w:val="zh-CN" w:eastAsia="zh-CN" w:bidi="ar-SA"/>
        </w:rPr>
        <w:t>万元，占</w:t>
      </w:r>
      <w:r>
        <w:rPr>
          <w:rFonts w:hint="eastAsia" w:eastAsia="方正仿宋_GBK" w:cs="Times New Roman"/>
          <w:color w:val="auto"/>
          <w:spacing w:val="0"/>
          <w:kern w:val="2"/>
          <w:sz w:val="32"/>
          <w:szCs w:val="32"/>
          <w:lang w:val="en-US" w:eastAsia="zh-CN" w:bidi="ar-SA"/>
        </w:rPr>
        <w:t>0.14</w:t>
      </w:r>
      <w:r>
        <w:rPr>
          <w:rFonts w:hint="default" w:ascii="Times New Roman" w:hAnsi="Times New Roman" w:eastAsia="方正仿宋_GBK"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Times New Roman" w:hAnsi="Times New Roman" w:eastAsia="方正仿宋_GBK" w:cs="Times New Roman"/>
          <w:color w:val="auto"/>
          <w:spacing w:val="0"/>
          <w:kern w:val="2"/>
          <w:sz w:val="32"/>
          <w:szCs w:val="32"/>
          <w:lang w:val="zh-CN" w:eastAsia="zh-CN" w:bidi="ar-SA"/>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w:t>
      </w:r>
      <w:r>
        <w:rPr>
          <w:rFonts w:hint="default" w:ascii="Times New Roman" w:hAnsi="Times New Roman" w:eastAsia="方正仿宋_GBK" w:cs="Times New Roman"/>
          <w:color w:val="auto"/>
          <w:spacing w:val="0"/>
          <w:kern w:val="2"/>
          <w:sz w:val="32"/>
          <w:szCs w:val="32"/>
          <w:lang w:val="zh-CN" w:eastAsia="zh-CN" w:bidi="ar-SA"/>
        </w:rPr>
        <w:t>社会保障和就业支出（类）</w:t>
      </w:r>
      <w:r>
        <w:rPr>
          <w:rFonts w:hint="eastAsia" w:eastAsia="方正仿宋_GBK" w:cs="Times New Roman"/>
          <w:color w:val="auto"/>
          <w:spacing w:val="0"/>
          <w:kern w:val="2"/>
          <w:sz w:val="32"/>
          <w:szCs w:val="32"/>
          <w:lang w:val="en-US" w:eastAsia="zh-CN" w:bidi="ar-SA"/>
        </w:rPr>
        <w:t>105.31</w:t>
      </w:r>
      <w:r>
        <w:rPr>
          <w:rFonts w:hint="default" w:ascii="Times New Roman" w:hAnsi="Times New Roman" w:eastAsia="方正仿宋_GBK" w:cs="Times New Roman"/>
          <w:color w:val="auto"/>
          <w:spacing w:val="0"/>
          <w:kern w:val="2"/>
          <w:sz w:val="32"/>
          <w:szCs w:val="32"/>
          <w:lang w:val="zh-CN" w:eastAsia="zh-CN" w:bidi="ar-SA"/>
        </w:rPr>
        <w:t>万元，占</w:t>
      </w:r>
      <w:r>
        <w:rPr>
          <w:rFonts w:hint="eastAsia" w:eastAsia="方正仿宋_GBK" w:cs="Times New Roman"/>
          <w:color w:val="auto"/>
          <w:spacing w:val="0"/>
          <w:kern w:val="2"/>
          <w:sz w:val="32"/>
          <w:szCs w:val="32"/>
          <w:lang w:val="en-US" w:eastAsia="zh-CN" w:bidi="ar-SA"/>
        </w:rPr>
        <w:t>13.08</w:t>
      </w:r>
      <w:r>
        <w:rPr>
          <w:rFonts w:hint="default" w:ascii="Times New Roman" w:hAnsi="Times New Roman" w:eastAsia="方正仿宋_GBK"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lang w:val="zh-CN" w:eastAsia="zh-CN" w:bidi="ar-SA"/>
        </w:rPr>
      </w:pPr>
      <w:r>
        <w:rPr>
          <w:rFonts w:hint="eastAsia" w:eastAsia="方正仿宋_GBK" w:cs="Times New Roman"/>
          <w:color w:val="auto"/>
          <w:spacing w:val="0"/>
          <w:kern w:val="2"/>
          <w:sz w:val="32"/>
          <w:szCs w:val="32"/>
          <w:lang w:val="en-US" w:eastAsia="zh-CN" w:bidi="ar-SA"/>
        </w:rPr>
        <w:t>4</w:t>
      </w:r>
      <w:r>
        <w:rPr>
          <w:rFonts w:hint="default" w:ascii="Times New Roman" w:hAnsi="Times New Roman" w:eastAsia="方正仿宋_GBK" w:cs="Times New Roman"/>
          <w:color w:val="auto"/>
          <w:spacing w:val="0"/>
          <w:kern w:val="2"/>
          <w:sz w:val="32"/>
          <w:szCs w:val="32"/>
          <w:lang w:val="zh-CN" w:eastAsia="zh-CN" w:bidi="ar-SA"/>
        </w:rPr>
        <w:t>.卫生健康支出（类）</w:t>
      </w:r>
      <w:r>
        <w:rPr>
          <w:rFonts w:hint="eastAsia" w:eastAsia="方正仿宋_GBK" w:cs="Times New Roman"/>
          <w:color w:val="auto"/>
          <w:spacing w:val="0"/>
          <w:kern w:val="2"/>
          <w:sz w:val="32"/>
          <w:szCs w:val="32"/>
          <w:lang w:val="en-US" w:eastAsia="zh-CN" w:bidi="ar-SA"/>
        </w:rPr>
        <w:t>38.75</w:t>
      </w:r>
      <w:r>
        <w:rPr>
          <w:rFonts w:hint="default" w:ascii="Times New Roman" w:hAnsi="Times New Roman" w:eastAsia="方正仿宋_GBK" w:cs="Times New Roman"/>
          <w:color w:val="auto"/>
          <w:spacing w:val="0"/>
          <w:kern w:val="2"/>
          <w:sz w:val="32"/>
          <w:szCs w:val="32"/>
          <w:lang w:val="zh-CN" w:eastAsia="zh-CN" w:bidi="ar-SA"/>
        </w:rPr>
        <w:t>万元，占</w:t>
      </w:r>
      <w:r>
        <w:rPr>
          <w:rFonts w:hint="eastAsia" w:ascii="Times New Roman" w:hAnsi="Times New Roman" w:eastAsia="方正仿宋_GBK" w:cs="Times New Roman"/>
          <w:color w:val="auto"/>
          <w:spacing w:val="0"/>
          <w:kern w:val="2"/>
          <w:sz w:val="32"/>
          <w:szCs w:val="32"/>
          <w:lang w:val="zh-CN" w:eastAsia="zh-CN" w:bidi="ar-SA"/>
        </w:rPr>
        <w:t>4.</w:t>
      </w:r>
      <w:r>
        <w:rPr>
          <w:rFonts w:hint="eastAsia" w:eastAsia="方正仿宋_GBK" w:cs="Times New Roman"/>
          <w:color w:val="auto"/>
          <w:spacing w:val="0"/>
          <w:kern w:val="2"/>
          <w:sz w:val="32"/>
          <w:szCs w:val="32"/>
          <w:lang w:val="en-US" w:eastAsia="zh-CN" w:bidi="ar-SA"/>
        </w:rPr>
        <w:t>81</w:t>
      </w:r>
      <w:r>
        <w:rPr>
          <w:rFonts w:hint="default" w:ascii="Times New Roman" w:hAnsi="Times New Roman" w:eastAsia="方正仿宋_GBK"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ascii="仿宋_GB2312" w:eastAsia="仿宋_GB2312"/>
          <w:kern w:val="2"/>
          <w:sz w:val="32"/>
          <w:szCs w:val="32"/>
          <w:lang w:val="zh-CN"/>
        </w:rPr>
      </w:pPr>
      <w:r>
        <w:rPr>
          <w:rFonts w:hint="eastAsia" w:ascii="仿宋_GB2312" w:hAnsi="仿宋_GB2312" w:eastAsia="仿宋_GB2312" w:cs="仿宋_GB2312"/>
          <w:kern w:val="0"/>
          <w:sz w:val="32"/>
          <w:szCs w:val="32"/>
          <w:highlight w:val="none"/>
          <w:lang w:val="en-US" w:eastAsia="zh-CN"/>
        </w:rPr>
        <w:t>5</w:t>
      </w:r>
      <w:r>
        <w:rPr>
          <w:rFonts w:hint="default" w:ascii="仿宋_GB2312" w:hAnsi="仿宋_GB2312" w:eastAsia="仿宋_GB2312" w:cs="仿宋_GB2312"/>
          <w:kern w:val="0"/>
          <w:sz w:val="32"/>
          <w:szCs w:val="32"/>
          <w:highlight w:val="none"/>
          <w:lang w:val="zh-CN" w:eastAsia="zh-CN"/>
        </w:rPr>
        <w:t>.</w:t>
      </w:r>
      <w:r>
        <w:rPr>
          <w:rFonts w:hint="default" w:ascii="Times New Roman" w:hAnsi="Times New Roman" w:eastAsia="方正仿宋_GBK" w:cs="Times New Roman"/>
          <w:color w:val="auto"/>
          <w:spacing w:val="0"/>
          <w:kern w:val="2"/>
          <w:sz w:val="32"/>
          <w:szCs w:val="32"/>
          <w:lang w:val="zh-CN" w:eastAsia="zh-CN" w:bidi="ar-SA"/>
        </w:rPr>
        <w:t>住房保障支出（类）</w:t>
      </w:r>
      <w:r>
        <w:rPr>
          <w:rFonts w:hint="eastAsia" w:eastAsia="方正仿宋_GBK" w:cs="Times New Roman"/>
          <w:color w:val="auto"/>
          <w:spacing w:val="0"/>
          <w:kern w:val="2"/>
          <w:sz w:val="32"/>
          <w:szCs w:val="32"/>
          <w:lang w:val="en-US" w:eastAsia="zh-CN" w:bidi="ar-SA"/>
        </w:rPr>
        <w:t>65.69</w:t>
      </w:r>
      <w:r>
        <w:rPr>
          <w:rFonts w:hint="default" w:ascii="Times New Roman" w:hAnsi="Times New Roman" w:eastAsia="方正仿宋_GBK" w:cs="Times New Roman"/>
          <w:color w:val="auto"/>
          <w:spacing w:val="0"/>
          <w:kern w:val="2"/>
          <w:sz w:val="32"/>
          <w:szCs w:val="32"/>
          <w:lang w:val="zh-CN" w:eastAsia="zh-CN" w:bidi="ar-SA"/>
        </w:rPr>
        <w:t>万元，占</w:t>
      </w:r>
      <w:r>
        <w:rPr>
          <w:rFonts w:hint="eastAsia" w:eastAsia="方正仿宋_GBK" w:cs="Times New Roman"/>
          <w:color w:val="auto"/>
          <w:spacing w:val="0"/>
          <w:kern w:val="2"/>
          <w:sz w:val="32"/>
          <w:szCs w:val="32"/>
          <w:lang w:val="en-US" w:eastAsia="zh-CN" w:bidi="ar-SA"/>
        </w:rPr>
        <w:t>8.16</w:t>
      </w:r>
      <w:r>
        <w:rPr>
          <w:rFonts w:hint="default" w:ascii="Times New Roman" w:hAnsi="Times New Roman" w:eastAsia="方正仿宋_GBK" w:cs="Times New Roman"/>
          <w:color w:val="auto"/>
          <w:spacing w:val="0"/>
          <w:kern w:val="2"/>
          <w:sz w:val="32"/>
          <w:szCs w:val="32"/>
          <w:lang w:val="zh-CN" w:eastAsia="zh-CN" w:bidi="ar-SA"/>
        </w:rPr>
        <w:t>%</w:t>
      </w:r>
      <w:r>
        <w:rPr>
          <w:rFonts w:hint="eastAsia" w:ascii="Times New Roman" w:hAnsi="Times New Roman" w:eastAsia="方正仿宋_GBK" w:cs="Times New Roman"/>
          <w:color w:val="auto"/>
          <w:spacing w:val="0"/>
          <w:kern w:val="2"/>
          <w:sz w:val="32"/>
          <w:szCs w:val="32"/>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10037"/>
      <w:r>
        <w:rPr>
          <w:rFonts w:hint="eastAsia" w:ascii="黑体" w:hAnsi="黑体" w:eastAsia="黑体"/>
          <w:sz w:val="32"/>
          <w:szCs w:val="32"/>
          <w:highlight w:val="none"/>
          <w:lang w:eastAsia="zh-CN"/>
        </w:rPr>
        <w:t>（三）一般公共预算财政拨款支出决算具体情况</w:t>
      </w:r>
      <w:bookmarkEnd w:id="20"/>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宋体" w:hAnsi="宋体" w:eastAsia="宋体" w:cs="宋体"/>
          <w:b/>
          <w:kern w:val="0"/>
          <w:sz w:val="32"/>
          <w:szCs w:val="32"/>
          <w:highlight w:val="none"/>
        </w:rPr>
        <w:t>＊</w:t>
      </w:r>
      <w:r>
        <w:rPr>
          <w:rFonts w:hint="eastAsia" w:ascii="仿宋_GB2312" w:eastAsia="仿宋_GB2312"/>
          <w:b/>
          <w:bCs/>
          <w:sz w:val="32"/>
          <w:szCs w:val="32"/>
          <w:highlight w:val="none"/>
          <w:lang w:eastAsia="zh-CN"/>
        </w:rPr>
        <w:t>按</w:t>
      </w:r>
      <w:r>
        <w:rPr>
          <w:rFonts w:hint="eastAsia" w:ascii="仿宋_GB2312" w:hAnsi="仿宋_GB2312" w:eastAsia="仿宋_GB2312" w:cs="仿宋_GB2312"/>
          <w:b/>
          <w:kern w:val="0"/>
          <w:sz w:val="32"/>
          <w:szCs w:val="32"/>
          <w:highlight w:val="none"/>
          <w:lang w:val="en-US" w:eastAsia="zh-CN"/>
        </w:rPr>
        <w:t>决算</w:t>
      </w:r>
      <w:r>
        <w:rPr>
          <w:rFonts w:hint="eastAsia" w:ascii="仿宋_GB2312" w:hAnsi="仿宋_GB2312" w:eastAsia="仿宋_GB2312" w:cs="仿宋_GB2312"/>
          <w:b/>
          <w:kern w:val="0"/>
          <w:sz w:val="32"/>
          <w:szCs w:val="32"/>
          <w:highlight w:val="none"/>
        </w:rPr>
        <w:t>公开</w:t>
      </w:r>
      <w:r>
        <w:rPr>
          <w:rFonts w:hint="eastAsia" w:ascii="仿宋_GB2312" w:eastAsia="仿宋_GB2312"/>
          <w:b/>
          <w:bCs/>
          <w:sz w:val="32"/>
          <w:szCs w:val="32"/>
          <w:highlight w:val="none"/>
          <w:lang w:eastAsia="zh-CN"/>
        </w:rPr>
        <w:t>表五《</w:t>
      </w:r>
      <w:r>
        <w:rPr>
          <w:rFonts w:hint="eastAsia" w:ascii="仿宋_GB2312" w:eastAsia="仿宋_GB2312"/>
          <w:b/>
          <w:bCs/>
          <w:sz w:val="32"/>
          <w:szCs w:val="32"/>
          <w:highlight w:val="none"/>
        </w:rPr>
        <w:t>一般公共预算财政拨款支出决算表</w:t>
      </w:r>
      <w:r>
        <w:rPr>
          <w:rFonts w:hint="eastAsia" w:ascii="仿宋_GB2312" w:eastAsia="仿宋_GB2312"/>
          <w:b/>
          <w:bCs/>
          <w:sz w:val="32"/>
          <w:szCs w:val="32"/>
          <w:highlight w:val="none"/>
          <w:lang w:eastAsia="zh-CN"/>
        </w:rPr>
        <w:t>》中支出功能分类科目项级科目逐项列示。针对上年安排、今年未安排的“一般公共预算拨款”功能分类项级科目也需逐项说明。</w:t>
      </w:r>
      <w:r>
        <w:rPr>
          <w:rFonts w:hint="eastAsia" w:ascii="仿宋_GB2312" w:hAnsi="仿宋_GB2312" w:eastAsia="仿宋_GB2312" w:cs="仿宋_GB2312"/>
          <w:b/>
          <w:bCs/>
          <w:kern w:val="0"/>
          <w:sz w:val="32"/>
          <w:szCs w:val="32"/>
          <w:highlight w:val="none"/>
        </w:rPr>
        <w:t>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一般公共服务支出（类）</w:t>
      </w:r>
      <w:r>
        <w:rPr>
          <w:rFonts w:hint="default" w:ascii="仿宋_GB2312" w:hAnsi="仿宋_GB2312" w:eastAsia="仿宋_GB2312" w:cs="仿宋_GB2312"/>
          <w:kern w:val="0"/>
          <w:sz w:val="32"/>
          <w:szCs w:val="32"/>
          <w:highlight w:val="none"/>
          <w:lang w:val="en-US" w:eastAsia="zh-CN"/>
        </w:rPr>
        <w:t>党委办公厅（室）及相关机构事务（款）事业运行（项）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593.86</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128.95</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17.84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工资、社保缴费基数调整，经费相应增加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一般公共服务支出（类）</w:t>
      </w:r>
      <w:r>
        <w:rPr>
          <w:rFonts w:hint="default" w:ascii="Times New Roman" w:hAnsi="Times New Roman" w:eastAsia="方正仿宋_GBK" w:cs="Times New Roman"/>
          <w:color w:val="auto"/>
          <w:kern w:val="2"/>
          <w:sz w:val="32"/>
          <w:szCs w:val="32"/>
          <w:highlight w:val="none"/>
          <w:lang w:val="en-US" w:eastAsia="zh-CN" w:bidi="ar-SA"/>
        </w:rPr>
        <w:t>党委办公厅（室）及相关机构事务（款）其他党委办公厅（室）及相关机构事务支出（项）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0.47</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0.47</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Times New Roman" w:hAnsi="Times New Roman" w:eastAsia="方正仿宋_GBK" w:cs="Times New Roman"/>
          <w:color w:val="auto"/>
          <w:kern w:val="2"/>
          <w:sz w:val="32"/>
          <w:szCs w:val="32"/>
          <w:highlight w:val="none"/>
          <w:lang w:val="en-US" w:eastAsia="zh-CN" w:bidi="ar-SA"/>
        </w:rPr>
        <w:t>本年</w:t>
      </w:r>
      <w:r>
        <w:rPr>
          <w:rFonts w:hint="eastAsia" w:eastAsia="方正仿宋_GBK" w:cs="Times New Roman"/>
          <w:color w:val="auto"/>
          <w:kern w:val="2"/>
          <w:sz w:val="32"/>
          <w:szCs w:val="32"/>
          <w:highlight w:val="none"/>
          <w:lang w:val="en-US" w:eastAsia="zh-CN" w:bidi="ar-SA"/>
        </w:rPr>
        <w:t>增加</w:t>
      </w:r>
      <w:r>
        <w:rPr>
          <w:rFonts w:hint="eastAsia" w:ascii="Times New Roman" w:hAnsi="Times New Roman" w:eastAsia="方正仿宋_GBK" w:cs="Times New Roman"/>
          <w:color w:val="auto"/>
          <w:kern w:val="2"/>
          <w:sz w:val="32"/>
          <w:szCs w:val="32"/>
          <w:highlight w:val="none"/>
          <w:lang w:val="en-US" w:eastAsia="zh-CN" w:bidi="ar-SA"/>
        </w:rPr>
        <w:t>该功能科目支出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0"/>
          <w:sz w:val="32"/>
          <w:szCs w:val="32"/>
          <w:highlight w:val="none"/>
          <w:lang w:val="zh-CN" w:eastAsia="zh-CN"/>
        </w:rPr>
      </w:pPr>
      <w:r>
        <w:rPr>
          <w:rFonts w:hint="eastAsia" w:ascii="仿宋_GB2312" w:hAnsi="仿宋_GB2312" w:eastAsia="仿宋_GB2312" w:cs="仿宋_GB2312"/>
          <w:kern w:val="0"/>
          <w:sz w:val="32"/>
          <w:szCs w:val="32"/>
          <w:highlight w:val="none"/>
          <w:lang w:val="en-US" w:eastAsia="zh-CN"/>
        </w:rPr>
        <w:t>3.培训支出（类）进修及培训（款）培训支出（项）:支出决算数为1.08万元，比上年决算增加1.08万元，增长100%，主要原因是：本年增加该功能科目支出</w:t>
      </w:r>
      <w:r>
        <w:rPr>
          <w:rFonts w:hint="eastAsia" w:ascii="仿宋_GB2312" w:hAnsi="仿宋_GB2312" w:eastAsia="仿宋_GB2312" w:cs="仿宋_GB2312"/>
          <w:kern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color w:val="auto"/>
          <w:kern w:val="2"/>
          <w:sz w:val="32"/>
          <w:szCs w:val="32"/>
          <w:highlight w:val="none"/>
          <w:lang w:val="zh-CN" w:eastAsia="zh-CN" w:bidi="ar-SA"/>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Times New Roman" w:hAnsi="Times New Roman" w:eastAsia="方正仿宋_GBK" w:cs="Times New Roman"/>
          <w:color w:val="auto"/>
          <w:kern w:val="2"/>
          <w:sz w:val="32"/>
          <w:szCs w:val="32"/>
          <w:highlight w:val="none"/>
          <w:lang w:val="en-US" w:eastAsia="zh-CN" w:bidi="ar-SA"/>
        </w:rPr>
        <w:t>住房保障支出（类）住房改革支出（款）住房公积金（项）:支出决算数为</w:t>
      </w:r>
      <w:r>
        <w:rPr>
          <w:rFonts w:hint="eastAsia" w:eastAsia="方正仿宋_GBK" w:cs="Times New Roman"/>
          <w:color w:val="auto"/>
          <w:kern w:val="2"/>
          <w:sz w:val="32"/>
          <w:szCs w:val="32"/>
          <w:highlight w:val="none"/>
          <w:lang w:val="en-US" w:eastAsia="zh-CN" w:bidi="ar-SA"/>
        </w:rPr>
        <w:t>65.69</w:t>
      </w:r>
      <w:r>
        <w:rPr>
          <w:rFonts w:hint="eastAsia" w:ascii="Times New Roman" w:hAnsi="Times New Roman" w:eastAsia="方正仿宋_GBK" w:cs="Times New Roman"/>
          <w:color w:val="auto"/>
          <w:kern w:val="2"/>
          <w:sz w:val="32"/>
          <w:szCs w:val="32"/>
          <w:highlight w:val="none"/>
          <w:lang w:val="en-US" w:eastAsia="zh-CN" w:bidi="ar-SA"/>
        </w:rPr>
        <w:t>万元，比上年决算增加</w:t>
      </w:r>
      <w:r>
        <w:rPr>
          <w:rFonts w:hint="eastAsia" w:eastAsia="方正仿宋_GBK" w:cs="Times New Roman"/>
          <w:color w:val="auto"/>
          <w:kern w:val="2"/>
          <w:sz w:val="32"/>
          <w:szCs w:val="32"/>
          <w:highlight w:val="none"/>
          <w:lang w:val="en-US" w:eastAsia="zh-CN" w:bidi="ar-SA"/>
        </w:rPr>
        <w:t>4.64</w:t>
      </w:r>
      <w:r>
        <w:rPr>
          <w:rFonts w:hint="eastAsia" w:ascii="Times New Roman" w:hAnsi="Times New Roman" w:eastAsia="方正仿宋_GBK" w:cs="Times New Roman"/>
          <w:color w:val="auto"/>
          <w:kern w:val="2"/>
          <w:sz w:val="32"/>
          <w:szCs w:val="32"/>
          <w:highlight w:val="none"/>
          <w:lang w:val="en-US" w:eastAsia="zh-CN" w:bidi="ar-SA"/>
        </w:rPr>
        <w:t>万元，增长</w:t>
      </w:r>
      <w:r>
        <w:rPr>
          <w:rFonts w:hint="eastAsia" w:eastAsia="方正仿宋_GBK" w:cs="Times New Roman"/>
          <w:color w:val="auto"/>
          <w:kern w:val="2"/>
          <w:sz w:val="32"/>
          <w:szCs w:val="32"/>
          <w:highlight w:val="none"/>
          <w:lang w:val="en-US" w:eastAsia="zh-CN" w:bidi="ar-SA"/>
        </w:rPr>
        <w:t>7.60</w:t>
      </w:r>
      <w:r>
        <w:rPr>
          <w:rFonts w:hint="eastAsia" w:ascii="Times New Roman" w:hAnsi="Times New Roman" w:eastAsia="方正仿宋_GBK"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kern w:val="2"/>
          <w:sz w:val="32"/>
          <w:szCs w:val="32"/>
          <w:highlight w:val="none"/>
          <w:lang w:val="en-US" w:eastAsia="zh-CN" w:bidi="ar-SA"/>
        </w:rPr>
        <w:t>在职人员住房公积金基数调整</w:t>
      </w:r>
      <w:r>
        <w:rPr>
          <w:rFonts w:hint="eastAsia" w:ascii="Times New Roman" w:hAnsi="Times New Roman" w:eastAsia="方正仿宋_GBK"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color w:val="auto"/>
          <w:kern w:val="2"/>
          <w:sz w:val="32"/>
          <w:szCs w:val="32"/>
          <w:highlight w:val="none"/>
          <w:lang w:val="zh-CN" w:eastAsia="zh-CN" w:bidi="ar-SA"/>
        </w:rPr>
      </w:pPr>
      <w:r>
        <w:rPr>
          <w:rFonts w:hint="eastAsia" w:eastAsia="方正仿宋_GBK" w:cs="Times New Roman"/>
          <w:color w:val="auto"/>
          <w:kern w:val="2"/>
          <w:sz w:val="32"/>
          <w:szCs w:val="32"/>
          <w:highlight w:val="none"/>
          <w:lang w:val="en-US" w:eastAsia="zh-CN" w:bidi="ar-SA"/>
        </w:rPr>
        <w:t>4</w:t>
      </w:r>
      <w:r>
        <w:rPr>
          <w:rFonts w:hint="eastAsia" w:ascii="Times New Roman" w:hAnsi="Times New Roman" w:eastAsia="方正仿宋_GBK" w:cs="Times New Roman"/>
          <w:color w:val="auto"/>
          <w:kern w:val="2"/>
          <w:sz w:val="32"/>
          <w:szCs w:val="32"/>
          <w:highlight w:val="none"/>
          <w:lang w:val="en-US" w:eastAsia="zh-CN" w:bidi="ar-SA"/>
        </w:rPr>
        <w:t>.</w:t>
      </w:r>
      <w:r>
        <w:rPr>
          <w:rFonts w:hint="default" w:ascii="Times New Roman" w:hAnsi="Times New Roman" w:eastAsia="方正仿宋_GBK" w:cs="Times New Roman"/>
          <w:color w:val="auto"/>
          <w:kern w:val="2"/>
          <w:sz w:val="32"/>
          <w:szCs w:val="32"/>
          <w:highlight w:val="none"/>
          <w:lang w:val="en-US" w:eastAsia="zh-CN" w:bidi="ar-SA"/>
        </w:rPr>
        <w:t>社会保障和就业支出（类）行政事业单位养老支出（款） 事业单位离退休（项）</w:t>
      </w:r>
      <w:r>
        <w:rPr>
          <w:rFonts w:hint="eastAsia" w:ascii="Times New Roman" w:hAnsi="Times New Roman" w:eastAsia="方正仿宋_GBK" w:cs="Times New Roman"/>
          <w:color w:val="auto"/>
          <w:kern w:val="2"/>
          <w:sz w:val="32"/>
          <w:szCs w:val="32"/>
          <w:highlight w:val="none"/>
          <w:lang w:val="en-US" w:eastAsia="zh-CN" w:bidi="ar-SA"/>
        </w:rPr>
        <w:t>:支出决算数为</w:t>
      </w:r>
      <w:r>
        <w:rPr>
          <w:rFonts w:hint="eastAsia" w:eastAsia="方正仿宋_GBK" w:cs="Times New Roman"/>
          <w:color w:val="auto"/>
          <w:kern w:val="2"/>
          <w:sz w:val="32"/>
          <w:szCs w:val="32"/>
          <w:highlight w:val="none"/>
          <w:lang w:val="en-US" w:eastAsia="zh-CN" w:bidi="ar-SA"/>
        </w:rPr>
        <w:t>1.68</w:t>
      </w:r>
      <w:r>
        <w:rPr>
          <w:rFonts w:hint="eastAsia" w:ascii="Times New Roman" w:hAnsi="Times New Roman" w:eastAsia="方正仿宋_GBK" w:cs="Times New Roman"/>
          <w:color w:val="auto"/>
          <w:kern w:val="2"/>
          <w:sz w:val="32"/>
          <w:szCs w:val="32"/>
          <w:highlight w:val="none"/>
          <w:lang w:val="en-US" w:eastAsia="zh-CN" w:bidi="ar-SA"/>
        </w:rPr>
        <w:t>万元，比上年决算</w:t>
      </w:r>
      <w:r>
        <w:rPr>
          <w:rFonts w:hint="eastAsia" w:eastAsia="方正仿宋_GBK" w:cs="Times New Roman"/>
          <w:color w:val="auto"/>
          <w:kern w:val="2"/>
          <w:sz w:val="32"/>
          <w:szCs w:val="32"/>
          <w:highlight w:val="none"/>
          <w:lang w:val="en-US" w:eastAsia="zh-CN" w:bidi="ar-SA"/>
        </w:rPr>
        <w:t>增加0.51</w:t>
      </w:r>
      <w:r>
        <w:rPr>
          <w:rFonts w:hint="eastAsia" w:ascii="Times New Roman" w:hAnsi="Times New Roman" w:eastAsia="方正仿宋_GBK" w:cs="Times New Roman"/>
          <w:color w:val="auto"/>
          <w:kern w:val="2"/>
          <w:sz w:val="32"/>
          <w:szCs w:val="32"/>
          <w:highlight w:val="none"/>
          <w:lang w:val="en-US" w:eastAsia="zh-CN" w:bidi="ar-SA"/>
        </w:rPr>
        <w:t>万元，</w:t>
      </w:r>
      <w:r>
        <w:rPr>
          <w:rFonts w:hint="eastAsia" w:eastAsia="方正仿宋_GBK" w:cs="Times New Roman"/>
          <w:color w:val="auto"/>
          <w:kern w:val="2"/>
          <w:sz w:val="32"/>
          <w:szCs w:val="32"/>
          <w:highlight w:val="none"/>
          <w:lang w:val="en-US" w:eastAsia="zh-CN" w:bidi="ar-SA"/>
        </w:rPr>
        <w:t>增长43.59</w:t>
      </w:r>
      <w:r>
        <w:rPr>
          <w:rFonts w:hint="eastAsia" w:ascii="Times New Roman" w:hAnsi="Times New Roman" w:eastAsia="方正仿宋_GBK" w:cs="Times New Roman"/>
          <w:color w:val="auto"/>
          <w:kern w:val="2"/>
          <w:sz w:val="32"/>
          <w:szCs w:val="32"/>
          <w:highlight w:val="none"/>
          <w:lang w:val="en-US" w:eastAsia="zh-CN" w:bidi="ar-SA"/>
        </w:rPr>
        <w:t>%，主要原因是：</w:t>
      </w:r>
      <w:r>
        <w:rPr>
          <w:rFonts w:hint="eastAsia" w:eastAsia="方正仿宋_GBK" w:cs="Times New Roman"/>
          <w:color w:val="auto"/>
          <w:kern w:val="2"/>
          <w:sz w:val="32"/>
          <w:szCs w:val="32"/>
          <w:highlight w:val="none"/>
          <w:lang w:val="en-US" w:eastAsia="zh-CN" w:bidi="ar-SA"/>
        </w:rPr>
        <w:t>增加1名退休人员所致</w:t>
      </w:r>
      <w:r>
        <w:rPr>
          <w:rFonts w:hint="eastAsia" w:ascii="Times New Roman" w:hAnsi="Times New Roman" w:eastAsia="方正仿宋_GBK"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方正仿宋_GBK" w:cs="Times New Roman"/>
          <w:color w:val="auto"/>
          <w:kern w:val="2"/>
          <w:sz w:val="32"/>
          <w:szCs w:val="32"/>
          <w:highlight w:val="none"/>
          <w:lang w:val="zh-CN" w:eastAsia="zh-CN" w:bidi="ar-SA"/>
        </w:rPr>
      </w:pPr>
      <w:r>
        <w:rPr>
          <w:rFonts w:hint="eastAsia" w:eastAsia="方正仿宋_GBK" w:cs="Times New Roman"/>
          <w:color w:val="auto"/>
          <w:kern w:val="2"/>
          <w:sz w:val="32"/>
          <w:szCs w:val="32"/>
          <w:highlight w:val="none"/>
          <w:lang w:val="en-US" w:eastAsia="zh-CN" w:bidi="ar-SA"/>
        </w:rPr>
        <w:t>5</w:t>
      </w:r>
      <w:r>
        <w:rPr>
          <w:rFonts w:hint="eastAsia" w:ascii="Times New Roman" w:hAnsi="Times New Roman" w:eastAsia="方正仿宋_GBK" w:cs="Times New Roman"/>
          <w:color w:val="auto"/>
          <w:kern w:val="2"/>
          <w:sz w:val="32"/>
          <w:szCs w:val="32"/>
          <w:highlight w:val="none"/>
          <w:lang w:val="en-US" w:eastAsia="zh-CN" w:bidi="ar-SA"/>
        </w:rPr>
        <w:t>.社会保障和就业支出（类）行政事业单位养老支出（款）机关事业单位基本养老保险缴费支出（项）:支出决算数为</w:t>
      </w:r>
      <w:r>
        <w:rPr>
          <w:rFonts w:hint="eastAsia" w:eastAsia="方正仿宋_GBK" w:cs="Times New Roman"/>
          <w:color w:val="auto"/>
          <w:kern w:val="2"/>
          <w:sz w:val="32"/>
          <w:szCs w:val="32"/>
          <w:highlight w:val="none"/>
          <w:lang w:val="en-US" w:eastAsia="zh-CN" w:bidi="ar-SA"/>
        </w:rPr>
        <w:t>85.19</w:t>
      </w:r>
      <w:r>
        <w:rPr>
          <w:rFonts w:hint="eastAsia" w:ascii="Times New Roman" w:hAnsi="Times New Roman" w:eastAsia="方正仿宋_GBK" w:cs="Times New Roman"/>
          <w:color w:val="auto"/>
          <w:kern w:val="2"/>
          <w:sz w:val="32"/>
          <w:szCs w:val="32"/>
          <w:highlight w:val="none"/>
          <w:lang w:val="en-US" w:eastAsia="zh-CN" w:bidi="ar-SA"/>
        </w:rPr>
        <w:t>万元，比上年决算</w:t>
      </w:r>
      <w:r>
        <w:rPr>
          <w:rFonts w:hint="eastAsia" w:eastAsia="方正仿宋_GBK" w:cs="Times New Roman"/>
          <w:color w:val="auto"/>
          <w:kern w:val="2"/>
          <w:sz w:val="32"/>
          <w:szCs w:val="32"/>
          <w:highlight w:val="none"/>
          <w:lang w:val="en-US" w:eastAsia="zh-CN" w:bidi="ar-SA"/>
        </w:rPr>
        <w:t>增加85.19</w:t>
      </w:r>
      <w:r>
        <w:rPr>
          <w:rFonts w:hint="eastAsia" w:ascii="Times New Roman" w:hAnsi="Times New Roman" w:eastAsia="方正仿宋_GBK" w:cs="Times New Roman"/>
          <w:color w:val="auto"/>
          <w:kern w:val="2"/>
          <w:sz w:val="32"/>
          <w:szCs w:val="32"/>
          <w:highlight w:val="none"/>
          <w:lang w:val="en-US" w:eastAsia="zh-CN" w:bidi="ar-SA"/>
        </w:rPr>
        <w:t>万元，增长100%，主要原因是：本年</w:t>
      </w:r>
      <w:r>
        <w:rPr>
          <w:rFonts w:hint="eastAsia" w:eastAsia="方正仿宋_GBK" w:cs="Times New Roman"/>
          <w:color w:val="auto"/>
          <w:kern w:val="2"/>
          <w:sz w:val="32"/>
          <w:szCs w:val="32"/>
          <w:highlight w:val="none"/>
          <w:lang w:val="en-US" w:eastAsia="zh-CN" w:bidi="ar-SA"/>
        </w:rPr>
        <w:t>增加</w:t>
      </w:r>
      <w:r>
        <w:rPr>
          <w:rFonts w:hint="eastAsia" w:ascii="Times New Roman" w:hAnsi="Times New Roman" w:eastAsia="方正仿宋_GBK" w:cs="Times New Roman"/>
          <w:color w:val="auto"/>
          <w:kern w:val="2"/>
          <w:sz w:val="32"/>
          <w:szCs w:val="32"/>
          <w:highlight w:val="none"/>
          <w:lang w:val="en-US" w:eastAsia="zh-CN" w:bidi="ar-SA"/>
        </w:rPr>
        <w:t>该功能科目支出</w:t>
      </w:r>
      <w:r>
        <w:rPr>
          <w:rFonts w:hint="eastAsia" w:ascii="Times New Roman" w:hAnsi="Times New Roman" w:eastAsia="方正仿宋_GBK"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color w:val="auto"/>
          <w:kern w:val="2"/>
          <w:sz w:val="32"/>
          <w:szCs w:val="32"/>
          <w:highlight w:val="none"/>
          <w:lang w:val="zh-CN" w:eastAsia="zh-CN" w:bidi="ar-SA"/>
        </w:rPr>
      </w:pPr>
      <w:r>
        <w:rPr>
          <w:rFonts w:hint="eastAsia" w:eastAsia="方正仿宋_GBK" w:cs="Times New Roman"/>
          <w:color w:val="auto"/>
          <w:kern w:val="2"/>
          <w:sz w:val="32"/>
          <w:szCs w:val="32"/>
          <w:highlight w:val="none"/>
          <w:lang w:val="en-US" w:eastAsia="zh-CN" w:bidi="ar-SA"/>
        </w:rPr>
        <w:t>6</w:t>
      </w:r>
      <w:r>
        <w:rPr>
          <w:rFonts w:hint="eastAsia" w:ascii="Times New Roman" w:hAnsi="Times New Roman" w:eastAsia="方正仿宋_GBK" w:cs="Times New Roman"/>
          <w:color w:val="auto"/>
          <w:kern w:val="2"/>
          <w:sz w:val="32"/>
          <w:szCs w:val="32"/>
          <w:highlight w:val="none"/>
          <w:lang w:val="en-US" w:eastAsia="zh-CN" w:bidi="ar-SA"/>
        </w:rPr>
        <w:t>.社会保障和就业支出（类）行政事业单位养老支出（款）机关事业单位职业年金缴费支出（项）:支出决算数为</w:t>
      </w:r>
      <w:r>
        <w:rPr>
          <w:rFonts w:hint="eastAsia" w:eastAsia="方正仿宋_GBK" w:cs="Times New Roman"/>
          <w:color w:val="auto"/>
          <w:kern w:val="2"/>
          <w:sz w:val="32"/>
          <w:szCs w:val="32"/>
          <w:highlight w:val="none"/>
          <w:lang w:val="en-US" w:eastAsia="zh-CN" w:bidi="ar-SA"/>
        </w:rPr>
        <w:t>18.44</w:t>
      </w:r>
      <w:r>
        <w:rPr>
          <w:rFonts w:hint="eastAsia" w:ascii="Times New Roman" w:hAnsi="Times New Roman" w:eastAsia="方正仿宋_GBK" w:cs="Times New Roman"/>
          <w:color w:val="auto"/>
          <w:kern w:val="2"/>
          <w:sz w:val="32"/>
          <w:szCs w:val="32"/>
          <w:highlight w:val="none"/>
          <w:lang w:val="en-US" w:eastAsia="zh-CN" w:bidi="ar-SA"/>
        </w:rPr>
        <w:t>万元，比上年决算</w:t>
      </w:r>
      <w:r>
        <w:rPr>
          <w:rFonts w:hint="eastAsia" w:eastAsia="方正仿宋_GBK" w:cs="Times New Roman"/>
          <w:color w:val="auto"/>
          <w:kern w:val="2"/>
          <w:sz w:val="32"/>
          <w:szCs w:val="32"/>
          <w:highlight w:val="none"/>
          <w:lang w:val="en-US" w:eastAsia="zh-CN" w:bidi="ar-SA"/>
        </w:rPr>
        <w:t>增加18.44</w:t>
      </w:r>
      <w:r>
        <w:rPr>
          <w:rFonts w:hint="eastAsia" w:ascii="Times New Roman" w:hAnsi="Times New Roman" w:eastAsia="方正仿宋_GBK" w:cs="Times New Roman"/>
          <w:color w:val="auto"/>
          <w:kern w:val="2"/>
          <w:sz w:val="32"/>
          <w:szCs w:val="32"/>
          <w:highlight w:val="none"/>
          <w:lang w:val="en-US" w:eastAsia="zh-CN" w:bidi="ar-SA"/>
        </w:rPr>
        <w:t>万元，</w:t>
      </w:r>
      <w:r>
        <w:rPr>
          <w:rFonts w:hint="eastAsia" w:eastAsia="方正仿宋_GBK" w:cs="Times New Roman"/>
          <w:color w:val="auto"/>
          <w:kern w:val="2"/>
          <w:sz w:val="32"/>
          <w:szCs w:val="32"/>
          <w:highlight w:val="none"/>
          <w:lang w:val="en-US" w:eastAsia="zh-CN" w:bidi="ar-SA"/>
        </w:rPr>
        <w:t>增长100</w:t>
      </w:r>
      <w:r>
        <w:rPr>
          <w:rFonts w:hint="eastAsia" w:ascii="Times New Roman" w:hAnsi="Times New Roman" w:eastAsia="方正仿宋_GBK" w:cs="Times New Roman"/>
          <w:color w:val="auto"/>
          <w:kern w:val="2"/>
          <w:sz w:val="32"/>
          <w:szCs w:val="32"/>
          <w:highlight w:val="none"/>
          <w:lang w:val="en-US" w:eastAsia="zh-CN" w:bidi="ar-SA"/>
        </w:rPr>
        <w:t>%，主要原因是：本年</w:t>
      </w:r>
      <w:r>
        <w:rPr>
          <w:rFonts w:hint="eastAsia" w:eastAsia="方正仿宋_GBK" w:cs="Times New Roman"/>
          <w:color w:val="auto"/>
          <w:kern w:val="2"/>
          <w:sz w:val="32"/>
          <w:szCs w:val="32"/>
          <w:highlight w:val="none"/>
          <w:lang w:val="en-US" w:eastAsia="zh-CN" w:bidi="ar-SA"/>
        </w:rPr>
        <w:t>增加</w:t>
      </w:r>
      <w:r>
        <w:rPr>
          <w:rFonts w:hint="eastAsia" w:ascii="Times New Roman" w:hAnsi="Times New Roman" w:eastAsia="方正仿宋_GBK" w:cs="Times New Roman"/>
          <w:color w:val="auto"/>
          <w:kern w:val="2"/>
          <w:sz w:val="32"/>
          <w:szCs w:val="32"/>
          <w:highlight w:val="none"/>
          <w:lang w:val="en-US" w:eastAsia="zh-CN" w:bidi="ar-SA"/>
        </w:rPr>
        <w:t>该功能科目支出</w:t>
      </w:r>
      <w:r>
        <w:rPr>
          <w:rFonts w:hint="eastAsia" w:ascii="Times New Roman" w:hAnsi="Times New Roman" w:eastAsia="方正仿宋_GBK"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方正仿宋_GBK"/>
          <w:kern w:val="0"/>
          <w:sz w:val="31"/>
          <w:szCs w:val="31"/>
        </w:rPr>
      </w:pPr>
      <w:r>
        <w:rPr>
          <w:rFonts w:hint="eastAsia" w:ascii="Times New Roman" w:hAnsi="Times New Roman" w:eastAsia="方正仿宋_GBK" w:cs="Times New Roman"/>
          <w:color w:val="auto"/>
          <w:kern w:val="2"/>
          <w:sz w:val="32"/>
          <w:szCs w:val="32"/>
          <w:highlight w:val="none"/>
          <w:lang w:val="zh-CN" w:eastAsia="zh-CN" w:bidi="ar-SA"/>
        </w:rPr>
        <w:t xml:space="preserve"> </w:t>
      </w:r>
      <w:r>
        <w:rPr>
          <w:rFonts w:hint="eastAsia" w:eastAsia="方正仿宋_GBK" w:cs="Times New Roman"/>
          <w:color w:val="auto"/>
          <w:kern w:val="2"/>
          <w:sz w:val="32"/>
          <w:szCs w:val="32"/>
          <w:highlight w:val="none"/>
          <w:lang w:val="en-US" w:eastAsia="zh-CN" w:bidi="ar-SA"/>
        </w:rPr>
        <w:t>7</w:t>
      </w:r>
      <w:r>
        <w:rPr>
          <w:rFonts w:hint="eastAsia" w:ascii="Times New Roman" w:hAnsi="Times New Roman" w:eastAsia="方正仿宋_GBK" w:cs="Times New Roman"/>
          <w:color w:val="auto"/>
          <w:kern w:val="2"/>
          <w:sz w:val="32"/>
          <w:szCs w:val="32"/>
          <w:highlight w:val="none"/>
          <w:lang w:val="en-US" w:eastAsia="zh-CN" w:bidi="ar-SA"/>
        </w:rPr>
        <w:t>.</w:t>
      </w:r>
      <w:r>
        <w:rPr>
          <w:rFonts w:hint="default" w:ascii="Times New Roman" w:hAnsi="Times New Roman" w:eastAsia="方正仿宋_GBK" w:cs="Times New Roman"/>
          <w:color w:val="auto"/>
          <w:kern w:val="2"/>
          <w:sz w:val="32"/>
          <w:szCs w:val="32"/>
          <w:highlight w:val="none"/>
          <w:lang w:val="en-US" w:eastAsia="zh-CN" w:bidi="ar-SA"/>
        </w:rPr>
        <w:t>卫生健康支出（类）行政事业单位医疗（款）事业单位医疗（项）:支出决算数为</w:t>
      </w:r>
      <w:r>
        <w:rPr>
          <w:rFonts w:hint="eastAsia" w:eastAsia="方正仿宋_GBK" w:cs="Times New Roman"/>
          <w:color w:val="auto"/>
          <w:kern w:val="2"/>
          <w:sz w:val="32"/>
          <w:szCs w:val="32"/>
          <w:highlight w:val="none"/>
          <w:lang w:val="en-US" w:eastAsia="zh-CN" w:bidi="ar-SA"/>
        </w:rPr>
        <w:t>38.75</w:t>
      </w:r>
      <w:r>
        <w:rPr>
          <w:rFonts w:hint="default" w:ascii="Times New Roman" w:hAnsi="Times New Roman" w:eastAsia="方正仿宋_GBK" w:cs="Times New Roman"/>
          <w:color w:val="auto"/>
          <w:kern w:val="2"/>
          <w:sz w:val="32"/>
          <w:szCs w:val="32"/>
          <w:highlight w:val="none"/>
          <w:lang w:val="en-US" w:eastAsia="zh-CN" w:bidi="ar-SA"/>
        </w:rPr>
        <w:t>万元，比上年决算</w:t>
      </w:r>
      <w:r>
        <w:rPr>
          <w:rFonts w:hint="eastAsia" w:ascii="Times New Roman" w:hAnsi="Times New Roman" w:eastAsia="方正仿宋_GBK" w:cs="Times New Roman"/>
          <w:color w:val="auto"/>
          <w:kern w:val="2"/>
          <w:sz w:val="32"/>
          <w:szCs w:val="32"/>
          <w:highlight w:val="none"/>
          <w:lang w:val="en-US" w:eastAsia="zh-CN" w:bidi="ar-SA"/>
        </w:rPr>
        <w:t>增加</w:t>
      </w:r>
      <w:r>
        <w:rPr>
          <w:rFonts w:hint="eastAsia" w:eastAsia="方正仿宋_GBK" w:cs="Times New Roman"/>
          <w:color w:val="auto"/>
          <w:kern w:val="2"/>
          <w:sz w:val="32"/>
          <w:szCs w:val="32"/>
          <w:highlight w:val="none"/>
          <w:lang w:val="en-US" w:eastAsia="zh-CN" w:bidi="ar-SA"/>
        </w:rPr>
        <w:t>4.64</w:t>
      </w:r>
      <w:r>
        <w:rPr>
          <w:rFonts w:hint="default" w:ascii="Times New Roman" w:hAnsi="Times New Roman" w:eastAsia="方正仿宋_GBK" w:cs="Times New Roman"/>
          <w:color w:val="auto"/>
          <w:kern w:val="2"/>
          <w:sz w:val="32"/>
          <w:szCs w:val="32"/>
          <w:highlight w:val="none"/>
          <w:lang w:val="en-US" w:eastAsia="zh-CN" w:bidi="ar-SA"/>
        </w:rPr>
        <w:t>万元，</w:t>
      </w:r>
      <w:r>
        <w:rPr>
          <w:rFonts w:hint="eastAsia" w:ascii="Times New Roman" w:hAnsi="Times New Roman" w:eastAsia="方正仿宋_GBK" w:cs="Times New Roman"/>
          <w:color w:val="auto"/>
          <w:kern w:val="2"/>
          <w:sz w:val="32"/>
          <w:szCs w:val="32"/>
          <w:highlight w:val="none"/>
          <w:lang w:val="en-US" w:eastAsia="zh-CN" w:bidi="ar-SA"/>
        </w:rPr>
        <w:t>增长</w:t>
      </w:r>
      <w:r>
        <w:rPr>
          <w:rFonts w:hint="eastAsia" w:eastAsia="方正仿宋_GBK" w:cs="Times New Roman"/>
          <w:color w:val="auto"/>
          <w:kern w:val="2"/>
          <w:sz w:val="32"/>
          <w:szCs w:val="32"/>
          <w:highlight w:val="none"/>
          <w:lang w:val="en-US" w:eastAsia="zh-CN" w:bidi="ar-SA"/>
        </w:rPr>
        <w:t>13.6</w:t>
      </w:r>
      <w:r>
        <w:rPr>
          <w:rFonts w:hint="default" w:ascii="Times New Roman" w:hAnsi="Times New Roman" w:eastAsia="方正仿宋_GBK" w:cs="Times New Roman"/>
          <w:color w:val="auto"/>
          <w:kern w:val="2"/>
          <w:sz w:val="32"/>
          <w:szCs w:val="32"/>
          <w:highlight w:val="none"/>
          <w:lang w:val="en-US" w:eastAsia="zh-CN" w:bidi="ar-SA"/>
        </w:rPr>
        <w:t>%，主要原因是：人员</w:t>
      </w:r>
      <w:r>
        <w:rPr>
          <w:rFonts w:hint="eastAsia" w:ascii="Times New Roman" w:hAnsi="Times New Roman" w:eastAsia="方正仿宋_GBK" w:cs="Times New Roman"/>
          <w:color w:val="auto"/>
          <w:kern w:val="2"/>
          <w:sz w:val="32"/>
          <w:szCs w:val="32"/>
          <w:highlight w:val="none"/>
          <w:lang w:val="en-US" w:eastAsia="zh-CN" w:bidi="ar-SA"/>
        </w:rPr>
        <w:t>医疗</w:t>
      </w:r>
      <w:r>
        <w:rPr>
          <w:rFonts w:hint="default" w:ascii="Times New Roman" w:hAnsi="Times New Roman" w:eastAsia="方正仿宋_GBK" w:cs="Times New Roman"/>
          <w:color w:val="auto"/>
          <w:kern w:val="2"/>
          <w:sz w:val="32"/>
          <w:szCs w:val="32"/>
          <w:highlight w:val="none"/>
          <w:lang w:val="en-US" w:eastAsia="zh-CN" w:bidi="ar-SA"/>
        </w:rPr>
        <w:t xml:space="preserve">缴费基数增加。 </w:t>
      </w:r>
      <w:r>
        <w:rPr>
          <w:rFonts w:eastAsia="方正仿宋_GBK"/>
          <w:kern w:val="0"/>
          <w:sz w:val="31"/>
          <w:szCs w:val="3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1" w:name="_Toc11146"/>
      <w:bookmarkStart w:id="22" w:name="_Toc23415"/>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val="en-US" w:eastAsia="zh-CN"/>
        </w:rPr>
        <w:t>804.69</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val="en-US" w:eastAsia="zh-CN"/>
        </w:rPr>
        <w:t>778.35</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职业年金缴费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、退休费、其他对个人和家庭的补助。</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val="en-US" w:eastAsia="zh-CN"/>
        </w:rPr>
        <w:t>26.34</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3" w:name="_Toc7927"/>
      <w:bookmarkStart w:id="24" w:name="_Toc7523"/>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政府性基金预算财政拨款收入支出决算情况说明</w:t>
      </w:r>
      <w:bookmarkEnd w:id="23"/>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5" w:name="_Toc5563"/>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6" w:name="_Toc9161"/>
      <w:bookmarkStart w:id="27" w:name="_Toc7190"/>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方正仿宋_GBK" w:cs="Times New Roman"/>
          <w:color w:val="auto"/>
          <w:sz w:val="32"/>
          <w:szCs w:val="32"/>
          <w:highlight w:val="none"/>
          <w:lang w:val="zh-CN"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6.84</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3.11</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83.57</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1、调研，督导，检查派车次数增加，导致车辆运行费增加；2、受车辆老化影响，导致车辆运行费增加。其中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本年无因公出国（境）费支出，与上年相比无变动</w:t>
      </w:r>
      <w:r>
        <w:rPr>
          <w:rFonts w:hint="eastAsia" w:ascii="仿宋_GB2312" w:eastAsia="仿宋_GB2312"/>
          <w:sz w:val="32"/>
          <w:szCs w:val="32"/>
          <w:highlight w:val="none"/>
        </w:rPr>
        <w:t>；公务用车购置及运行维护费支出</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3.11</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83.57</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1、调研，督导，检查派车次数增加，导致车辆运行费增加；2、受车辆老化影响，导致车辆运行费增加；公务接待费支出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本年无公务接待费支出，与上年相比无变动</w:t>
      </w:r>
      <w:r>
        <w:rPr>
          <w:rFonts w:hint="eastAsia" w:ascii="Times New Roman" w:hAnsi="Times New Roman" w:eastAsia="方正仿宋_GBK"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开支内容包括</w:t>
      </w:r>
      <w:r>
        <w:rPr>
          <w:rFonts w:hint="default" w:ascii="Times New Roman" w:hAnsi="Times New Roman" w:eastAsia="方正仿宋_GBK" w:cs="Times New Roman"/>
          <w:color w:val="auto"/>
          <w:sz w:val="32"/>
          <w:szCs w:val="32"/>
          <w:highlight w:val="none"/>
          <w:lang w:val="zh-CN" w:eastAsia="zh-CN"/>
        </w:rPr>
        <w:t>本年未安排因公出国（境）费支出，无开支内容</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万元。公务用车运行维护费开支内容包括</w:t>
      </w:r>
      <w:r>
        <w:rPr>
          <w:rFonts w:hint="eastAsia" w:ascii="Times New Roman" w:hAnsi="Times New Roman" w:eastAsia="方正仿宋_GBK" w:cs="Times New Roman"/>
          <w:color w:val="auto"/>
          <w:sz w:val="32"/>
          <w:szCs w:val="32"/>
          <w:highlight w:val="none"/>
          <w:lang w:val="zh-CN" w:eastAsia="zh-CN"/>
        </w:rPr>
        <w:t>公务用车油料、车辆保险费及车辆维修费</w:t>
      </w:r>
      <w:r>
        <w:rPr>
          <w:rFonts w:hint="eastAsia" w:ascii="仿宋_GB2312" w:eastAsia="仿宋_GB2312"/>
          <w:sz w:val="32"/>
          <w:szCs w:val="32"/>
          <w:highlight w:val="none"/>
        </w:rPr>
        <w:t>。公务用车购置数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辆。国有资产占用情况</w:t>
      </w:r>
      <w:r>
        <w:rPr>
          <w:rFonts w:hint="eastAsia" w:ascii="仿宋_GB2312" w:eastAsia="仿宋_GB2312"/>
          <w:sz w:val="32"/>
          <w:szCs w:val="32"/>
          <w:highlight w:val="none"/>
          <w:lang w:val="en-US" w:eastAsia="zh-CN"/>
        </w:rPr>
        <w:t>中固定资产车辆6</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default" w:ascii="Times New Roman" w:hAnsi="Times New Roman" w:eastAsia="方正仿宋_GBK" w:cs="Times New Roman"/>
          <w:color w:val="auto"/>
          <w:sz w:val="32"/>
          <w:szCs w:val="32"/>
          <w:highlight w:val="none"/>
          <w:lang w:val="zh-CN" w:eastAsia="zh-CN"/>
        </w:rPr>
        <w:t>公务用车保有量</w:t>
      </w:r>
      <w:r>
        <w:rPr>
          <w:rFonts w:hint="eastAsia" w:ascii="Times New Roman" w:hAnsi="Times New Roman" w:eastAsia="方正仿宋_GBK" w:cs="Times New Roman"/>
          <w:color w:val="auto"/>
          <w:sz w:val="32"/>
          <w:szCs w:val="32"/>
          <w:highlight w:val="none"/>
          <w:lang w:val="en-US" w:eastAsia="zh-CN"/>
        </w:rPr>
        <w:t>与资产占用情况中固定资产车辆数量一致，无差异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万元，开支内容包括</w:t>
      </w:r>
      <w:r>
        <w:rPr>
          <w:rFonts w:hint="default" w:ascii="Times New Roman" w:hAnsi="Times New Roman" w:eastAsia="方正仿宋_GBK" w:cs="Times New Roman"/>
          <w:color w:val="auto"/>
          <w:sz w:val="32"/>
          <w:szCs w:val="32"/>
          <w:highlight w:val="none"/>
          <w:lang w:val="zh-CN" w:eastAsia="zh-CN"/>
        </w:rPr>
        <w:t>本年未安排公务接待费支出，无开支内容</w:t>
      </w:r>
      <w:r>
        <w:rPr>
          <w:rFonts w:hint="eastAsia" w:ascii="仿宋_GB2312" w:eastAsia="仿宋_GB2312"/>
          <w:sz w:val="32"/>
          <w:szCs w:val="32"/>
          <w:highlight w:val="none"/>
        </w:rPr>
        <w:t>。单位全年安排的国内公务接待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Times New Roman" w:hAnsi="Times New Roman" w:eastAsia="方正仿宋_GBK" w:cs="Times New Roman"/>
          <w:color w:val="auto"/>
          <w:sz w:val="31"/>
          <w:szCs w:val="31"/>
          <w:highlight w:val="none"/>
          <w:lang w:val="zh-CN" w:eastAsia="zh-CN"/>
        </w:rPr>
        <w:t>严格控制“三公”经费，厉行节约，与全年预算数一致无变化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本年未安排因公出国（境）费支出，无开支内容，与全年预算数一致无变化</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本年无公务用车购置及运行维护费支出，与全年预算数相比无变动</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9.6</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6.84</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-28.75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严格控制“三公”经费，厉行节约</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方正仿宋_GBK" w:cs="Times New Roman"/>
          <w:color w:val="auto"/>
          <w:sz w:val="32"/>
          <w:szCs w:val="32"/>
          <w:highlight w:val="none"/>
          <w:lang w:val="zh-CN" w:eastAsia="zh-CN"/>
        </w:rPr>
        <w:t>本年未安排公务接待费支出，无开支内容，与全年预算数一致无变化。</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8" w:name="_Toc16395"/>
      <w:bookmarkStart w:id="29"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30" w:name="_Toc21748"/>
      <w:bookmarkStart w:id="31"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2024年度度</w:t>
      </w:r>
      <w:r>
        <w:rPr>
          <w:rFonts w:hint="eastAsia" w:ascii="Times New Roman" w:hAnsi="Times New Roman" w:eastAsia="方正仿宋_GBK" w:cs="Times New Roman"/>
          <w:color w:val="auto"/>
          <w:sz w:val="32"/>
          <w:szCs w:val="32"/>
          <w:highlight w:val="none"/>
          <w:lang w:val="zh-CN" w:eastAsia="zh-CN"/>
        </w:rPr>
        <w:t>库尔勒市群众工作服务中心</w:t>
      </w:r>
      <w:r>
        <w:rPr>
          <w:rFonts w:hint="eastAsia" w:ascii="仿宋_GB2312" w:eastAsia="仿宋_GB2312"/>
          <w:sz w:val="32"/>
          <w:szCs w:val="32"/>
          <w:highlight w:val="none"/>
        </w:rPr>
        <w:t>（事业单位）</w:t>
      </w:r>
      <w:r>
        <w:rPr>
          <w:rFonts w:hint="eastAsia" w:ascii="仿宋_GB2312" w:eastAsia="仿宋_GB2312"/>
          <w:sz w:val="32"/>
          <w:szCs w:val="32"/>
          <w:highlight w:val="none"/>
          <w:lang w:eastAsia="zh-CN"/>
        </w:rPr>
        <w:t>公用经费</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26.35</w:t>
      </w:r>
      <w:r>
        <w:rPr>
          <w:rFonts w:hint="eastAsia" w:ascii="仿宋_GB2312" w:eastAsia="仿宋_GB2312"/>
          <w:sz w:val="32"/>
          <w:szCs w:val="32"/>
          <w:highlight w:val="none"/>
        </w:rPr>
        <w:t>万元，比上年增加</w:t>
      </w:r>
      <w:r>
        <w:rPr>
          <w:rFonts w:hint="eastAsia" w:ascii="仿宋_GB2312" w:eastAsia="仿宋_GB2312"/>
          <w:sz w:val="32"/>
          <w:szCs w:val="32"/>
          <w:highlight w:val="none"/>
          <w:lang w:val="en-US" w:eastAsia="zh-CN"/>
        </w:rPr>
        <w:t>14.85</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129.13</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spacing w:val="0"/>
          <w:sz w:val="32"/>
          <w:szCs w:val="32"/>
          <w:highlight w:val="none"/>
          <w:lang w:eastAsia="zh-CN"/>
        </w:rPr>
        <w:t>1、</w:t>
      </w:r>
      <w:r>
        <w:rPr>
          <w:rFonts w:hint="eastAsia" w:ascii="仿宋_GB2312" w:eastAsia="仿宋_GB2312"/>
          <w:sz w:val="32"/>
          <w:szCs w:val="32"/>
          <w:highlight w:val="none"/>
          <w:lang w:eastAsia="zh-CN"/>
        </w:rPr>
        <w:t>调研，督导，检查派车次数增加，导致车辆运行费增加；2、受车辆老化影响，导致车辆</w:t>
      </w:r>
      <w:r>
        <w:rPr>
          <w:rFonts w:hint="eastAsia" w:ascii="仿宋_GB2312" w:eastAsia="仿宋_GB2312"/>
          <w:spacing w:val="0"/>
          <w:sz w:val="32"/>
          <w:szCs w:val="32"/>
          <w:highlight w:val="none"/>
          <w:lang w:eastAsia="zh-CN"/>
        </w:rPr>
        <w:t>运行费增加。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2" w:name="_Toc25177"/>
      <w:bookmarkStart w:id="33" w:name="_Toc26704"/>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hint="eastAsia" w:ascii="仿宋_GB2312" w:eastAsia="仿宋_GB2312"/>
          <w:sz w:val="32"/>
          <w:szCs w:val="32"/>
          <w:highlight w:val="none"/>
          <w:lang w:val="en-US" w:eastAsia="zh-CN"/>
        </w:rPr>
        <w:t>4.78</w:t>
      </w:r>
      <w:r>
        <w:rPr>
          <w:rFonts w:hint="eastAsia" w:ascii="仿宋_GB2312" w:eastAsia="仿宋_GB2312"/>
          <w:sz w:val="32"/>
          <w:szCs w:val="32"/>
          <w:highlight w:val="none"/>
        </w:rPr>
        <w:t>万元，其中：政府采购货物支出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万元、政府采购工程支出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万元、政府采购服务支出</w:t>
      </w:r>
      <w:r>
        <w:rPr>
          <w:rFonts w:hint="eastAsia" w:ascii="仿宋_GB2312" w:eastAsia="仿宋_GB2312"/>
          <w:sz w:val="32"/>
          <w:szCs w:val="32"/>
          <w:highlight w:val="none"/>
          <w:lang w:val="en-US" w:eastAsia="zh-CN"/>
        </w:rPr>
        <w:t>4.78</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val="en-US" w:eastAsia="zh-CN"/>
        </w:rPr>
        <w:t>4.78</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val="en-US" w:eastAsia="zh-CN"/>
        </w:rPr>
        <w:t>4.78</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4" w:name="_Toc31294"/>
      <w:bookmarkStart w:id="35" w:name="_Toc4591"/>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辆，价值</w:t>
      </w:r>
      <w:r>
        <w:rPr>
          <w:rFonts w:hint="eastAsia" w:ascii="仿宋_GB2312" w:eastAsia="仿宋_GB2312"/>
          <w:sz w:val="32"/>
          <w:szCs w:val="32"/>
          <w:highlight w:val="none"/>
          <w:lang w:val="en-US" w:eastAsia="zh-CN"/>
        </w:rPr>
        <w:t>58.27</w:t>
      </w:r>
      <w:r>
        <w:rPr>
          <w:rFonts w:hint="eastAsia" w:ascii="仿宋_GB2312" w:eastAsia="仿宋_GB2312"/>
          <w:sz w:val="32"/>
          <w:szCs w:val="32"/>
          <w:highlight w:val="none"/>
        </w:rPr>
        <w:t>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辆，其他用车主要是：</w:t>
      </w:r>
      <w:r>
        <w:rPr>
          <w:rFonts w:hint="eastAsia" w:ascii="Times New Roman" w:hAnsi="Times New Roman" w:eastAsia="方正仿宋_GBK" w:cs="Times New Roman"/>
          <w:color w:val="auto"/>
          <w:sz w:val="31"/>
          <w:szCs w:val="31"/>
          <w:highlight w:val="none"/>
          <w:lang w:val="en-US" w:eastAsia="zh-CN"/>
        </w:rPr>
        <w:t>小轿车</w:t>
      </w:r>
      <w:r>
        <w:rPr>
          <w:rFonts w:hint="eastAsia" w:eastAsia="方正仿宋_GBK" w:cs="Times New Roman"/>
          <w:color w:val="auto"/>
          <w:sz w:val="31"/>
          <w:szCs w:val="31"/>
          <w:highlight w:val="none"/>
          <w:lang w:val="en-US" w:eastAsia="zh-CN"/>
        </w:rPr>
        <w:t>3</w:t>
      </w:r>
      <w:r>
        <w:rPr>
          <w:rFonts w:hint="eastAsia" w:ascii="Times New Roman" w:hAnsi="Times New Roman" w:eastAsia="方正仿宋_GBK" w:cs="Times New Roman"/>
          <w:color w:val="auto"/>
          <w:sz w:val="31"/>
          <w:szCs w:val="31"/>
          <w:highlight w:val="none"/>
          <w:lang w:val="en-US" w:eastAsia="zh-CN"/>
        </w:rPr>
        <w:t>辆、越野车1辆、小型客车</w:t>
      </w:r>
      <w:r>
        <w:rPr>
          <w:rFonts w:hint="eastAsia" w:eastAsia="方正仿宋_GBK" w:cs="Times New Roman"/>
          <w:color w:val="auto"/>
          <w:sz w:val="31"/>
          <w:szCs w:val="31"/>
          <w:highlight w:val="none"/>
          <w:lang w:val="en-US" w:eastAsia="zh-CN"/>
        </w:rPr>
        <w:t>2</w:t>
      </w:r>
      <w:r>
        <w:rPr>
          <w:rFonts w:hint="eastAsia" w:ascii="Times New Roman" w:hAnsi="Times New Roman" w:eastAsia="方正仿宋_GBK" w:cs="Times New Roman"/>
          <w:color w:val="auto"/>
          <w:sz w:val="31"/>
          <w:szCs w:val="31"/>
          <w:highlight w:val="none"/>
          <w:lang w:val="en-US" w:eastAsia="zh-CN"/>
        </w:rPr>
        <w:t>辆，全部为业务用车</w:t>
      </w:r>
      <w:r>
        <w:rPr>
          <w:rFonts w:hint="eastAsia" w:ascii="仿宋_GB2312" w:eastAsia="仿宋_GB2312"/>
          <w:sz w:val="32"/>
          <w:szCs w:val="32"/>
          <w:highlight w:val="none"/>
        </w:rPr>
        <w:t>；单价100万元（含）以上设备（不含车辆）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36" w:name="_Toc435"/>
      <w:bookmarkStart w:id="37" w:name="_Toc1766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预算总额805.16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实际执行总额805.16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0.47</w:t>
      </w:r>
      <w:r>
        <w:rPr>
          <w:rFonts w:hint="eastAsia" w:ascii="仿宋_GB2312" w:eastAsia="仿宋_GB2312"/>
          <w:color w:val="auto"/>
          <w:sz w:val="32"/>
          <w:szCs w:val="32"/>
          <w:highlight w:val="none"/>
          <w:lang w:eastAsia="zh-CN"/>
        </w:rPr>
        <w:t>万元。预算绩效管理取得的成效：</w:t>
      </w:r>
      <w:r>
        <w:rPr>
          <w:rFonts w:hint="eastAsia" w:ascii="Times New Roman" w:hAnsi="Times New Roman" w:eastAsia="方正仿宋_GBK" w:cs="Times New Roman"/>
          <w:color w:val="auto"/>
          <w:sz w:val="32"/>
          <w:szCs w:val="32"/>
          <w:highlight w:val="none"/>
          <w:lang w:eastAsia="zh-CN"/>
        </w:rPr>
        <w:t>本部门严格按照科学公正、统筹兼顾、激励约束、公开透明的绩效评价原则，对本部门预算执行情况、部门单位整体支出管理及使用情况、部门单位整体支出绩效指标完成情况等进行了综合评价。202</w:t>
      </w:r>
      <w:r>
        <w:rPr>
          <w:rFonts w:hint="eastAsia" w:eastAsia="方正仿宋_GBK" w:cs="Times New Roman"/>
          <w:color w:val="auto"/>
          <w:sz w:val="32"/>
          <w:szCs w:val="32"/>
          <w:highlight w:val="none"/>
          <w:lang w:val="en-US" w:eastAsia="zh-CN"/>
        </w:rPr>
        <w:t>4</w:t>
      </w:r>
      <w:r>
        <w:rPr>
          <w:rFonts w:hint="eastAsia" w:ascii="Times New Roman" w:hAnsi="Times New Roman" w:eastAsia="方正仿宋_GBK" w:cs="Times New Roman"/>
          <w:color w:val="auto"/>
          <w:sz w:val="32"/>
          <w:szCs w:val="32"/>
          <w:highlight w:val="none"/>
          <w:lang w:eastAsia="zh-CN"/>
        </w:rPr>
        <w:t>年度部门整体支出绩效自评综合得分100分，评价结果为“优”</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方正仿宋_GBK" w:cs="Times New Roman"/>
          <w:color w:val="auto"/>
          <w:sz w:val="32"/>
          <w:szCs w:val="32"/>
          <w:highlight w:val="none"/>
        </w:rPr>
      </w:pPr>
      <w:r>
        <w:rPr>
          <w:rFonts w:hint="eastAsia" w:ascii="仿宋_GB2312" w:eastAsia="仿宋_GB2312"/>
          <w:sz w:val="32"/>
          <w:szCs w:val="32"/>
          <w:highlight w:val="none"/>
          <w:lang w:eastAsia="zh-CN"/>
        </w:rPr>
        <w:t>发现的问题及原因：</w:t>
      </w:r>
      <w:r>
        <w:rPr>
          <w:rFonts w:hint="default" w:ascii="Times New Roman" w:hAnsi="Times New Roman" w:eastAsia="方正仿宋_GBK" w:cs="Times New Roman"/>
          <w:color w:val="auto"/>
          <w:sz w:val="32"/>
          <w:szCs w:val="32"/>
          <w:highlight w:val="none"/>
          <w:lang w:eastAsia="zh-CN"/>
        </w:rPr>
        <w:t>一是预算执行与年初预算编制存在较大偏差。由于财政部门与预算部门之间的职能和分工不同，财政部门掌握信息与预算单位存在不对称，财政部门难以准确掌握各预算单位的职责，对单位自编项目不能提出很好的建议，而是采用一刀切，按上年的预算数编制；二是预算绩效管理水平仍有欠缺，在202</w:t>
      </w:r>
      <w:r>
        <w:rPr>
          <w:rFonts w:hint="eastAsia"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lang w:eastAsia="zh-CN"/>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r>
        <w:rPr>
          <w:rFonts w:hint="default" w:ascii="Times New Roman" w:hAnsi="Times New Roman" w:eastAsia="方正仿宋_GBK" w:cs="Times New Roman"/>
          <w:color w:val="auto"/>
          <w:sz w:val="32"/>
          <w:szCs w:val="32"/>
          <w:highlight w:val="none"/>
          <w:lang w:val="en-US" w:eastAsia="zh-CN"/>
        </w:rPr>
        <w:t>三是固定资产管理水平有待提高，固定资产台账未及时与账面资产金额对账</w:t>
      </w:r>
      <w:r>
        <w:rPr>
          <w:rFonts w:hint="eastAsia" w:ascii="仿宋_GB2312" w:eastAsia="仿宋_GB2312"/>
          <w:sz w:val="32"/>
          <w:szCs w:val="32"/>
          <w:highlight w:val="none"/>
          <w:lang w:eastAsia="zh-CN"/>
        </w:rPr>
        <w:t>。下一步改进措施：</w:t>
      </w:r>
      <w:r>
        <w:rPr>
          <w:rFonts w:hint="default" w:ascii="Times New Roman" w:hAnsi="Times New Roman" w:eastAsia="方正仿宋_GBK" w:cs="Times New Roman"/>
          <w:color w:val="auto"/>
          <w:sz w:val="32"/>
          <w:szCs w:val="32"/>
          <w:highlight w:val="none"/>
          <w:lang w:eastAsia="zh-CN"/>
        </w:rPr>
        <w:t>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公开等相关工作，提高财政资金使用绩效；加强实物资产管理，健全资产管理制度，规范资产清查和核算。具体</w:t>
      </w:r>
      <w:r>
        <w:rPr>
          <w:rFonts w:hint="default" w:ascii="Times New Roman" w:hAnsi="Times New Roman" w:eastAsia="方正仿宋_GBK" w:cs="Times New Roman"/>
          <w:color w:val="auto"/>
          <w:sz w:val="32"/>
          <w:szCs w:val="32"/>
          <w:highlight w:val="none"/>
        </w:rPr>
        <w:t>项目自评情况附绩效自评表</w:t>
      </w:r>
      <w:r>
        <w:rPr>
          <w:rFonts w:hint="default" w:ascii="Times New Roman" w:hAnsi="Times New Roman" w:eastAsia="方正仿宋_GBK" w:cs="Times New Roman"/>
          <w:color w:val="auto"/>
          <w:sz w:val="32"/>
          <w:szCs w:val="32"/>
          <w:highlight w:val="none"/>
          <w:lang w:val="en-US" w:eastAsia="zh-CN"/>
        </w:rPr>
        <w:t>及自评报告</w:t>
      </w:r>
      <w:r>
        <w:rPr>
          <w:rFonts w:hint="default" w:ascii="Times New Roman" w:hAnsi="Times New Roman" w:eastAsia="方正仿宋_GBK"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8" w:name="_Toc30038"/>
      <w:bookmarkStart w:id="39" w:name="_Toc24143"/>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3845"/>
      <w:bookmarkStart w:id="42" w:name="_Toc6062"/>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30364"/>
      <w:bookmarkStart w:id="44" w:name="_Toc11927"/>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7443"/>
      <w:bookmarkStart w:id="46" w:name="_Toc21304"/>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14238"/>
      <w:bookmarkStart w:id="48" w:name="_Toc24884"/>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5626"/>
      <w:bookmarkStart w:id="52" w:name="_Toc20514"/>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5453"/>
      <w:bookmarkStart w:id="54" w:name="_Toc18055"/>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29106"/>
      <w:bookmarkStart w:id="57" w:name="_Toc18861"/>
      <w:bookmarkStart w:id="58" w:name="_Toc32663"/>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rPr>
          <w:rFonts w:hint="eastAsia" w:ascii="仿宋_GB2312" w:hAnsi="仿宋_GB2312" w:eastAsia="仿宋_GB2312" w:cs="仿宋_GB2312"/>
          <w:bCs/>
          <w:kern w:val="0"/>
          <w:sz w:val="32"/>
          <w:szCs w:val="32"/>
          <w:highlight w:val="none"/>
        </w:rPr>
      </w:pPr>
    </w:p>
    <w:p>
      <w:pPr>
        <w:rPr>
          <w:rFonts w:hint="eastAsia" w:ascii="仿宋_GB2312" w:hAnsi="仿宋_GB2312" w:eastAsia="仿宋_GB2312" w:cs="仿宋_GB2312"/>
          <w:bCs/>
          <w:kern w:val="0"/>
          <w:sz w:val="32"/>
          <w:szCs w:val="32"/>
          <w:highlight w:val="none"/>
        </w:rPr>
      </w:pPr>
    </w:p>
    <w:p>
      <w:pPr>
        <w:pStyle w:val="2"/>
        <w:ind w:left="0" w:leftChars="0" w:firstLine="0" w:firstLineChars="0"/>
        <w:rPr>
          <w:rFonts w:hint="eastAsia" w:ascii="仿宋_GB2312" w:hAnsi="仿宋_GB2312" w:eastAsia="仿宋_GB2312" w:cs="仿宋_GB2312"/>
          <w:bCs/>
          <w:kern w:val="0"/>
          <w:sz w:val="32"/>
          <w:szCs w:val="32"/>
          <w:highlight w:val="none"/>
        </w:rPr>
      </w:pPr>
      <w:r>
        <w:drawing>
          <wp:inline distT="0" distB="0" distL="114300" distR="114300">
            <wp:extent cx="5270500" cy="4608830"/>
            <wp:effectExtent l="0" t="0" r="635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inline>
        </w:drawing>
      </w:r>
    </w:p>
    <w:p>
      <w:pPr>
        <w:rPr>
          <w:rFonts w:hint="eastAsia"/>
          <w:lang w:val="en-US" w:eastAsia="zh-CN"/>
        </w:rPr>
      </w:pPr>
      <w:r>
        <w:rPr>
          <w:rFonts w:hint="eastAsia"/>
          <w:lang w:val="en-US" w:eastAsia="zh-CN"/>
        </w:rPr>
        <w:t xml:space="preserve">      </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default"/>
          <w:lang w:val="en-US" w:eastAsia="zh-CN"/>
        </w:rPr>
      </w:pPr>
    </w:p>
    <w:p>
      <w:pPr>
        <w:pStyle w:val="2"/>
        <w:rPr>
          <w:rFonts w:hint="eastAsia"/>
          <w:lang w:val="en-US" w:eastAsia="zh-CN"/>
        </w:rPr>
      </w:pPr>
      <w:r>
        <w:rPr>
          <w:rFonts w:hint="eastAsia"/>
          <w:lang w:val="en-US" w:eastAsia="zh-CN"/>
        </w:rPr>
        <w:t xml:space="preserve">    </w:t>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r>
        <w:drawing>
          <wp:inline distT="0" distB="0" distL="114300" distR="114300">
            <wp:extent cx="5267325" cy="284797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7325" cy="2847975"/>
                    </a:xfrm>
                    <a:prstGeom prst="rect">
                      <a:avLst/>
                    </a:prstGeom>
                    <a:noFill/>
                    <a:ln>
                      <a:noFill/>
                    </a:ln>
                  </pic:spPr>
                </pic:pic>
              </a:graphicData>
            </a:graphic>
          </wp:inline>
        </w:drawing>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r>
        <w:rPr>
          <w:rFonts w:hint="eastAsia"/>
          <w:lang w:val="en-US" w:eastAsia="zh-CN"/>
        </w:rPr>
        <w:t xml:space="preserve"> </w:t>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p>
    <w:p>
      <w:pPr>
        <w:rPr>
          <w:rFonts w:hint="eastAsia"/>
          <w:lang w:val="en-US" w:eastAsia="zh-CN"/>
        </w:rPr>
      </w:pPr>
      <w:r>
        <w:drawing>
          <wp:inline distT="0" distB="0" distL="114300" distR="114300">
            <wp:extent cx="5264785" cy="3445510"/>
            <wp:effectExtent l="0" t="0" r="12065"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264785" cy="3445510"/>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r>
        <w:rPr>
          <w:rFonts w:hint="eastAsia"/>
          <w:lang w:val="en-US" w:eastAsia="zh-CN"/>
        </w:rPr>
        <w:t xml:space="preserve"> </w:t>
      </w: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r>
        <w:drawing>
          <wp:inline distT="0" distB="0" distL="114300" distR="114300">
            <wp:extent cx="5266055" cy="3611880"/>
            <wp:effectExtent l="0" t="0" r="10795"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266055" cy="3611880"/>
                    </a:xfrm>
                    <a:prstGeom prst="rect">
                      <a:avLst/>
                    </a:prstGeom>
                    <a:noFill/>
                    <a:ln>
                      <a:noFill/>
                    </a:ln>
                  </pic:spPr>
                </pic:pic>
              </a:graphicData>
            </a:graphic>
          </wp:inline>
        </w:drawing>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p>
    <w:p>
      <w:pPr>
        <w:rPr>
          <w:rFonts w:hint="eastAsia"/>
          <w:lang w:val="en-US" w:eastAsia="zh-CN"/>
        </w:rPr>
      </w:pPr>
      <w:r>
        <w:drawing>
          <wp:inline distT="0" distB="0" distL="114300" distR="114300">
            <wp:extent cx="5266055" cy="4328795"/>
            <wp:effectExtent l="0" t="0" r="10795" b="1460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5266055" cy="432879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r>
        <w:rPr>
          <w:rFonts w:hint="eastAsia"/>
          <w:lang w:val="en-US" w:eastAsia="zh-CN"/>
        </w:rPr>
        <w:t xml:space="preserve"> </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r>
        <w:rPr>
          <w:rFonts w:hint="eastAsia"/>
          <w:lang w:val="en-US" w:eastAsia="zh-CN"/>
        </w:rPr>
        <w:t xml:space="preserve"> </w:t>
      </w:r>
    </w:p>
    <w:p>
      <w:pPr>
        <w:rPr>
          <w:rFonts w:hint="eastAsia"/>
          <w:lang w:val="en-US" w:eastAsia="zh-CN"/>
        </w:rPr>
      </w:pPr>
      <w:r>
        <w:drawing>
          <wp:inline distT="0" distB="0" distL="114300" distR="114300">
            <wp:extent cx="5271135" cy="4545965"/>
            <wp:effectExtent l="0" t="0" r="5715" b="698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271135" cy="454596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p>
    <w:p>
      <w:pPr>
        <w:rPr>
          <w:rFonts w:hint="eastAsia"/>
          <w:lang w:val="en-US" w:eastAsia="zh-CN"/>
        </w:rPr>
      </w:pPr>
      <w:r>
        <w:drawing>
          <wp:inline distT="0" distB="0" distL="114300" distR="114300">
            <wp:extent cx="5271770" cy="1612900"/>
            <wp:effectExtent l="0" t="0" r="5080"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5271770" cy="1612900"/>
                    </a:xfrm>
                    <a:prstGeom prst="rect">
                      <a:avLst/>
                    </a:prstGeom>
                    <a:noFill/>
                    <a:ln>
                      <a:noFill/>
                    </a:ln>
                  </pic:spPr>
                </pic:pic>
              </a:graphicData>
            </a:graphic>
          </wp:inline>
        </w:drawing>
      </w:r>
    </w:p>
    <w:p>
      <w:pPr>
        <w:pStyle w:val="2"/>
        <w:ind w:left="0" w:leftChars="0" w:firstLine="0" w:firstLineChars="0"/>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r>
        <w:rPr>
          <w:rFonts w:hint="eastAsia"/>
          <w:lang w:val="en-US" w:eastAsia="zh-CN"/>
        </w:rPr>
        <w:t xml:space="preserve"> </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p>
    <w:p>
      <w:pPr>
        <w:rPr>
          <w:rFonts w:hint="eastAsia"/>
          <w:lang w:val="en-US" w:eastAsia="zh-CN"/>
        </w:rPr>
      </w:pPr>
      <w:r>
        <w:drawing>
          <wp:inline distT="0" distB="0" distL="114300" distR="114300">
            <wp:extent cx="5266690" cy="1633855"/>
            <wp:effectExtent l="0" t="0" r="10160" b="444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5266690" cy="163385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ind w:left="0" w:leftChars="0" w:firstLine="0" w:firstLineChars="0"/>
        <w:rPr>
          <w:rFonts w:hint="eastAsia"/>
          <w:lang w:val="en-US" w:eastAsia="zh-CN"/>
        </w:rPr>
      </w:pPr>
    </w:p>
    <w:p>
      <w:pPr>
        <w:pStyle w:val="2"/>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r>
        <w:drawing>
          <wp:inline distT="0" distB="0" distL="114300" distR="114300">
            <wp:extent cx="5260340" cy="837565"/>
            <wp:effectExtent l="0" t="0" r="16510" b="63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5260340" cy="837565"/>
                    </a:xfrm>
                    <a:prstGeom prst="rect">
                      <a:avLst/>
                    </a:prstGeom>
                    <a:noFill/>
                    <a:ln>
                      <a:noFill/>
                    </a:ln>
                  </pic:spPr>
                </pic:pic>
              </a:graphicData>
            </a:graphic>
          </wp:inline>
        </w:drawing>
      </w:r>
      <w:bookmarkStart w:id="59" w:name="_GoBack"/>
      <w:bookmarkEnd w:id="59"/>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9D5A72-0D5E-4495-9FCB-4EB87816D6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5AC6DADC-6FC4-43E7-9C7E-F60B5BB73067}"/>
  </w:font>
  <w:font w:name="方正小标宋_GBK">
    <w:panose1 w:val="03000509000000000000"/>
    <w:charset w:val="86"/>
    <w:family w:val="script"/>
    <w:pitch w:val="default"/>
    <w:sig w:usb0="00000001" w:usb1="080E0000" w:usb2="00000000" w:usb3="00000000" w:csb0="00040000" w:csb1="00000000"/>
    <w:embedRegular r:id="rId3" w:fontKey="{0C38E4E3-1196-413A-9463-E15F03845444}"/>
  </w:font>
  <w:font w:name="方正仿宋_GBK">
    <w:panose1 w:val="03000509000000000000"/>
    <w:charset w:val="86"/>
    <w:family w:val="script"/>
    <w:pitch w:val="default"/>
    <w:sig w:usb0="00000001" w:usb1="080E0000" w:usb2="00000000" w:usb3="00000000" w:csb0="00040000" w:csb1="00000000"/>
    <w:embedRegular r:id="rId4" w:fontKey="{484634CB-A2CC-4352-B434-0DAF450FE5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EC823"/>
    <w:multiLevelType w:val="singleLevel"/>
    <w:tmpl w:val="8B8EC82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B37C33"/>
    <w:rsid w:val="02480214"/>
    <w:rsid w:val="0289599C"/>
    <w:rsid w:val="02F73D26"/>
    <w:rsid w:val="03335738"/>
    <w:rsid w:val="034D4FEF"/>
    <w:rsid w:val="03DE0026"/>
    <w:rsid w:val="043E5B56"/>
    <w:rsid w:val="043F36CD"/>
    <w:rsid w:val="059A2F8C"/>
    <w:rsid w:val="0649590A"/>
    <w:rsid w:val="06792773"/>
    <w:rsid w:val="07F367B9"/>
    <w:rsid w:val="09A729D8"/>
    <w:rsid w:val="0A7B4867"/>
    <w:rsid w:val="0A83334D"/>
    <w:rsid w:val="0B664ACE"/>
    <w:rsid w:val="0B8C3ECC"/>
    <w:rsid w:val="0BA54E0E"/>
    <w:rsid w:val="0C130F17"/>
    <w:rsid w:val="0C3613A3"/>
    <w:rsid w:val="0C7227A7"/>
    <w:rsid w:val="0DCA6EF7"/>
    <w:rsid w:val="0E4B1576"/>
    <w:rsid w:val="11C23B36"/>
    <w:rsid w:val="11E15093"/>
    <w:rsid w:val="11E73B49"/>
    <w:rsid w:val="11F50E20"/>
    <w:rsid w:val="120E0809"/>
    <w:rsid w:val="1323341E"/>
    <w:rsid w:val="14786CB3"/>
    <w:rsid w:val="1491449F"/>
    <w:rsid w:val="15154563"/>
    <w:rsid w:val="16BA278C"/>
    <w:rsid w:val="179A070D"/>
    <w:rsid w:val="179E1A96"/>
    <w:rsid w:val="1875698D"/>
    <w:rsid w:val="19071D6C"/>
    <w:rsid w:val="19197960"/>
    <w:rsid w:val="1A321764"/>
    <w:rsid w:val="1AA05C7B"/>
    <w:rsid w:val="1B8E443E"/>
    <w:rsid w:val="1C2D5E43"/>
    <w:rsid w:val="1C317E4F"/>
    <w:rsid w:val="1C472464"/>
    <w:rsid w:val="1C555867"/>
    <w:rsid w:val="1DAF458D"/>
    <w:rsid w:val="1E086ACE"/>
    <w:rsid w:val="1EAA4A5F"/>
    <w:rsid w:val="1F587A0B"/>
    <w:rsid w:val="1F5E68A4"/>
    <w:rsid w:val="1FB57D60"/>
    <w:rsid w:val="2064678E"/>
    <w:rsid w:val="20DD6197"/>
    <w:rsid w:val="212167D5"/>
    <w:rsid w:val="213C4CB1"/>
    <w:rsid w:val="21F317F2"/>
    <w:rsid w:val="2241392C"/>
    <w:rsid w:val="23BC04D2"/>
    <w:rsid w:val="25275618"/>
    <w:rsid w:val="25392A2A"/>
    <w:rsid w:val="27CF2642"/>
    <w:rsid w:val="282459E2"/>
    <w:rsid w:val="28C81D05"/>
    <w:rsid w:val="29C95B3B"/>
    <w:rsid w:val="29EE5EB3"/>
    <w:rsid w:val="2A053397"/>
    <w:rsid w:val="2A444FB1"/>
    <w:rsid w:val="2A4F45F3"/>
    <w:rsid w:val="2A6064E2"/>
    <w:rsid w:val="2A9F5B28"/>
    <w:rsid w:val="2BA9200B"/>
    <w:rsid w:val="2D1136DF"/>
    <w:rsid w:val="2DAE0E44"/>
    <w:rsid w:val="2EB66F80"/>
    <w:rsid w:val="2FB73347"/>
    <w:rsid w:val="2FD27414"/>
    <w:rsid w:val="304459A3"/>
    <w:rsid w:val="313F1D52"/>
    <w:rsid w:val="317E1DA7"/>
    <w:rsid w:val="318029AB"/>
    <w:rsid w:val="31AC49EB"/>
    <w:rsid w:val="31C63837"/>
    <w:rsid w:val="31DA3A8E"/>
    <w:rsid w:val="326F0A17"/>
    <w:rsid w:val="38213044"/>
    <w:rsid w:val="3914510A"/>
    <w:rsid w:val="3B1220C9"/>
    <w:rsid w:val="3BEA37BB"/>
    <w:rsid w:val="3CE6576A"/>
    <w:rsid w:val="3D067014"/>
    <w:rsid w:val="3D5275AC"/>
    <w:rsid w:val="3D5F228F"/>
    <w:rsid w:val="3E4F7968"/>
    <w:rsid w:val="3EA7725F"/>
    <w:rsid w:val="3ED453F3"/>
    <w:rsid w:val="40834692"/>
    <w:rsid w:val="40FC7F33"/>
    <w:rsid w:val="423A32B2"/>
    <w:rsid w:val="43006845"/>
    <w:rsid w:val="43871636"/>
    <w:rsid w:val="43FA0650"/>
    <w:rsid w:val="44513EBA"/>
    <w:rsid w:val="464B7E04"/>
    <w:rsid w:val="46901EEE"/>
    <w:rsid w:val="469C74D2"/>
    <w:rsid w:val="46F34BDE"/>
    <w:rsid w:val="47445515"/>
    <w:rsid w:val="47E436D7"/>
    <w:rsid w:val="4B3E3D09"/>
    <w:rsid w:val="4B4C0111"/>
    <w:rsid w:val="4BCD4C5D"/>
    <w:rsid w:val="4C2720AC"/>
    <w:rsid w:val="4C691723"/>
    <w:rsid w:val="4D730311"/>
    <w:rsid w:val="50190E45"/>
    <w:rsid w:val="50DB5F45"/>
    <w:rsid w:val="52A37C98"/>
    <w:rsid w:val="52B523D0"/>
    <w:rsid w:val="52F92565"/>
    <w:rsid w:val="5598311E"/>
    <w:rsid w:val="55DA564E"/>
    <w:rsid w:val="56426985"/>
    <w:rsid w:val="56E07045"/>
    <w:rsid w:val="57E20D73"/>
    <w:rsid w:val="583059FA"/>
    <w:rsid w:val="587E6212"/>
    <w:rsid w:val="5A190284"/>
    <w:rsid w:val="5AFC6609"/>
    <w:rsid w:val="5D7F7AB2"/>
    <w:rsid w:val="5EEA10A2"/>
    <w:rsid w:val="5FA17648"/>
    <w:rsid w:val="601723B2"/>
    <w:rsid w:val="613409CB"/>
    <w:rsid w:val="61A46A97"/>
    <w:rsid w:val="62884EE5"/>
    <w:rsid w:val="62DD7D21"/>
    <w:rsid w:val="64B66248"/>
    <w:rsid w:val="65D97752"/>
    <w:rsid w:val="664C500C"/>
    <w:rsid w:val="6773145F"/>
    <w:rsid w:val="68DB0208"/>
    <w:rsid w:val="696F5966"/>
    <w:rsid w:val="6975564F"/>
    <w:rsid w:val="69846A0E"/>
    <w:rsid w:val="69A40D3A"/>
    <w:rsid w:val="69AD798C"/>
    <w:rsid w:val="6A8B4333"/>
    <w:rsid w:val="6B68175F"/>
    <w:rsid w:val="6B8B5C99"/>
    <w:rsid w:val="6D6F1E6C"/>
    <w:rsid w:val="6E0F7A08"/>
    <w:rsid w:val="6E801ABC"/>
    <w:rsid w:val="6F9F7764"/>
    <w:rsid w:val="6FD34C35"/>
    <w:rsid w:val="70520FC6"/>
    <w:rsid w:val="71195D8B"/>
    <w:rsid w:val="71473612"/>
    <w:rsid w:val="718F7F65"/>
    <w:rsid w:val="732D6B2E"/>
    <w:rsid w:val="73423603"/>
    <w:rsid w:val="73DE4104"/>
    <w:rsid w:val="73FB6630"/>
    <w:rsid w:val="74CE04EC"/>
    <w:rsid w:val="74E76DCD"/>
    <w:rsid w:val="76660D7C"/>
    <w:rsid w:val="76B77AFC"/>
    <w:rsid w:val="77CB0609"/>
    <w:rsid w:val="77ED6F44"/>
    <w:rsid w:val="785D1848"/>
    <w:rsid w:val="795A0A34"/>
    <w:rsid w:val="79FB30B5"/>
    <w:rsid w:val="7A0D3BC7"/>
    <w:rsid w:val="7A3A3CDB"/>
    <w:rsid w:val="7B046C53"/>
    <w:rsid w:val="7BC858F4"/>
    <w:rsid w:val="7BF7237C"/>
    <w:rsid w:val="7E071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14</TotalTime>
  <ScaleCrop>false</ScaleCrop>
  <LinksUpToDate>false</LinksUpToDate>
  <CharactersWithSpaces>6606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2025-08-19T12:18:28Z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