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color w:val="auto"/>
          <w:sz w:val="44"/>
          <w:szCs w:val="44"/>
          <w:highlight w:val="none"/>
          <w:lang w:val="en-US" w:eastAsia="zh-CN"/>
        </w:rPr>
      </w:pPr>
      <w:r>
        <w:rPr>
          <w:rFonts w:hint="eastAsia" w:ascii="方正小标宋_GBK" w:hAnsi="宋体" w:eastAsia="方正小标宋_GBK" w:cs="Times New Roman"/>
          <w:color w:val="auto"/>
          <w:sz w:val="44"/>
          <w:szCs w:val="44"/>
          <w:highlight w:val="none"/>
          <w:lang w:val="en-US" w:eastAsia="zh-CN"/>
        </w:rPr>
        <w:t>中共库尔勒市委员会政法委员会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2024年度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bookmarkStart w:id="0" w:name="_Toc24028"/>
      <w:bookmarkStart w:id="1" w:name="_Toc31918"/>
      <w:r>
        <w:rPr>
          <w:rFonts w:hint="eastAsia" w:ascii="黑体" w:hAnsi="黑体" w:eastAsia="黑体"/>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2898"/>
      <w:bookmarkStart w:id="3" w:name="_Toc30738"/>
      <w:r>
        <w:rPr>
          <w:rFonts w:hint="eastAsia" w:ascii="黑体" w:hAnsi="黑体" w:eastAsia="黑体" w:cs="宋体"/>
          <w:bCs/>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bookmarkStart w:id="4" w:name="_Toc31238"/>
      <w:bookmarkStart w:id="5" w:name="_Toc1387"/>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一）在市党委统一领导下，深入贯彻习近平新时代中国特色社会主义思想，坚决执行党的路线方针政策和决策部署，统一政法单位思想和行动，坚持党对政法工作的绝对领导，坚决维护党中央权威和集中统一领导。</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二）贯彻党中央决定和自治区、自治州及市党委工作要求，深入研究政法工作，提出全局性工作部署，推进平安库尔勒、法治库尔勒建设，深化智能化建设。坚决维护国家政治安全、确保社会大局稳定、促进社会公平正义、保障人民安居乐业。</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三）了解掌握和分析研判社会稳定形势、政法工作情况动态，创新完善多部门参与的综治维稳和平安建设工作机制，协调推动预防、化解影响稳定的社会矛盾和风险，协调应对和妥善处置重大突发事件，协调指导政法单位和相关部门做好反邪教、反暴恐及重点群体教育转化、流动人口服务管理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（四）加强对政法工作的督查，统筹协调社会治安综合治理、维护社会稳定、反邪教等有关政策和国家法律法规的实施工作。分析研判维稳情况和信息，向市党委提供决策依据。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（五）组织开展政法领域调查研究，研究拟定政法工作方针政策和重大措施，总结新经验、解决新问题，探索新形势下加强政法工作的新思路、新举措，及时向市党委提出建议。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（六）掌握分析政法舆情动态，指导和协调政法单位媒体网络宣传和重大宣传工作。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（七）支持和监督政法单位依法行使职权，指导和协调政法单位密切配合，协调和推动重大、疑难案件，推进严格执法、公正司法。</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（八）组织研究政法改革中带有方向性、倾向性和普遍性重大问题，深化政法改革。</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(九）指导推动政法单位党的建设和政法队伍建设，代管库尔勒市法学会工作。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pPr>
      <w:r>
        <w:rPr>
          <w:rFonts w:hint="default" w:ascii="Times New Roman" w:hAnsi="Times New Roman" w:eastAsia="方正仿宋_GBK" w:cs="Times New Roman"/>
          <w:color w:val="000000" w:themeColor="text1"/>
          <w:spacing w:val="0"/>
          <w:sz w:val="31"/>
          <w:szCs w:val="31"/>
          <w:highlight w:val="none"/>
          <w14:textFill>
            <w14:solidFill>
              <w14:schemeClr w14:val="tx1"/>
            </w14:solidFill>
          </w14:textFill>
        </w:rPr>
        <w:t>（十）完成市党委交办的其他任务。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20" w:firstLineChars="200"/>
        <w:jc w:val="both"/>
        <w:textAlignment w:val="auto"/>
        <w:rPr>
          <w:rFonts w:hint="eastAsia" w:ascii="仿宋_GB2312" w:eastAsia="仿宋_GB2312"/>
          <w:sz w:val="32"/>
          <w:szCs w:val="32"/>
          <w:highlight w:val="none"/>
        </w:rPr>
      </w:pP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新疆巴州中共库尔勒市委员会政法委员会</w:t>
      </w: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实有人数</w:t>
      </w:r>
      <w:r>
        <w:rPr>
          <w:rFonts w:hint="eastAsia" w:ascii="仿宋_GB2312" w:eastAsia="仿宋_GB2312"/>
          <w:sz w:val="32"/>
          <w:szCs w:val="32"/>
          <w:highlight w:val="none"/>
          <w:lang w:val="en-US" w:eastAsia="zh-CN"/>
        </w:rPr>
        <w:t>47</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en-US" w:eastAsia="zh-CN"/>
        </w:rPr>
        <w:t>38</w:t>
      </w:r>
      <w:r>
        <w:rPr>
          <w:rFonts w:hint="eastAsia" w:ascii="仿宋_GB2312" w:eastAsia="仿宋_GB2312"/>
          <w:sz w:val="32"/>
          <w:szCs w:val="32"/>
          <w:highlight w:val="none"/>
        </w:rPr>
        <w:t>人</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w:t>
      </w:r>
      <w:r>
        <w:rPr>
          <w:rFonts w:hint="eastAsia" w:ascii="仿宋_GB2312" w:eastAsia="仿宋_GB2312"/>
          <w:sz w:val="32"/>
          <w:szCs w:val="32"/>
          <w:highlight w:val="none"/>
        </w:rPr>
        <w:t>离休人员</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人，</w:t>
      </w:r>
      <w:r>
        <w:rPr>
          <w:rFonts w:hint="eastAsia" w:ascii="仿宋_GB2312" w:eastAsia="仿宋_GB2312"/>
          <w:sz w:val="32"/>
          <w:szCs w:val="32"/>
          <w:highlight w:val="none"/>
          <w:lang w:val="en-US" w:eastAsia="zh-CN"/>
        </w:rPr>
        <w:t>较上年无变化</w:t>
      </w:r>
      <w:r>
        <w:rPr>
          <w:rFonts w:hint="eastAsia" w:ascii="仿宋_GB2312" w:hAnsi="宋体" w:eastAsia="仿宋_GB2312" w:cs="宋体"/>
          <w:color w:val="auto"/>
          <w:kern w:val="0"/>
          <w:sz w:val="32"/>
          <w:szCs w:val="32"/>
          <w:highlight w:val="none"/>
        </w:rPr>
        <w:t>；</w:t>
      </w:r>
      <w:r>
        <w:rPr>
          <w:rFonts w:hint="eastAsia" w:ascii="仿宋_GB2312" w:eastAsia="仿宋_GB2312"/>
          <w:sz w:val="32"/>
          <w:szCs w:val="32"/>
          <w:highlight w:val="none"/>
        </w:rPr>
        <w:t>退休人员</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较上年无变化</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从</w:t>
      </w:r>
      <w:r>
        <w:rPr>
          <w:rFonts w:hint="eastAsia" w:ascii="仿宋_GB2312" w:eastAsia="仿宋_GB2312"/>
          <w:sz w:val="32"/>
          <w:szCs w:val="32"/>
          <w:highlight w:val="none"/>
          <w:lang w:eastAsia="zh-CN"/>
        </w:rPr>
        <w:t>部门</w:t>
      </w:r>
      <w:r>
        <w:rPr>
          <w:rFonts w:hint="eastAsia" w:ascii="仿宋_GB2312" w:eastAsia="仿宋_GB2312"/>
          <w:sz w:val="32"/>
          <w:szCs w:val="32"/>
          <w:highlight w:val="none"/>
        </w:rPr>
        <w:t>决算单位构成看，</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中共库尔勒市委员会政法委员会</w:t>
      </w:r>
      <w:r>
        <w:rPr>
          <w:rFonts w:hint="eastAsia" w:ascii="仿宋_GB2312" w:eastAsia="仿宋_GB2312"/>
          <w:sz w:val="32"/>
          <w:szCs w:val="32"/>
          <w:highlight w:val="none"/>
        </w:rPr>
        <w:t>部门决算包括：</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中共库尔勒市委员会政法委员会</w:t>
      </w:r>
      <w:r>
        <w:rPr>
          <w:rFonts w:hint="eastAsia" w:ascii="仿宋_GB2312" w:eastAsia="仿宋_GB2312"/>
          <w:sz w:val="32"/>
          <w:szCs w:val="32"/>
          <w:highlight w:val="none"/>
        </w:rPr>
        <w:t>本级决算</w:t>
      </w:r>
      <w:r>
        <w:rPr>
          <w:rFonts w:hint="eastAsia" w:ascii="仿宋_GB2312" w:eastAsia="仿宋_GB2312"/>
          <w:sz w:val="32"/>
          <w:szCs w:val="32"/>
          <w:highlight w:val="none"/>
          <w:lang w:eastAsia="zh-CN"/>
        </w:rPr>
        <w:t>及</w:t>
      </w:r>
      <w:r>
        <w:rPr>
          <w:rFonts w:hint="eastAsia" w:ascii="仿宋_GB2312" w:eastAsia="仿宋_GB2312"/>
          <w:sz w:val="32"/>
          <w:szCs w:val="32"/>
          <w:highlight w:val="none"/>
        </w:rPr>
        <w:t>所属单位决算。</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eastAsia" w:ascii="仿宋_GB2312" w:hAnsi="宋体" w:eastAsia="仿宋_GB2312" w:cs="宋体"/>
          <w:kern w:val="0"/>
          <w:sz w:val="32"/>
          <w:szCs w:val="32"/>
          <w:highlight w:val="none"/>
        </w:rPr>
      </w:pP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中共库尔勒市委员会政法委员会</w:t>
      </w:r>
      <w:r>
        <w:rPr>
          <w:rFonts w:hint="eastAsia" w:ascii="仿宋_GB2312" w:hAnsi="宋体" w:eastAsia="仿宋_GB2312" w:cs="宋体"/>
          <w:kern w:val="0"/>
          <w:sz w:val="32"/>
          <w:szCs w:val="32"/>
          <w:highlight w:val="none"/>
        </w:rPr>
        <w:t>本级</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7</w:t>
      </w:r>
      <w:r>
        <w:rPr>
          <w:rFonts w:hint="eastAsia" w:ascii="仿宋_GB2312" w:hAnsi="黑体" w:eastAsia="仿宋_GB2312" w:cs="宋体"/>
          <w:bCs/>
          <w:kern w:val="0"/>
          <w:sz w:val="32"/>
          <w:szCs w:val="32"/>
          <w:highlight w:val="none"/>
        </w:rPr>
        <w:t>个</w:t>
      </w:r>
      <w:r>
        <w:rPr>
          <w:rFonts w:hint="eastAsia" w:ascii="仿宋_GB2312" w:hAnsi="黑体" w:eastAsia="仿宋_GB2312" w:cs="宋体"/>
          <w:bCs/>
          <w:color w:val="auto"/>
          <w:kern w:val="0"/>
          <w:sz w:val="32"/>
          <w:szCs w:val="32"/>
          <w:highlight w:val="none"/>
        </w:rPr>
        <w:t>处室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科室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kern w:val="0"/>
          <w:sz w:val="32"/>
          <w:szCs w:val="32"/>
          <w:highlight w:val="none"/>
        </w:rPr>
        <w:t>，分别是：</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分别是：</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办公室、政工执法监督室、法宣信息研究室、维稳指导室、综治指导室、综治中心、指挥中心</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both"/>
        <w:textAlignment w:val="auto"/>
        <w:outlineLvl w:val="9"/>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pP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纳入</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新疆巴州中共库尔勒市委员会政法委员会</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2024年度部门决算编制范围的下属预算单位包括：</w:t>
      </w:r>
      <w:r>
        <w:rPr>
          <w:rFonts w:hint="default"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库尔勒市</w:t>
      </w:r>
      <w:r>
        <w:rPr>
          <w:rFonts w:hint="eastAsia" w:ascii="Times New Roman" w:hAnsi="Times New Roman" w:eastAsia="方正仿宋_GBK" w:cs="Times New Roman"/>
          <w:color w:val="000000" w:themeColor="text1"/>
          <w:spacing w:val="0"/>
          <w:sz w:val="31"/>
          <w:szCs w:val="31"/>
          <w:highlight w:val="none"/>
          <w:lang w:val="en-US" w:eastAsia="zh-CN"/>
          <w14:textFill>
            <w14:solidFill>
              <w14:schemeClr w14:val="tx1"/>
            </w14:solidFill>
          </w14:textFill>
        </w:rPr>
        <w:t>群众工作服务中心。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eastAsia="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6" w:name="_Toc3092"/>
      <w:bookmarkStart w:id="7" w:name="_Toc7559"/>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12566"/>
      <w:bookmarkStart w:id="9" w:name="_Toc6321"/>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z w:val="32"/>
          <w:szCs w:val="32"/>
          <w:highlight w:val="none"/>
          <w:lang w:val="en-US" w:eastAsia="zh-CN"/>
        </w:rPr>
        <w:t>1677.66</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其中：本年收入合计1677.66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，使用非财政拨款结余（含专用结余）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，年初结转和结余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支出</w:t>
      </w:r>
      <w:r>
        <w:rPr>
          <w:rFonts w:hint="eastAsia" w:ascii="仿宋_GB2312" w:eastAsia="仿宋_GB2312"/>
          <w:b/>
          <w:bCs/>
          <w:sz w:val="32"/>
          <w:szCs w:val="32"/>
          <w:highlight w:val="none"/>
          <w:lang w:val="en-US" w:eastAsia="zh-CN"/>
        </w:rPr>
        <w:t>总计1677.66</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其中：本年支出合计1677.66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结余分配0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，年末结转和结余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77.03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4.39</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color w:val="auto"/>
          <w:sz w:val="32"/>
          <w:szCs w:val="32"/>
          <w:highlight w:val="none"/>
        </w:rPr>
        <w:t>由于矛调中心建设经费及国家安全主题宣教馆建设经费本年度都未进行支出安排，导致本年度决算支出较往年减少。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10" w:name="_Toc6311"/>
      <w:bookmarkStart w:id="11"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本年收入</w:t>
      </w:r>
      <w:r>
        <w:rPr>
          <w:rFonts w:hint="eastAsia" w:ascii="仿宋_GB2312" w:eastAsia="仿宋_GB2312"/>
          <w:b/>
          <w:bCs/>
          <w:sz w:val="32"/>
          <w:szCs w:val="32"/>
          <w:highlight w:val="none"/>
          <w:lang w:val="en-US" w:eastAsia="zh-CN"/>
        </w:rPr>
        <w:t>1677.66</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其中：财政拨款收入</w:t>
      </w:r>
      <w:r>
        <w:rPr>
          <w:rFonts w:hint="eastAsia" w:ascii="仿宋_GB2312" w:eastAsia="仿宋_GB2312"/>
          <w:sz w:val="32"/>
          <w:szCs w:val="32"/>
          <w:highlight w:val="none"/>
          <w:lang w:val="en-US" w:eastAsia="zh-CN"/>
        </w:rPr>
        <w:t>1677.66</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%；事业收入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%；经营收入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%；其他收入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20629"/>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本年支出</w:t>
      </w:r>
      <w:r>
        <w:rPr>
          <w:rFonts w:hint="eastAsia" w:ascii="仿宋_GB2312" w:eastAsia="仿宋_GB2312"/>
          <w:b/>
          <w:bCs/>
          <w:sz w:val="32"/>
          <w:szCs w:val="32"/>
          <w:highlight w:val="none"/>
          <w:lang w:val="en-US" w:eastAsia="zh-CN"/>
        </w:rPr>
        <w:t>1677.66</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其中：基本支出</w:t>
      </w:r>
      <w:r>
        <w:rPr>
          <w:rFonts w:hint="eastAsia" w:ascii="仿宋_GB2312" w:eastAsia="仿宋_GB2312"/>
          <w:sz w:val="32"/>
          <w:szCs w:val="32"/>
          <w:highlight w:val="none"/>
          <w:lang w:val="en-US" w:eastAsia="zh-CN"/>
        </w:rPr>
        <w:t>989.88</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59</w:t>
      </w:r>
      <w:r>
        <w:rPr>
          <w:rFonts w:hint="eastAsia" w:ascii="仿宋_GB2312" w:eastAsia="仿宋_GB2312"/>
          <w:sz w:val="32"/>
          <w:szCs w:val="32"/>
          <w:highlight w:val="none"/>
        </w:rPr>
        <w:t>%；项目支出</w:t>
      </w:r>
      <w:r>
        <w:rPr>
          <w:rFonts w:hint="eastAsia" w:ascii="仿宋_GB2312" w:eastAsia="仿宋_GB2312"/>
          <w:sz w:val="32"/>
          <w:szCs w:val="32"/>
          <w:highlight w:val="none"/>
          <w:lang w:val="en-US" w:eastAsia="zh-CN"/>
        </w:rPr>
        <w:t>687.78</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41</w:t>
      </w:r>
      <w:r>
        <w:rPr>
          <w:rFonts w:hint="eastAsia" w:ascii="仿宋_GB2312" w:eastAsia="仿宋_GB2312"/>
          <w:sz w:val="32"/>
          <w:szCs w:val="32"/>
          <w:highlight w:val="none"/>
        </w:rPr>
        <w:t>%；上缴上级支出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%；经营支出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%；对附属单位补助支出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7371"/>
      <w:bookmarkStart w:id="15" w:name="_Toc4393"/>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财政拨款收入</w:t>
      </w:r>
      <w:r>
        <w:rPr>
          <w:rFonts w:hint="eastAsia" w:ascii="仿宋_GB2312" w:eastAsia="仿宋_GB2312"/>
          <w:b/>
          <w:bCs/>
          <w:sz w:val="32"/>
          <w:szCs w:val="32"/>
          <w:highlight w:val="none"/>
          <w:lang w:val="en-US" w:eastAsia="zh-CN"/>
        </w:rPr>
        <w:t>总计1677.66</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其中：年初财政拨款结转和结余0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本年财政拨款收入1677.66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财政拨款支出</w:t>
      </w:r>
      <w:r>
        <w:rPr>
          <w:rFonts w:hint="eastAsia" w:ascii="仿宋_GB2312" w:eastAsia="仿宋_GB2312"/>
          <w:b/>
          <w:bCs/>
          <w:sz w:val="32"/>
          <w:szCs w:val="32"/>
          <w:highlight w:val="none"/>
          <w:lang w:val="en-US" w:eastAsia="zh-CN"/>
        </w:rPr>
        <w:t>总计1677.66</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其中：年末财政拨款结转和结余0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本年财政拨款支出1677.66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仿宋_GB2312" w:eastAsia="仿宋_GB2312"/>
          <w:color w:val="auto"/>
          <w:sz w:val="32"/>
          <w:szCs w:val="32"/>
          <w:highlight w:val="red"/>
          <w:lang w:val="en-US"/>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77.03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4.39</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color w:val="auto"/>
          <w:sz w:val="32"/>
          <w:szCs w:val="32"/>
          <w:highlight w:val="none"/>
        </w:rPr>
        <w:t>由于矛调中心建设经费及国家安全主题宣教馆建设经费本年度都未进行支出安排，导致本年度决算支出较往年减少。</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1498.37</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1677.66</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11.97</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en-US" w:eastAsia="zh-CN"/>
        </w:rPr>
        <w:t>厉行节约、压缩经费支出</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6" w:name="_Toc18905"/>
      <w:bookmarkStart w:id="17" w:name="_Toc13833"/>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8" w:name="_Toc1165"/>
      <w:r>
        <w:rPr>
          <w:rFonts w:hint="eastAsia" w:ascii="黑体" w:hAnsi="黑体" w:eastAsia="黑体"/>
          <w:sz w:val="32"/>
          <w:szCs w:val="32"/>
          <w:highlight w:val="none"/>
          <w:lang w:eastAsia="zh-CN"/>
        </w:rPr>
        <w:t>（一）一般公共预算财政拨款支出决算总体情况</w:t>
      </w:r>
      <w:bookmarkEnd w:id="18"/>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pacing w:val="0"/>
          <w:sz w:val="32"/>
          <w:szCs w:val="32"/>
          <w:highlight w:val="none"/>
        </w:rPr>
      </w:pPr>
      <w:r>
        <w:rPr>
          <w:rFonts w:hint="eastAsia" w:ascii="仿宋_GB2312" w:eastAsia="仿宋_GB2312"/>
          <w:b/>
          <w:bCs/>
          <w:spacing w:val="0"/>
          <w:sz w:val="32"/>
          <w:szCs w:val="32"/>
          <w:highlight w:val="none"/>
          <w:lang w:eastAsia="zh-CN"/>
        </w:rPr>
        <w:t>2024年度一般公共预算财政拨款支出</w:t>
      </w:r>
      <w:r>
        <w:rPr>
          <w:rFonts w:hint="eastAsia" w:ascii="仿宋_GB2312" w:eastAsia="仿宋_GB2312"/>
          <w:b/>
          <w:bCs/>
          <w:spacing w:val="0"/>
          <w:sz w:val="32"/>
          <w:szCs w:val="32"/>
          <w:highlight w:val="none"/>
          <w:lang w:val="en-US" w:eastAsia="zh-CN"/>
        </w:rPr>
        <w:t>1177.66</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eastAsia="zh-CN"/>
        </w:rPr>
        <w:t>占本年支出合计的</w:t>
      </w:r>
      <w:r>
        <w:rPr>
          <w:rFonts w:hint="eastAsia" w:ascii="仿宋_GB2312" w:eastAsia="仿宋_GB2312"/>
          <w:spacing w:val="0"/>
          <w:sz w:val="32"/>
          <w:szCs w:val="32"/>
          <w:highlight w:val="none"/>
          <w:lang w:val="en-US" w:eastAsia="zh-CN"/>
        </w:rPr>
        <w:t>70.2</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rPr>
        <w:t>与上年相比，</w:t>
      </w:r>
      <w:r>
        <w:rPr>
          <w:rFonts w:hint="eastAsia" w:ascii="仿宋_GB2312" w:eastAsia="仿宋_GB2312"/>
          <w:spacing w:val="0"/>
          <w:sz w:val="32"/>
          <w:szCs w:val="32"/>
          <w:highlight w:val="none"/>
        </w:rPr>
        <w:t>减少</w:t>
      </w:r>
      <w:r>
        <w:rPr>
          <w:rFonts w:hint="eastAsia" w:ascii="仿宋_GB2312" w:eastAsia="仿宋_GB2312"/>
          <w:spacing w:val="0"/>
          <w:sz w:val="32"/>
          <w:szCs w:val="32"/>
          <w:highlight w:val="none"/>
          <w:lang w:val="en-US" w:eastAsia="zh-CN"/>
        </w:rPr>
        <w:t>77.03</w:t>
      </w:r>
      <w:r>
        <w:rPr>
          <w:rFonts w:hint="eastAsia" w:ascii="仿宋_GB2312" w:eastAsia="仿宋_GB2312"/>
          <w:spacing w:val="0"/>
          <w:sz w:val="32"/>
          <w:szCs w:val="32"/>
          <w:highlight w:val="none"/>
        </w:rPr>
        <w:t>万元，</w:t>
      </w:r>
      <w:r>
        <w:rPr>
          <w:rFonts w:hint="eastAsia" w:ascii="仿宋_GB2312" w:eastAsia="仿宋_GB2312"/>
          <w:spacing w:val="0"/>
          <w:sz w:val="32"/>
          <w:szCs w:val="32"/>
          <w:highlight w:val="none"/>
          <w:lang w:eastAsia="zh-CN"/>
        </w:rPr>
        <w:t>下降</w:t>
      </w:r>
      <w:r>
        <w:rPr>
          <w:rFonts w:hint="eastAsia" w:ascii="仿宋_GB2312" w:eastAsia="仿宋_GB2312"/>
          <w:spacing w:val="0"/>
          <w:sz w:val="32"/>
          <w:szCs w:val="32"/>
          <w:highlight w:val="none"/>
          <w:lang w:val="en-US" w:eastAsia="zh-CN"/>
        </w:rPr>
        <w:t>6.14</w:t>
      </w:r>
      <w:r>
        <w:rPr>
          <w:rFonts w:hint="eastAsia" w:ascii="仿宋_GB2312" w:eastAsia="仿宋_GB2312"/>
          <w:spacing w:val="0"/>
          <w:sz w:val="32"/>
          <w:szCs w:val="32"/>
          <w:highlight w:val="none"/>
        </w:rPr>
        <w:t>%</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rPr>
        <w:t>主要原因是：</w:t>
      </w:r>
      <w:r>
        <w:rPr>
          <w:rFonts w:hint="eastAsia" w:ascii="仿宋_GB2312" w:eastAsia="仿宋_GB2312"/>
          <w:color w:val="auto"/>
          <w:sz w:val="32"/>
          <w:szCs w:val="32"/>
          <w:highlight w:val="none"/>
        </w:rPr>
        <w:t>由于矛调中心建设经费及国家安全主题宣教馆建设经费本年度都未进行支出安排，导致本年度决算支出较往年减少。</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1498.37</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1177.66</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-21.4</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en-US" w:eastAsia="zh-CN"/>
        </w:rPr>
        <w:t>厉行节约、压缩经费支出</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9" w:name="_Toc27147"/>
      <w:r>
        <w:rPr>
          <w:rFonts w:hint="eastAsia" w:ascii="黑体" w:hAnsi="黑体" w:eastAsia="黑体"/>
          <w:sz w:val="32"/>
          <w:szCs w:val="32"/>
          <w:highlight w:val="none"/>
          <w:lang w:eastAsia="zh-CN"/>
        </w:rPr>
        <w:t>（二）一般公共预算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bookmarkEnd w:id="19"/>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1.一般公共服务</w:t>
      </w:r>
      <w:r>
        <w:rPr>
          <w:rFonts w:hint="eastAsia" w:ascii="仿宋_GB2312" w:hAnsi="仿宋_GB2312" w:eastAsia="仿宋_GB2312" w:cs="仿宋_GB2312"/>
          <w:sz w:val="32"/>
          <w:szCs w:val="32"/>
          <w:highlight w:val="none"/>
          <w:lang w:val="en-US" w:eastAsia="zh-CN"/>
        </w:rPr>
        <w:t>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940.92</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79.9</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val="en-US" w:eastAsia="zh-CN"/>
        </w:rPr>
        <w:tab/>
      </w:r>
      <w:r>
        <w:rPr>
          <w:rFonts w:hint="eastAsia" w:ascii="仿宋_GB2312" w:hAnsi="仿宋_GB2312" w:eastAsia="仿宋_GB2312" w:cs="仿宋_GB2312"/>
          <w:kern w:val="0"/>
          <w:sz w:val="32"/>
          <w:szCs w:val="32"/>
          <w:highlight w:val="none"/>
          <w:lang w:val="en-US" w:eastAsia="zh-CN"/>
        </w:rPr>
        <w:t>教育支出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68.87</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5.85</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lang w:val="en-US" w:eastAsia="zh-CN"/>
        </w:rPr>
        <w:t>3.社会保障和就业支出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86.68</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7.36</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sz w:val="32"/>
          <w:szCs w:val="32"/>
          <w:highlight w:val="none"/>
          <w:lang w:val="en-US" w:eastAsia="zh-CN"/>
        </w:rPr>
        <w:t>卫生健康支出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33.32</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2.83</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sz w:val="32"/>
          <w:szCs w:val="32"/>
          <w:highlight w:val="none"/>
          <w:lang w:val="en-US" w:eastAsia="zh-CN"/>
        </w:rPr>
        <w:t>住房保障支出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47.87</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4.06</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0" w:name="_Toc10037"/>
      <w:r>
        <w:rPr>
          <w:rFonts w:hint="eastAsia" w:ascii="黑体" w:hAnsi="黑体" w:eastAsia="黑体"/>
          <w:sz w:val="32"/>
          <w:szCs w:val="32"/>
          <w:highlight w:val="none"/>
          <w:lang w:eastAsia="zh-CN"/>
        </w:rPr>
        <w:t>（三）一般公共预算财政拨款支出决算具体情况</w:t>
      </w:r>
      <w:bookmarkEnd w:id="20"/>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1.一般公共服务支出（类）财政事务（款）行政运行（项）: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753.14</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减少</w:t>
      </w:r>
      <w:r>
        <w:rPr>
          <w:rFonts w:hint="eastAsia" w:ascii="仿宋_GB2312" w:hAnsi="仿宋_GB2312" w:eastAsia="仿宋_GB2312" w:cs="仿宋_GB2312"/>
          <w:kern w:val="0"/>
          <w:sz w:val="32"/>
          <w:szCs w:val="32"/>
          <w:highlight w:val="none"/>
          <w:lang w:val="en-US" w:eastAsia="zh-CN"/>
        </w:rPr>
        <w:t>190.37</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20.18</w:t>
      </w:r>
      <w:r>
        <w:rPr>
          <w:rFonts w:hint="eastAsia" w:ascii="仿宋_GB2312" w:hAnsi="仿宋_GB2312" w:eastAsia="仿宋_GB2312" w:cs="仿宋_GB2312"/>
          <w:kern w:val="0"/>
          <w:sz w:val="32"/>
          <w:szCs w:val="32"/>
          <w:highlight w:val="none"/>
        </w:rPr>
        <w:t>%，主要原因是：</w:t>
      </w:r>
      <w:r>
        <w:rPr>
          <w:rFonts w:hint="eastAsia" w:ascii="Times New Roman" w:hAnsi="Times New Roman" w:eastAsia="方正仿宋_GBK" w:cs="Times New Roman"/>
          <w:color w:val="auto"/>
          <w:sz w:val="31"/>
          <w:szCs w:val="31"/>
          <w:highlight w:val="none"/>
          <w:lang w:val="en-US" w:eastAsia="zh-CN"/>
        </w:rPr>
        <w:t>厉行节约压缩经费支出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2.</w:t>
      </w:r>
      <w:r>
        <w:rPr>
          <w:rFonts w:hint="default" w:ascii="Times New Roman" w:hAnsi="Times New Roman" w:eastAsia="方正仿宋_GBK" w:cs="Times New Roman"/>
          <w:color w:val="auto"/>
          <w:sz w:val="31"/>
          <w:szCs w:val="31"/>
          <w:highlight w:val="none"/>
          <w:lang w:val="en-US" w:eastAsia="zh-CN"/>
        </w:rPr>
        <w:t>一般公共服务支出（类）党委办公厅（室）及相关机构事务（款）其他党委办公厅（室）及相关机构事务支出（项）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187.78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决算相比增加45.51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增长31.99</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本年度国家安全局维稳业务经费及司法救助经费增加所致</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3.教育</w:t>
      </w:r>
      <w:r>
        <w:rPr>
          <w:rFonts w:hint="eastAsia" w:ascii="仿宋_GB2312" w:hAnsi="仿宋_GB2312" w:eastAsia="仿宋_GB2312" w:cs="仿宋_GB2312"/>
          <w:kern w:val="0"/>
          <w:sz w:val="32"/>
          <w:szCs w:val="32"/>
          <w:highlight w:val="none"/>
        </w:rPr>
        <w:t>支出（类）</w:t>
      </w:r>
      <w:r>
        <w:rPr>
          <w:rFonts w:hint="eastAsia" w:ascii="仿宋_GB2312" w:hAnsi="仿宋_GB2312" w:eastAsia="仿宋_GB2312" w:cs="仿宋_GB2312"/>
          <w:kern w:val="0"/>
          <w:sz w:val="32"/>
          <w:szCs w:val="32"/>
          <w:highlight w:val="none"/>
          <w:lang w:val="en-US" w:eastAsia="zh-CN"/>
        </w:rPr>
        <w:t>进修及培训</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干部教育</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68.38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决算相比增加68.38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本年增加该功能科目支出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4.教育支出（类）进修及培训（款）培训支出（项）:支出决算数为0.49万元，与上年决算相比增加0.49万元，增长100%，主要原因是：和田、阿克苏、喀什流动人口服务管理工作站经费增加所致。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z w:val="31"/>
          <w:szCs w:val="31"/>
          <w:highlight w:val="none"/>
          <w:lang w:val="zh-CN" w:eastAsia="zh-CN"/>
        </w:rPr>
      </w:pPr>
      <w:r>
        <w:rPr>
          <w:rFonts w:hint="eastAsia" w:ascii="仿宋_GB2312" w:hAnsi="仿宋_GB2312" w:eastAsia="仿宋_GB2312" w:cs="仿宋_GB2312"/>
          <w:kern w:val="0"/>
          <w:sz w:val="32"/>
          <w:szCs w:val="32"/>
          <w:highlight w:val="none"/>
          <w:lang w:val="en-US" w:eastAsia="zh-CN"/>
        </w:rPr>
        <w:t>5.</w:t>
      </w:r>
      <w:r>
        <w:rPr>
          <w:rFonts w:hint="eastAsia" w:ascii="Times New Roman" w:hAnsi="Times New Roman" w:eastAsia="方正仿宋_GBK" w:cs="Times New Roman"/>
          <w:color w:val="auto"/>
          <w:sz w:val="31"/>
          <w:szCs w:val="31"/>
          <w:highlight w:val="none"/>
          <w:lang w:val="en-US" w:eastAsia="zh-CN"/>
        </w:rPr>
        <w:t>社会保障和就业支出（类）行政事业单位养老支出（款）行政单位离退休（项）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24.64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决算相比增加2.17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增长9.66</w:t>
      </w:r>
      <w:r>
        <w:rPr>
          <w:rFonts w:hint="eastAsia" w:ascii="仿宋_GB2312" w:hAnsi="仿宋_GB2312" w:eastAsia="仿宋_GB2312" w:cs="仿宋_GB2312"/>
          <w:kern w:val="0"/>
          <w:sz w:val="32"/>
          <w:szCs w:val="32"/>
          <w:highlight w:val="none"/>
        </w:rPr>
        <w:t>%，主要原因是：</w:t>
      </w:r>
      <w:r>
        <w:rPr>
          <w:rFonts w:hint="eastAsia" w:ascii="Times New Roman" w:hAnsi="Times New Roman" w:eastAsia="方正仿宋_GBK" w:cs="Times New Roman"/>
          <w:color w:val="auto"/>
          <w:sz w:val="31"/>
          <w:szCs w:val="31"/>
          <w:highlight w:val="none"/>
          <w:lang w:val="en-US" w:eastAsia="zh-CN"/>
        </w:rPr>
        <w:t>补发</w:t>
      </w:r>
      <w:r>
        <w:rPr>
          <w:rFonts w:hint="default" w:ascii="Times New Roman" w:hAnsi="Times New Roman" w:eastAsia="方正仿宋_GBK" w:cs="Times New Roman"/>
          <w:color w:val="auto"/>
          <w:sz w:val="31"/>
          <w:szCs w:val="31"/>
          <w:highlight w:val="none"/>
          <w:lang w:val="en-US" w:eastAsia="zh-CN"/>
        </w:rPr>
        <w:t>退休人员</w:t>
      </w:r>
      <w:r>
        <w:rPr>
          <w:rFonts w:hint="eastAsia" w:ascii="Times New Roman" w:hAnsi="Times New Roman" w:eastAsia="方正仿宋_GBK" w:cs="Times New Roman"/>
          <w:color w:val="auto"/>
          <w:sz w:val="31"/>
          <w:szCs w:val="31"/>
          <w:highlight w:val="none"/>
          <w:lang w:val="en-US" w:eastAsia="zh-CN"/>
        </w:rPr>
        <w:t>津补贴</w:t>
      </w:r>
      <w:r>
        <w:rPr>
          <w:rFonts w:hint="eastAsia" w:ascii="Times New Roman" w:hAnsi="Times New Roman" w:eastAsia="方正仿宋_GBK" w:cs="Times New Roman"/>
          <w:color w:val="auto"/>
          <w:sz w:val="31"/>
          <w:szCs w:val="3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6.</w:t>
      </w:r>
      <w:r>
        <w:rPr>
          <w:rFonts w:hint="eastAsia" w:ascii="Times New Roman" w:hAnsi="Times New Roman" w:eastAsia="方正仿宋_GBK" w:cs="Times New Roman"/>
          <w:color w:val="auto"/>
          <w:sz w:val="31"/>
          <w:szCs w:val="31"/>
          <w:highlight w:val="none"/>
          <w:lang w:val="en-US" w:eastAsia="zh-CN"/>
        </w:rPr>
        <w:t>社会保障和就业支出（类）行政事业单位养老支出（款）机关事业单位基本养老保险缴费支出（项）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62.04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决算相比增加62.04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%，主要原因是：</w:t>
      </w:r>
      <w:r>
        <w:rPr>
          <w:rFonts w:hint="default" w:ascii="Times New Roman" w:hAnsi="Times New Roman" w:eastAsia="方正仿宋_GBK" w:cs="Times New Roman"/>
          <w:color w:val="auto"/>
          <w:sz w:val="31"/>
          <w:szCs w:val="31"/>
          <w:highlight w:val="none"/>
          <w:lang w:val="en-US" w:eastAsia="zh-CN"/>
        </w:rPr>
        <w:t>人员</w:t>
      </w:r>
      <w:r>
        <w:rPr>
          <w:rFonts w:hint="eastAsia" w:eastAsia="方正仿宋_GBK" w:cs="Times New Roman"/>
          <w:color w:val="auto"/>
          <w:sz w:val="31"/>
          <w:szCs w:val="31"/>
          <w:highlight w:val="none"/>
          <w:lang w:val="en-US" w:eastAsia="zh-CN"/>
        </w:rPr>
        <w:t>养老</w:t>
      </w:r>
      <w:r>
        <w:rPr>
          <w:rFonts w:hint="default" w:ascii="Times New Roman" w:hAnsi="Times New Roman" w:eastAsia="方正仿宋_GBK" w:cs="Times New Roman"/>
          <w:color w:val="auto"/>
          <w:sz w:val="31"/>
          <w:szCs w:val="31"/>
          <w:highlight w:val="none"/>
          <w:lang w:val="en-US" w:eastAsia="zh-CN"/>
        </w:rPr>
        <w:t>缴费基数增加。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7.</w:t>
      </w:r>
      <w:r>
        <w:rPr>
          <w:rFonts w:hint="default" w:ascii="Times New Roman" w:hAnsi="Times New Roman" w:eastAsia="方正仿宋_GBK" w:cs="Times New Roman"/>
          <w:color w:val="auto"/>
          <w:sz w:val="31"/>
          <w:szCs w:val="31"/>
          <w:highlight w:val="none"/>
          <w:lang w:val="en-US" w:eastAsia="zh-CN"/>
        </w:rPr>
        <w:t>社会保障和就业支出（类）就业补助（款） 公益性岗位补贴（项）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w:t>
      </w:r>
      <w:r>
        <w:rPr>
          <w:rFonts w:hint="eastAsia" w:ascii="仿宋_GB2312" w:hAnsi="仿宋_GB2312" w:eastAsia="仿宋_GB2312" w:cs="仿宋_GB2312"/>
          <w:kern w:val="0"/>
          <w:sz w:val="32"/>
          <w:szCs w:val="32"/>
          <w:highlight w:val="none"/>
        </w:rPr>
        <w:t>减少</w:t>
      </w:r>
      <w:r>
        <w:rPr>
          <w:rFonts w:hint="eastAsia" w:ascii="仿宋_GB2312" w:hAnsi="仿宋_GB2312" w:eastAsia="仿宋_GB2312" w:cs="仿宋_GB2312"/>
          <w:kern w:val="0"/>
          <w:sz w:val="32"/>
          <w:szCs w:val="32"/>
          <w:highlight w:val="none"/>
          <w:lang w:val="en-US" w:eastAsia="zh-CN"/>
        </w:rPr>
        <w:t>79.18</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eastAsia="仿宋_GB2312"/>
          <w:sz w:val="32"/>
          <w:szCs w:val="32"/>
          <w:highlight w:val="none"/>
          <w:lang w:val="en-US" w:eastAsia="zh-CN"/>
        </w:rPr>
        <w:t>本年度无该科目支出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8.</w:t>
      </w:r>
      <w:r>
        <w:rPr>
          <w:rFonts w:hint="default" w:ascii="Times New Roman" w:hAnsi="Times New Roman" w:eastAsia="方正仿宋_GBK" w:cs="Times New Roman"/>
          <w:color w:val="auto"/>
          <w:sz w:val="31"/>
          <w:szCs w:val="31"/>
          <w:highlight w:val="none"/>
          <w:lang w:val="en-US" w:eastAsia="zh-CN"/>
        </w:rPr>
        <w:t>卫生健康支出（类）行政事业单位医疗（款）行政单位医疗（项）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28.08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决算相比增加5.54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增长24.58</w:t>
      </w:r>
      <w:r>
        <w:rPr>
          <w:rFonts w:hint="eastAsia" w:ascii="仿宋_GB2312" w:hAnsi="仿宋_GB2312" w:eastAsia="仿宋_GB2312" w:cs="仿宋_GB2312"/>
          <w:kern w:val="0"/>
          <w:sz w:val="32"/>
          <w:szCs w:val="32"/>
          <w:highlight w:val="none"/>
        </w:rPr>
        <w:t>%，主要原因是：</w:t>
      </w:r>
      <w:r>
        <w:rPr>
          <w:rFonts w:hint="default" w:ascii="Times New Roman" w:hAnsi="Times New Roman" w:eastAsia="方正仿宋_GBK" w:cs="Times New Roman"/>
          <w:color w:val="auto"/>
          <w:sz w:val="31"/>
          <w:szCs w:val="31"/>
          <w:highlight w:val="none"/>
          <w:lang w:val="en-US" w:eastAsia="zh-CN"/>
        </w:rPr>
        <w:t>人员</w:t>
      </w:r>
      <w:r>
        <w:rPr>
          <w:rFonts w:hint="eastAsia" w:ascii="Times New Roman" w:hAnsi="Times New Roman" w:eastAsia="方正仿宋_GBK" w:cs="Times New Roman"/>
          <w:color w:val="auto"/>
          <w:sz w:val="31"/>
          <w:szCs w:val="31"/>
          <w:highlight w:val="none"/>
          <w:lang w:val="en-US" w:eastAsia="zh-CN"/>
        </w:rPr>
        <w:t>医疗</w:t>
      </w:r>
      <w:r>
        <w:rPr>
          <w:rFonts w:hint="default" w:ascii="Times New Roman" w:hAnsi="Times New Roman" w:eastAsia="方正仿宋_GBK" w:cs="Times New Roman"/>
          <w:color w:val="auto"/>
          <w:sz w:val="31"/>
          <w:szCs w:val="31"/>
          <w:highlight w:val="none"/>
          <w:lang w:val="en-US" w:eastAsia="zh-CN"/>
        </w:rPr>
        <w:t>缴费基数增加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9.</w:t>
      </w:r>
      <w:r>
        <w:rPr>
          <w:rFonts w:hint="default" w:ascii="Times New Roman" w:hAnsi="Times New Roman" w:eastAsia="方正仿宋_GBK" w:cs="Times New Roman"/>
          <w:color w:val="auto"/>
          <w:sz w:val="31"/>
          <w:szCs w:val="31"/>
          <w:highlight w:val="none"/>
          <w:lang w:val="en-US" w:eastAsia="zh-CN"/>
        </w:rPr>
        <w:t>卫生健康支出（类）行政事业单位医疗（款）</w:t>
      </w:r>
      <w:r>
        <w:rPr>
          <w:rFonts w:hint="eastAsia" w:eastAsia="方正仿宋_GBK" w:cs="Times New Roman"/>
          <w:color w:val="auto"/>
          <w:sz w:val="31"/>
          <w:szCs w:val="31"/>
          <w:highlight w:val="none"/>
          <w:lang w:val="en-US" w:eastAsia="zh-CN"/>
        </w:rPr>
        <w:t>公务员</w:t>
      </w:r>
      <w:r>
        <w:rPr>
          <w:rFonts w:hint="default" w:ascii="Times New Roman" w:hAnsi="Times New Roman" w:eastAsia="方正仿宋_GBK" w:cs="Times New Roman"/>
          <w:color w:val="auto"/>
          <w:sz w:val="31"/>
          <w:szCs w:val="31"/>
          <w:highlight w:val="none"/>
          <w:lang w:val="en-US" w:eastAsia="zh-CN"/>
        </w:rPr>
        <w:t>医疗</w:t>
      </w:r>
      <w:r>
        <w:rPr>
          <w:rFonts w:hint="eastAsia" w:eastAsia="方正仿宋_GBK" w:cs="Times New Roman"/>
          <w:color w:val="auto"/>
          <w:sz w:val="31"/>
          <w:szCs w:val="31"/>
          <w:highlight w:val="none"/>
          <w:lang w:val="en-US" w:eastAsia="zh-CN"/>
        </w:rPr>
        <w:t>补助</w:t>
      </w:r>
      <w:r>
        <w:rPr>
          <w:rFonts w:hint="default" w:ascii="Times New Roman" w:hAnsi="Times New Roman" w:eastAsia="方正仿宋_GBK" w:cs="Times New Roman"/>
          <w:color w:val="auto"/>
          <w:sz w:val="31"/>
          <w:szCs w:val="31"/>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5.24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决算相比增加1.14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增长27.8</w:t>
      </w:r>
      <w:r>
        <w:rPr>
          <w:rFonts w:hint="eastAsia" w:ascii="仿宋_GB2312" w:hAnsi="仿宋_GB2312" w:eastAsia="仿宋_GB2312" w:cs="仿宋_GB2312"/>
          <w:kern w:val="0"/>
          <w:sz w:val="32"/>
          <w:szCs w:val="32"/>
          <w:highlight w:val="none"/>
        </w:rPr>
        <w:t>%，主要原因是：</w:t>
      </w:r>
      <w:r>
        <w:rPr>
          <w:rFonts w:hint="default" w:ascii="Times New Roman" w:hAnsi="Times New Roman" w:eastAsia="方正仿宋_GBK" w:cs="Times New Roman"/>
          <w:color w:val="auto"/>
          <w:sz w:val="31"/>
          <w:szCs w:val="31"/>
          <w:highlight w:val="none"/>
          <w:lang w:val="en-US" w:eastAsia="zh-CN"/>
        </w:rPr>
        <w:t>人员</w:t>
      </w:r>
      <w:r>
        <w:rPr>
          <w:rFonts w:hint="eastAsia" w:ascii="Times New Roman" w:hAnsi="Times New Roman" w:eastAsia="方正仿宋_GBK" w:cs="Times New Roman"/>
          <w:color w:val="auto"/>
          <w:sz w:val="31"/>
          <w:szCs w:val="31"/>
          <w:highlight w:val="none"/>
          <w:lang w:val="en-US" w:eastAsia="zh-CN"/>
        </w:rPr>
        <w:t>医疗</w:t>
      </w:r>
      <w:r>
        <w:rPr>
          <w:rFonts w:hint="default" w:ascii="Times New Roman" w:hAnsi="Times New Roman" w:eastAsia="方正仿宋_GBK" w:cs="Times New Roman"/>
          <w:color w:val="auto"/>
          <w:sz w:val="31"/>
          <w:szCs w:val="31"/>
          <w:highlight w:val="none"/>
          <w:lang w:val="en-US" w:eastAsia="zh-CN"/>
        </w:rPr>
        <w:t>缴费基数增加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1"/>
          <w:szCs w:val="31"/>
          <w:highlight w:val="none"/>
          <w:lang w:val="zh-CN" w:eastAsia="zh-CN"/>
        </w:rPr>
      </w:pPr>
      <w:r>
        <w:rPr>
          <w:rFonts w:hint="eastAsia" w:ascii="仿宋_GB2312" w:hAnsi="仿宋_GB2312" w:eastAsia="仿宋_GB2312" w:cs="仿宋_GB2312"/>
          <w:kern w:val="0"/>
          <w:sz w:val="32"/>
          <w:szCs w:val="32"/>
          <w:highlight w:val="none"/>
          <w:lang w:val="en-US" w:eastAsia="zh-CN"/>
        </w:rPr>
        <w:t>10.</w:t>
      </w:r>
      <w:r>
        <w:rPr>
          <w:rFonts w:hint="eastAsia" w:ascii="Times New Roman" w:hAnsi="Times New Roman" w:eastAsia="方正仿宋_GBK" w:cs="Times New Roman"/>
          <w:color w:val="auto"/>
          <w:sz w:val="31"/>
          <w:szCs w:val="31"/>
          <w:highlight w:val="none"/>
          <w:lang w:val="en-US" w:eastAsia="zh-CN"/>
        </w:rPr>
        <w:t>住房保障支出（类）住房改革支出（款）住房公积金（项）:支出决算数为</w:t>
      </w:r>
      <w:r>
        <w:rPr>
          <w:rFonts w:hint="eastAsia" w:eastAsia="方正仿宋_GBK" w:cs="Times New Roman"/>
          <w:color w:val="auto"/>
          <w:sz w:val="31"/>
          <w:szCs w:val="31"/>
          <w:highlight w:val="none"/>
          <w:lang w:val="en-US" w:eastAsia="zh-CN"/>
        </w:rPr>
        <w:t>47.87</w:t>
      </w:r>
      <w:r>
        <w:rPr>
          <w:rFonts w:hint="eastAsia" w:ascii="Times New Roman" w:hAnsi="Times New Roman" w:eastAsia="方正仿宋_GBK" w:cs="Times New Roman"/>
          <w:color w:val="auto"/>
          <w:sz w:val="31"/>
          <w:szCs w:val="31"/>
          <w:highlight w:val="none"/>
          <w:lang w:val="en-US" w:eastAsia="zh-CN"/>
        </w:rPr>
        <w:t>万元，</w:t>
      </w:r>
      <w:r>
        <w:rPr>
          <w:rFonts w:hint="eastAsia" w:eastAsia="方正仿宋_GBK" w:cs="Times New Roman"/>
          <w:color w:val="auto"/>
          <w:sz w:val="31"/>
          <w:szCs w:val="31"/>
          <w:highlight w:val="none"/>
          <w:lang w:val="en-US" w:eastAsia="zh-CN"/>
        </w:rPr>
        <w:t>与</w:t>
      </w:r>
      <w:r>
        <w:rPr>
          <w:rFonts w:hint="eastAsia" w:ascii="Times New Roman" w:hAnsi="Times New Roman" w:eastAsia="方正仿宋_GBK" w:cs="Times New Roman"/>
          <w:color w:val="auto"/>
          <w:sz w:val="31"/>
          <w:szCs w:val="31"/>
          <w:highlight w:val="none"/>
          <w:lang w:val="en-US" w:eastAsia="zh-CN"/>
        </w:rPr>
        <w:t>上年决算</w:t>
      </w:r>
      <w:r>
        <w:rPr>
          <w:rFonts w:hint="eastAsia" w:eastAsia="方正仿宋_GBK" w:cs="Times New Roman"/>
          <w:color w:val="auto"/>
          <w:sz w:val="31"/>
          <w:szCs w:val="31"/>
          <w:highlight w:val="none"/>
          <w:lang w:val="en-US" w:eastAsia="zh-CN"/>
        </w:rPr>
        <w:t>相比</w:t>
      </w:r>
      <w:r>
        <w:rPr>
          <w:rFonts w:hint="eastAsia" w:ascii="Times New Roman" w:hAnsi="Times New Roman" w:eastAsia="方正仿宋_GBK" w:cs="Times New Roman"/>
          <w:color w:val="auto"/>
          <w:sz w:val="31"/>
          <w:szCs w:val="31"/>
          <w:highlight w:val="none"/>
          <w:lang w:val="en-US" w:eastAsia="zh-CN"/>
        </w:rPr>
        <w:t>增加</w:t>
      </w:r>
      <w:r>
        <w:rPr>
          <w:rFonts w:hint="eastAsia" w:eastAsia="方正仿宋_GBK" w:cs="Times New Roman"/>
          <w:color w:val="auto"/>
          <w:sz w:val="31"/>
          <w:szCs w:val="31"/>
          <w:highlight w:val="none"/>
          <w:lang w:val="en-US" w:eastAsia="zh-CN"/>
        </w:rPr>
        <w:t>7.25</w:t>
      </w:r>
      <w:r>
        <w:rPr>
          <w:rFonts w:hint="eastAsia" w:ascii="Times New Roman" w:hAnsi="Times New Roman" w:eastAsia="方正仿宋_GBK" w:cs="Times New Roman"/>
          <w:color w:val="auto"/>
          <w:sz w:val="31"/>
          <w:szCs w:val="31"/>
          <w:highlight w:val="none"/>
          <w:lang w:val="en-US" w:eastAsia="zh-CN"/>
        </w:rPr>
        <w:t>万元，增长</w:t>
      </w:r>
      <w:r>
        <w:rPr>
          <w:rFonts w:hint="eastAsia" w:eastAsia="方正仿宋_GBK" w:cs="Times New Roman"/>
          <w:color w:val="auto"/>
          <w:sz w:val="31"/>
          <w:szCs w:val="31"/>
          <w:highlight w:val="none"/>
          <w:lang w:val="en-US" w:eastAsia="zh-CN"/>
        </w:rPr>
        <w:t>17.85</w:t>
      </w:r>
      <w:r>
        <w:rPr>
          <w:rFonts w:hint="eastAsia" w:ascii="Times New Roman" w:hAnsi="Times New Roman" w:eastAsia="方正仿宋_GBK" w:cs="Times New Roman"/>
          <w:color w:val="auto"/>
          <w:sz w:val="31"/>
          <w:szCs w:val="31"/>
          <w:highlight w:val="none"/>
          <w:lang w:val="en-US" w:eastAsia="zh-CN"/>
        </w:rPr>
        <w:t>%，主要原因是：</w:t>
      </w:r>
      <w:r>
        <w:rPr>
          <w:rFonts w:hint="default" w:ascii="Times New Roman" w:hAnsi="Times New Roman" w:eastAsia="方正仿宋_GBK" w:cs="Times New Roman"/>
          <w:color w:val="auto"/>
          <w:sz w:val="31"/>
          <w:szCs w:val="31"/>
          <w:highlight w:val="none"/>
          <w:lang w:val="en-US" w:eastAsia="zh-CN"/>
        </w:rPr>
        <w:t>在职人员住房公积金基数调整</w:t>
      </w:r>
      <w:r>
        <w:rPr>
          <w:rFonts w:hint="eastAsia" w:ascii="Times New Roman" w:hAnsi="Times New Roman" w:eastAsia="方正仿宋_GBK" w:cs="Times New Roman"/>
          <w:color w:val="auto"/>
          <w:sz w:val="31"/>
          <w:szCs w:val="3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1" w:name="_Toc11146"/>
      <w:bookmarkStart w:id="22" w:name="_Toc23415"/>
      <w:r>
        <w:rPr>
          <w:rFonts w:hint="eastAsia" w:ascii="黑体" w:hAnsi="黑体" w:eastAsia="黑体" w:cs="宋体"/>
          <w:bCs/>
          <w:kern w:val="0"/>
          <w:sz w:val="32"/>
          <w:szCs w:val="32"/>
          <w:highlight w:val="none"/>
          <w:lang w:eastAsia="zh-CN"/>
        </w:rPr>
        <w:t>六、一般公共预算财政拨款基本支出决算情况说明</w:t>
      </w:r>
      <w:bookmarkEnd w:id="21"/>
      <w:bookmarkEnd w:id="22"/>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val="en-US" w:eastAsia="zh-CN"/>
        </w:rPr>
        <w:t>989.88</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w:t>
      </w:r>
      <w:r>
        <w:rPr>
          <w:rFonts w:hint="eastAsia" w:ascii="仿宋_GB2312" w:eastAsia="仿宋_GB2312"/>
          <w:b/>
          <w:bCs/>
          <w:sz w:val="32"/>
          <w:szCs w:val="32"/>
          <w:highlight w:val="none"/>
          <w:lang w:val="en-US" w:eastAsia="zh-CN"/>
        </w:rPr>
        <w:t>773.64</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包括：基本工资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津贴补贴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奖金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机关事业单位基本养老保险缴费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公务员医疗补助缴费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其他社会保障缴费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住房公积金</w:t>
      </w:r>
      <w:r>
        <w:rPr>
          <w:rFonts w:hint="eastAsia" w:ascii="仿宋_GB2312" w:eastAsia="仿宋_GB2312"/>
          <w:sz w:val="32"/>
          <w:szCs w:val="32"/>
          <w:highlight w:val="none"/>
          <w:lang w:eastAsia="zh-CN"/>
        </w:rPr>
        <w:t>、离休费、退休费</w:t>
      </w:r>
      <w:r>
        <w:rPr>
          <w:rFonts w:hint="eastAsia" w:ascii="仿宋_GB2312" w:eastAsia="仿宋_GB2312"/>
          <w:sz w:val="32"/>
          <w:szCs w:val="32"/>
          <w:highlight w:val="none"/>
          <w:lang w:val="en-US" w:eastAsia="zh-CN"/>
        </w:rPr>
        <w:t>和</w:t>
      </w:r>
      <w:r>
        <w:rPr>
          <w:rFonts w:hint="eastAsia" w:ascii="仿宋_GB2312" w:eastAsia="仿宋_GB2312"/>
          <w:sz w:val="32"/>
          <w:szCs w:val="32"/>
          <w:highlight w:val="none"/>
          <w:lang w:eastAsia="zh-CN"/>
        </w:rPr>
        <w:t>生活补助。</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hAnsi="宋体" w:eastAsia="仿宋_GB2312" w:cs="宋体"/>
          <w:kern w:val="0"/>
          <w:sz w:val="32"/>
          <w:szCs w:val="32"/>
          <w:highlight w:val="none"/>
        </w:rPr>
      </w:pPr>
      <w:r>
        <w:rPr>
          <w:rFonts w:hint="eastAsia" w:ascii="仿宋_GB2312" w:eastAsia="仿宋_GB2312"/>
          <w:b/>
          <w:bCs/>
          <w:sz w:val="32"/>
          <w:szCs w:val="32"/>
          <w:highlight w:val="none"/>
        </w:rPr>
        <w:t>公用经费</w:t>
      </w:r>
      <w:r>
        <w:rPr>
          <w:rFonts w:hint="eastAsia" w:ascii="仿宋_GB2312" w:eastAsia="仿宋_GB2312"/>
          <w:b/>
          <w:bCs/>
          <w:sz w:val="32"/>
          <w:szCs w:val="32"/>
          <w:highlight w:val="none"/>
          <w:lang w:val="en-US" w:eastAsia="zh-CN"/>
        </w:rPr>
        <w:t>216.24</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包括：办公费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差旅费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维修（护）费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培训费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劳务费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委托业务费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工会经费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val="en-US" w:eastAsia="zh-CN"/>
        </w:rPr>
        <w:t>和</w:t>
      </w:r>
      <w:r>
        <w:rPr>
          <w:rFonts w:hint="eastAsia" w:ascii="仿宋_GB2312" w:eastAsia="仿宋_GB2312"/>
          <w:sz w:val="32"/>
          <w:szCs w:val="32"/>
          <w:highlight w:val="none"/>
          <w:lang w:eastAsia="zh-CN"/>
        </w:rPr>
        <w:t>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3" w:name="_Toc7523"/>
      <w:bookmarkStart w:id="24" w:name="_Toc7927"/>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政府性基金预算财政拨款收入支出决算情况说明</w:t>
      </w:r>
      <w:bookmarkEnd w:id="23"/>
      <w:bookmarkEnd w:id="24"/>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政府性基金预算</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收入</w:t>
      </w:r>
      <w:r>
        <w:rPr>
          <w:rFonts w:hint="eastAsia" w:ascii="仿宋_GB2312" w:eastAsia="仿宋_GB2312"/>
          <w:b/>
          <w:bCs/>
          <w:sz w:val="32"/>
          <w:szCs w:val="32"/>
          <w:highlight w:val="none"/>
          <w:lang w:val="en-US" w:eastAsia="zh-CN"/>
        </w:rPr>
        <w:t>总计500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本年收入500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总计500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本年支出500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lang w:eastAsia="zh-CN"/>
        </w:rPr>
        <w:t>政府性基金预算财政拨款收入支出</w:t>
      </w:r>
      <w:r>
        <w:rPr>
          <w:rFonts w:hint="eastAsia" w:ascii="仿宋_GB2312" w:hAnsi="仿宋_GB2312" w:eastAsia="仿宋_GB2312" w:cs="仿宋_GB2312"/>
          <w:b/>
          <w:bCs w:val="0"/>
          <w:kern w:val="0"/>
          <w:sz w:val="32"/>
          <w:szCs w:val="32"/>
          <w:highlight w:val="none"/>
          <w:lang w:val="en-US" w:eastAsia="zh-CN"/>
        </w:rPr>
        <w:t>总体</w:t>
      </w:r>
      <w:r>
        <w:rPr>
          <w:rFonts w:hint="eastAsia" w:ascii="仿宋_GB2312" w:hAnsi="仿宋_GB2312" w:eastAsia="仿宋_GB2312" w:cs="仿宋_GB2312"/>
          <w:b/>
          <w:bCs w:val="0"/>
          <w:sz w:val="32"/>
          <w:szCs w:val="32"/>
          <w:highlight w:val="none"/>
        </w:rPr>
        <w:t>与上年相</w:t>
      </w:r>
      <w:r>
        <w:rPr>
          <w:rFonts w:hint="eastAsia" w:ascii="仿宋_GB2312" w:eastAsia="仿宋_GB2312"/>
          <w:b/>
          <w:bCs/>
          <w:sz w:val="32"/>
          <w:szCs w:val="32"/>
          <w:highlight w:val="none"/>
        </w:rPr>
        <w:t>比，</w:t>
      </w:r>
      <w:r>
        <w:rPr>
          <w:rFonts w:hint="eastAsia" w:ascii="仿宋_GB2312" w:eastAsia="仿宋_GB2312"/>
          <w:sz w:val="32"/>
          <w:szCs w:val="32"/>
          <w:highlight w:val="none"/>
        </w:rPr>
        <w:t>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Times New Roman" w:hAnsi="Times New Roman" w:eastAsia="方正仿宋_GBK" w:cs="Times New Roman"/>
          <w:color w:val="auto"/>
          <w:sz w:val="31"/>
          <w:szCs w:val="31"/>
          <w:highlight w:val="none"/>
          <w:lang w:val="zh-CN" w:eastAsia="zh-CN"/>
        </w:rPr>
        <w:t>本年</w:t>
      </w:r>
      <w:r>
        <w:rPr>
          <w:rFonts w:hint="eastAsia" w:ascii="仿宋_GB2312" w:hAnsi="仿宋_GB2312" w:eastAsia="仿宋_GB2312" w:cs="仿宋_GB2312"/>
          <w:kern w:val="0"/>
          <w:sz w:val="32"/>
          <w:szCs w:val="32"/>
          <w:highlight w:val="none"/>
          <w:lang w:val="en-US" w:eastAsia="zh-CN"/>
        </w:rPr>
        <w:t>春节前农民工工资</w:t>
      </w:r>
      <w:r>
        <w:rPr>
          <w:rFonts w:hint="eastAsia" w:ascii="Times New Roman" w:hAnsi="Times New Roman" w:eastAsia="方正仿宋_GBK" w:cs="Times New Roman"/>
          <w:color w:val="auto"/>
          <w:sz w:val="31"/>
          <w:szCs w:val="31"/>
          <w:highlight w:val="none"/>
          <w:lang w:val="zh-CN" w:eastAsia="zh-CN"/>
        </w:rPr>
        <w:t>支出，与上年相比无变动</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500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本年度追加</w:t>
      </w:r>
      <w:r>
        <w:rPr>
          <w:rFonts w:hint="eastAsia" w:ascii="仿宋_GB2312" w:hAnsi="仿宋_GB2312" w:eastAsia="仿宋_GB2312" w:cs="仿宋_GB2312"/>
          <w:kern w:val="0"/>
          <w:sz w:val="32"/>
          <w:szCs w:val="32"/>
          <w:highlight w:val="none"/>
          <w:lang w:val="en-US" w:eastAsia="zh-CN"/>
        </w:rPr>
        <w:t>春节前农民工工资500元</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500</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1.</w:t>
      </w:r>
      <w:r>
        <w:rPr>
          <w:rFonts w:hint="eastAsia" w:eastAsia="仿宋_GB2312"/>
          <w:sz w:val="32"/>
          <w:szCs w:val="32"/>
          <w:lang w:val="zh-CN"/>
        </w:rPr>
        <w:t>城乡社区支出（类）国有土地使用权出让收入安排的支出（款）</w:t>
      </w:r>
      <w:r>
        <w:rPr>
          <w:rFonts w:hint="eastAsia" w:eastAsia="仿宋_GB2312"/>
          <w:sz w:val="32"/>
          <w:szCs w:val="32"/>
          <w:lang w:val="en-US" w:eastAsia="zh-CN"/>
        </w:rPr>
        <w:t>农村社会事业</w:t>
      </w:r>
      <w:r>
        <w:rPr>
          <w:rFonts w:hint="eastAsia" w:eastAsia="仿宋_GB2312"/>
          <w:sz w:val="32"/>
          <w:szCs w:val="32"/>
          <w:lang w:val="zh-CN"/>
        </w:rPr>
        <w:t>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500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500</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增加春节前农民工工资</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2.</w:t>
      </w:r>
      <w:r>
        <w:rPr>
          <w:rFonts w:hint="eastAsia" w:eastAsia="仿宋_GB2312"/>
          <w:sz w:val="32"/>
          <w:szCs w:val="32"/>
          <w:lang w:val="zh-CN"/>
        </w:rPr>
        <w:t>城乡社区支出（类）国有土地使用权出让收入安排的支出（款）其他国有土地使用权出让收入安排的支出（项）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余</w:t>
      </w:r>
      <w:r>
        <w:rPr>
          <w:rFonts w:hint="eastAsia" w:ascii="仿宋_GB2312" w:hAnsi="仿宋_GB2312" w:eastAsia="仿宋_GB2312" w:cs="仿宋_GB2312"/>
          <w:kern w:val="0"/>
          <w:sz w:val="32"/>
          <w:szCs w:val="32"/>
          <w:highlight w:val="none"/>
        </w:rPr>
        <w:t>上年</w:t>
      </w:r>
      <w:r>
        <w:rPr>
          <w:rFonts w:hint="eastAsia" w:ascii="仿宋_GB2312" w:hAnsi="仿宋_GB2312" w:eastAsia="仿宋_GB2312" w:cs="仿宋_GB2312"/>
          <w:kern w:val="0"/>
          <w:sz w:val="32"/>
          <w:szCs w:val="32"/>
          <w:highlight w:val="none"/>
          <w:lang w:val="en-US" w:eastAsia="zh-CN"/>
        </w:rPr>
        <w:t>决算相比减少500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本年度无该科目支出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5" w:name="_Toc5563"/>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、国有资本经营预算财政拨款收入支出决算情况说明</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eastAsia="zh-CN"/>
        </w:rPr>
        <w:t>单位</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本年度无国有资本经营预算财政拨款收入、支出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，国有资本经营</w:t>
      </w:r>
      <w:r>
        <w:rPr>
          <w:rFonts w:hint="eastAsia" w:ascii="仿宋_GB2312" w:eastAsia="仿宋_GB2312"/>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6" w:name="_Toc7190"/>
      <w:bookmarkStart w:id="27" w:name="_Toc9161"/>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“三公”经费支出</w:t>
      </w:r>
      <w:r>
        <w:rPr>
          <w:rFonts w:hint="eastAsia" w:ascii="仿宋_GB2312" w:eastAsia="仿宋_GB2312"/>
          <w:b/>
          <w:bCs/>
          <w:sz w:val="32"/>
          <w:szCs w:val="32"/>
          <w:highlight w:val="none"/>
          <w:lang w:val="en-US" w:eastAsia="zh-CN"/>
        </w:rPr>
        <w:t>9.45</w:t>
      </w:r>
      <w:r>
        <w:rPr>
          <w:rFonts w:hint="eastAsia" w:ascii="仿宋_GB2312" w:eastAsia="仿宋_GB2312"/>
          <w:b/>
          <w:bCs/>
          <w:sz w:val="32"/>
          <w:szCs w:val="32"/>
          <w:highlight w:val="none"/>
        </w:rPr>
        <w:t>万元，</w:t>
      </w:r>
      <w:r>
        <w:rPr>
          <w:rFonts w:hint="eastAsia" w:ascii="仿宋_GB2312" w:eastAsia="仿宋_GB2312"/>
          <w:sz w:val="32"/>
          <w:szCs w:val="32"/>
          <w:highlight w:val="none"/>
        </w:rPr>
        <w:t>比上年减少</w:t>
      </w:r>
      <w:r>
        <w:rPr>
          <w:rFonts w:hint="eastAsia" w:ascii="仿宋_GB2312" w:eastAsia="仿宋_GB2312"/>
          <w:sz w:val="32"/>
          <w:szCs w:val="32"/>
          <w:highlight w:val="none"/>
          <w:lang w:val="en-US" w:eastAsia="zh-CN"/>
        </w:rPr>
        <w:t>2.43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20.45</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“三公”经费支出主要是车辆运行经费，按照减负要求，本部门下去检查，督导，调研的出车频次减少，导致车辆燃油费的减少。其中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%，比上年</w:t>
      </w:r>
      <w:r>
        <w:rPr>
          <w:rFonts w:hint="eastAsia" w:ascii="仿宋_GB2312" w:eastAsia="仿宋_GB2312"/>
          <w:sz w:val="32"/>
          <w:szCs w:val="32"/>
          <w:highlight w:val="none"/>
          <w:lang w:val="en-US" w:eastAsia="zh-CN"/>
        </w:rPr>
        <w:t>相比无变化</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本年无因公出国（境）费支出，与上年相比无变动</w:t>
      </w:r>
      <w:r>
        <w:rPr>
          <w:rFonts w:hint="eastAsia" w:ascii="仿宋_GB2312" w:eastAsia="仿宋_GB2312"/>
          <w:sz w:val="32"/>
          <w:szCs w:val="32"/>
          <w:highlight w:val="none"/>
        </w:rPr>
        <w:t>；公务用车购置及运行维护费支出</w:t>
      </w:r>
      <w:r>
        <w:rPr>
          <w:rFonts w:hint="eastAsia" w:ascii="仿宋_GB2312" w:eastAsia="仿宋_GB2312"/>
          <w:sz w:val="32"/>
          <w:szCs w:val="32"/>
          <w:highlight w:val="none"/>
          <w:lang w:val="en-US" w:eastAsia="zh-CN"/>
        </w:rPr>
        <w:t>9.45</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上年减少</w:t>
      </w:r>
      <w:r>
        <w:rPr>
          <w:rFonts w:hint="eastAsia" w:ascii="仿宋_GB2312" w:eastAsia="仿宋_GB2312"/>
          <w:sz w:val="32"/>
          <w:szCs w:val="32"/>
          <w:highlight w:val="none"/>
          <w:lang w:val="en-US" w:eastAsia="zh-CN"/>
        </w:rPr>
        <w:t>2.43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20.45</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“三公”经费支出主要是车辆运行经费，按照减负要求，本部门下去检查，督导，调研的出车频次减少，导致车辆燃油费的减少；公务接待费支出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上年</w:t>
      </w:r>
      <w:r>
        <w:rPr>
          <w:rFonts w:hint="eastAsia" w:ascii="仿宋_GB2312" w:eastAsia="仿宋_GB2312"/>
          <w:sz w:val="32"/>
          <w:szCs w:val="32"/>
          <w:highlight w:val="none"/>
          <w:lang w:val="en-US" w:eastAsia="zh-CN"/>
        </w:rPr>
        <w:t>相比无变化</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本年无公务接待费支出，与上年相比无变动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b/>
          <w:bCs/>
          <w:sz w:val="32"/>
          <w:szCs w:val="32"/>
          <w:highlight w:val="none"/>
        </w:rPr>
      </w:pPr>
      <w:r>
        <w:rPr>
          <w:rFonts w:hint="eastAsia" w:ascii="仿宋_GB2312" w:eastAsia="仿宋_GB2312"/>
          <w:b/>
          <w:bCs/>
          <w:sz w:val="32"/>
          <w:szCs w:val="32"/>
          <w:highlight w:val="none"/>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开支内容包括</w:t>
      </w:r>
      <w:r>
        <w:rPr>
          <w:rFonts w:hint="eastAsia" w:ascii="Times New Roman" w:hAnsi="Times New Roman" w:eastAsia="方正仿宋_GBK" w:cs="Times New Roman"/>
          <w:color w:val="auto"/>
          <w:sz w:val="31"/>
          <w:szCs w:val="31"/>
          <w:highlight w:val="none"/>
          <w:lang w:val="zh-CN" w:eastAsia="zh-CN"/>
        </w:rPr>
        <w:t>本年未安排因公出国（境）费支出，无开支内容</w:t>
      </w:r>
      <w:r>
        <w:rPr>
          <w:rFonts w:hint="eastAsia" w:ascii="仿宋_GB2312" w:eastAsia="仿宋_GB2312"/>
          <w:sz w:val="32"/>
          <w:szCs w:val="32"/>
          <w:highlight w:val="none"/>
        </w:rPr>
        <w:t>。单位全年安排的因公出国（境）团组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个，因公出国（境）</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公务用车购置及运行维护费</w:t>
      </w:r>
      <w:r>
        <w:rPr>
          <w:rFonts w:hint="eastAsia" w:ascii="仿宋_GB2312" w:eastAsia="仿宋_GB2312"/>
          <w:sz w:val="32"/>
          <w:szCs w:val="32"/>
          <w:highlight w:val="none"/>
          <w:lang w:val="en-US" w:eastAsia="zh-CN"/>
        </w:rPr>
        <w:t>9.45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公务用车购置费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万元，公务用车运行维护费</w:t>
      </w:r>
      <w:r>
        <w:rPr>
          <w:rFonts w:hint="eastAsia" w:ascii="仿宋_GB2312" w:eastAsia="仿宋_GB2312"/>
          <w:sz w:val="32"/>
          <w:szCs w:val="32"/>
          <w:highlight w:val="none"/>
          <w:lang w:val="en-US" w:eastAsia="zh-CN"/>
        </w:rPr>
        <w:t>9.45</w:t>
      </w:r>
      <w:r>
        <w:rPr>
          <w:rFonts w:hint="eastAsia" w:ascii="仿宋_GB2312" w:eastAsia="仿宋_GB2312"/>
          <w:sz w:val="32"/>
          <w:szCs w:val="32"/>
          <w:highlight w:val="none"/>
        </w:rPr>
        <w:t>万元。公务用车运行维护费开支内容包括</w:t>
      </w:r>
      <w:r>
        <w:rPr>
          <w:rFonts w:hint="eastAsia" w:ascii="Times New Roman" w:hAnsi="Times New Roman" w:eastAsia="方正仿宋_GBK" w:cs="Times New Roman"/>
          <w:color w:val="auto"/>
          <w:sz w:val="31"/>
          <w:szCs w:val="31"/>
          <w:highlight w:val="none"/>
          <w:lang w:val="zh-CN" w:eastAsia="zh-CN"/>
        </w:rPr>
        <w:t>公务用车油料、车辆保险费及车辆维修费</w:t>
      </w:r>
      <w:r>
        <w:rPr>
          <w:rFonts w:hint="eastAsia" w:ascii="仿宋_GB2312" w:eastAsia="仿宋_GB2312"/>
          <w:sz w:val="32"/>
          <w:szCs w:val="32"/>
          <w:highlight w:val="none"/>
        </w:rPr>
        <w:t>。公务用车购置数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辆，公务用车保有量</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辆。国有资产占用情况</w:t>
      </w:r>
      <w:r>
        <w:rPr>
          <w:rFonts w:hint="eastAsia" w:ascii="仿宋_GB2312" w:eastAsia="仿宋_GB2312"/>
          <w:sz w:val="32"/>
          <w:szCs w:val="32"/>
          <w:highlight w:val="none"/>
          <w:lang w:val="en-US" w:eastAsia="zh-CN"/>
        </w:rPr>
        <w:t>中固定资产车辆8</w:t>
      </w:r>
      <w:r>
        <w:rPr>
          <w:rFonts w:hint="eastAsia" w:ascii="仿宋_GB2312" w:eastAsia="仿宋_GB2312"/>
          <w:sz w:val="32"/>
          <w:szCs w:val="32"/>
          <w:highlight w:val="none"/>
        </w:rPr>
        <w:t>辆</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Times New Roman" w:hAnsi="Times New Roman" w:eastAsia="方正仿宋_GBK" w:cs="Times New Roman"/>
          <w:color w:val="auto"/>
          <w:sz w:val="31"/>
          <w:szCs w:val="31"/>
          <w:highlight w:val="none"/>
          <w:lang w:val="zh-CN" w:eastAsia="zh-CN"/>
        </w:rPr>
        <w:t>我单位公务用车保有量无差异</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万元，开支内容包括</w:t>
      </w:r>
      <w:r>
        <w:rPr>
          <w:rFonts w:hint="eastAsia" w:ascii="Times New Roman" w:hAnsi="Times New Roman" w:eastAsia="方正仿宋_GBK" w:cs="Times New Roman"/>
          <w:color w:val="auto"/>
          <w:sz w:val="31"/>
          <w:szCs w:val="31"/>
          <w:highlight w:val="none"/>
          <w:lang w:val="zh-CN" w:eastAsia="zh-CN"/>
        </w:rPr>
        <w:t>本年未安排公务接待费支出，无开支内容</w:t>
      </w:r>
      <w:r>
        <w:rPr>
          <w:rFonts w:hint="eastAsia" w:ascii="仿宋_GB2312" w:eastAsia="仿宋_GB2312"/>
          <w:sz w:val="32"/>
          <w:szCs w:val="32"/>
          <w:highlight w:val="none"/>
        </w:rPr>
        <w:t>。单位全年安排的国内公务接待</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eastAsia="zh-CN"/>
        </w:rPr>
        <w:t>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财政拨款</w:t>
      </w:r>
      <w:r>
        <w:rPr>
          <w:rFonts w:hint="eastAsia" w:ascii="仿宋_GB2312" w:eastAsia="仿宋_GB2312"/>
          <w:b w:val="0"/>
          <w:bCs w:val="0"/>
          <w:sz w:val="32"/>
          <w:szCs w:val="32"/>
          <w:highlight w:val="none"/>
        </w:rPr>
        <w:t>“</w:t>
      </w:r>
      <w:r>
        <w:rPr>
          <w:rFonts w:hint="eastAsia" w:ascii="仿宋_GB2312" w:eastAsia="仿宋_GB2312"/>
          <w:sz w:val="32"/>
          <w:szCs w:val="32"/>
          <w:highlight w:val="none"/>
        </w:rPr>
        <w:t>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eastAsia="zh-CN"/>
        </w:rPr>
        <w:t>预算数</w:t>
      </w:r>
      <w:r>
        <w:rPr>
          <w:rFonts w:hint="eastAsia" w:ascii="仿宋_GB2312" w:eastAsia="仿宋_GB2312"/>
          <w:sz w:val="32"/>
          <w:szCs w:val="32"/>
          <w:highlight w:val="none"/>
          <w:lang w:val="en-US" w:eastAsia="zh-CN"/>
        </w:rPr>
        <w:t>9.45</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9.45</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严格控制“三公”经费，厉行节约，与全年预算数一致无变化</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hAnsi="宋体" w:eastAsia="仿宋_GB2312" w:cs="宋体"/>
          <w:kern w:val="0"/>
          <w:sz w:val="32"/>
          <w:szCs w:val="32"/>
          <w:highlight w:val="none"/>
          <w:lang w:val="en-US" w:eastAsia="zh-CN"/>
        </w:rPr>
        <w:t>全年预算数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本年未安排因公出国（境）费支出，无开支内容，与全年预算数一致无变化</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本年无公务用车购置支出，与全年预算数相比无变动</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9.45</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9.45</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严格控制“三公”经费，厉行节约，与全年预算数一致无变化</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本年未安排公务接待费支出，无开支内容，与全年预算数一致无变化。</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8" w:name="_Toc16395"/>
      <w:bookmarkStart w:id="29"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30" w:name="_Toc13105"/>
      <w:bookmarkStart w:id="31" w:name="_Toc21748"/>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w:t>
      </w:r>
      <w:r>
        <w:rPr>
          <w:rFonts w:hint="eastAsia" w:ascii="黑体" w:hAnsi="黑体" w:eastAsia="黑体"/>
          <w:sz w:val="32"/>
          <w:szCs w:val="32"/>
          <w:highlight w:val="none"/>
          <w:lang w:val="en-US" w:eastAsia="zh-CN"/>
        </w:rPr>
        <w:t>及公用经费</w:t>
      </w:r>
      <w:r>
        <w:rPr>
          <w:rFonts w:hint="eastAsia" w:ascii="黑体" w:hAnsi="黑体" w:eastAsia="黑体"/>
          <w:sz w:val="32"/>
          <w:szCs w:val="32"/>
          <w:highlight w:val="none"/>
        </w:rPr>
        <w:t>支出情况</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lang w:val="en-US" w:eastAsia="zh-CN"/>
        </w:rPr>
        <w:t>中共库尔勒市委员会政法委员会</w:t>
      </w:r>
      <w:r>
        <w:rPr>
          <w:rFonts w:hint="eastAsia" w:ascii="仿宋_GB2312" w:eastAsia="仿宋_GB2312"/>
          <w:sz w:val="32"/>
          <w:szCs w:val="32"/>
          <w:highlight w:val="none"/>
        </w:rPr>
        <w:t>（行政单位和参照公务员法管理事业单位）</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机关运行经费支出</w:t>
      </w:r>
      <w:r>
        <w:rPr>
          <w:rFonts w:hint="eastAsia" w:ascii="仿宋_GB2312" w:eastAsia="仿宋_GB2312"/>
          <w:sz w:val="32"/>
          <w:szCs w:val="32"/>
          <w:highlight w:val="none"/>
          <w:lang w:val="en-US" w:eastAsia="zh-CN"/>
        </w:rPr>
        <w:t>216.24</w:t>
      </w:r>
      <w:r>
        <w:rPr>
          <w:rFonts w:hint="eastAsia" w:ascii="仿宋_GB2312" w:eastAsia="仿宋_GB2312"/>
          <w:sz w:val="32"/>
          <w:szCs w:val="32"/>
          <w:highlight w:val="none"/>
        </w:rPr>
        <w:t>万元，比上年减少</w:t>
      </w:r>
      <w:r>
        <w:rPr>
          <w:rFonts w:hint="eastAsia" w:ascii="仿宋_GB2312" w:eastAsia="仿宋_GB2312"/>
          <w:sz w:val="32"/>
          <w:szCs w:val="32"/>
          <w:highlight w:val="none"/>
          <w:lang w:val="en-US" w:eastAsia="zh-CN"/>
        </w:rPr>
        <w:t>67.39</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23.76</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由于矛调中心建设经费及国家安全主题宣教馆建设经费本年度都未进行支出安排，导致本年度机关运行经费较往年减少。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2" w:name="_Toc25177"/>
      <w:bookmarkStart w:id="33" w:name="_Toc26704"/>
      <w:r>
        <w:rPr>
          <w:rFonts w:hint="eastAsia" w:ascii="黑体" w:hAnsi="黑体" w:eastAsia="黑体"/>
          <w:sz w:val="32"/>
          <w:szCs w:val="32"/>
          <w:highlight w:val="none"/>
          <w:lang w:eastAsia="zh-CN"/>
        </w:rPr>
        <w:t>（二）政府采购情况</w:t>
      </w:r>
      <w:bookmarkEnd w:id="32"/>
      <w:bookmarkEnd w:id="3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政府采购支出总额</w:t>
      </w:r>
      <w:r>
        <w:rPr>
          <w:rFonts w:hint="eastAsia" w:ascii="仿宋_GB2312" w:eastAsia="仿宋_GB2312"/>
          <w:sz w:val="32"/>
          <w:szCs w:val="32"/>
          <w:highlight w:val="none"/>
          <w:lang w:val="en-US" w:eastAsia="zh-CN"/>
        </w:rPr>
        <w:t>13.51</w:t>
      </w:r>
      <w:r>
        <w:rPr>
          <w:rFonts w:hint="eastAsia" w:ascii="仿宋_GB2312" w:eastAsia="仿宋_GB2312"/>
          <w:sz w:val="32"/>
          <w:szCs w:val="32"/>
          <w:highlight w:val="none"/>
        </w:rPr>
        <w:t>万元，其中：政府采购货物支出</w:t>
      </w:r>
      <w:r>
        <w:rPr>
          <w:rFonts w:hint="eastAsia" w:ascii="仿宋_GB2312" w:eastAsia="仿宋_GB2312"/>
          <w:sz w:val="32"/>
          <w:szCs w:val="32"/>
          <w:highlight w:val="none"/>
          <w:lang w:val="en-US" w:eastAsia="zh-CN"/>
        </w:rPr>
        <w:t>6.03</w:t>
      </w:r>
      <w:r>
        <w:rPr>
          <w:rFonts w:hint="eastAsia" w:ascii="仿宋_GB2312" w:eastAsia="仿宋_GB2312"/>
          <w:sz w:val="32"/>
          <w:szCs w:val="32"/>
          <w:highlight w:val="none"/>
        </w:rPr>
        <w:t>万元、政府采购工程支出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万元、政府采购服务支出</w:t>
      </w:r>
      <w:r>
        <w:rPr>
          <w:rFonts w:hint="eastAsia" w:ascii="仿宋_GB2312" w:eastAsia="仿宋_GB2312"/>
          <w:sz w:val="32"/>
          <w:szCs w:val="32"/>
          <w:highlight w:val="none"/>
          <w:lang w:val="en-US" w:eastAsia="zh-CN"/>
        </w:rPr>
        <w:t>7.48</w:t>
      </w:r>
      <w:r>
        <w:rPr>
          <w:rFonts w:hint="eastAsia" w:ascii="仿宋_GB2312" w:eastAsia="仿宋_GB2312"/>
          <w:sz w:val="32"/>
          <w:szCs w:val="32"/>
          <w:highlight w:val="none"/>
        </w:rPr>
        <w:t>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w:t>
      </w:r>
      <w:r>
        <w:rPr>
          <w:rFonts w:hint="eastAsia" w:ascii="仿宋_GB2312" w:eastAsia="仿宋_GB2312"/>
          <w:sz w:val="32"/>
          <w:szCs w:val="32"/>
          <w:highlight w:val="none"/>
          <w:lang w:val="en-US" w:eastAsia="zh-CN"/>
        </w:rPr>
        <w:t>12.51</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92.6%</w:t>
      </w:r>
      <w:r>
        <w:rPr>
          <w:rFonts w:hint="eastAsia" w:ascii="仿宋_GB2312" w:eastAsia="仿宋_GB2312"/>
          <w:sz w:val="32"/>
          <w:szCs w:val="32"/>
          <w:highlight w:val="none"/>
        </w:rPr>
        <w:t>，其中：授予小微企业合同金额</w:t>
      </w:r>
      <w:r>
        <w:rPr>
          <w:rFonts w:hint="eastAsia" w:ascii="仿宋_GB2312" w:eastAsia="仿宋_GB2312"/>
          <w:sz w:val="32"/>
          <w:szCs w:val="32"/>
          <w:highlight w:val="none"/>
          <w:lang w:val="en-US" w:eastAsia="zh-CN"/>
        </w:rPr>
        <w:t>7.27</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53.81%。</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4" w:name="_Toc4591"/>
      <w:bookmarkStart w:id="35" w:name="_Toc31294"/>
      <w:r>
        <w:rPr>
          <w:rFonts w:hint="eastAsia" w:ascii="黑体" w:hAnsi="黑体" w:eastAsia="黑体"/>
          <w:sz w:val="32"/>
          <w:szCs w:val="32"/>
          <w:highlight w:val="none"/>
          <w:lang w:eastAsia="zh-CN"/>
        </w:rPr>
        <w:t>（三）国有资产占用情况说明</w:t>
      </w:r>
      <w:bookmarkEnd w:id="34"/>
      <w:bookmarkEnd w:id="3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截至</w:t>
      </w:r>
      <w:r>
        <w:rPr>
          <w:rFonts w:hint="eastAsia" w:ascii="仿宋_GB2312" w:eastAsia="仿宋_GB2312"/>
          <w:spacing w:val="0"/>
          <w:sz w:val="32"/>
          <w:szCs w:val="32"/>
          <w:highlight w:val="none"/>
          <w:lang w:val="en-US" w:eastAsia="zh-CN"/>
        </w:rPr>
        <w:t>2024</w:t>
      </w:r>
      <w:r>
        <w:rPr>
          <w:rFonts w:hint="eastAsia" w:ascii="仿宋_GB2312" w:eastAsia="仿宋_GB2312"/>
          <w:spacing w:val="0"/>
          <w:sz w:val="32"/>
          <w:szCs w:val="32"/>
          <w:highlight w:val="none"/>
          <w:lang w:eastAsia="zh-CN"/>
        </w:rPr>
        <w:t>年</w:t>
      </w:r>
      <w:r>
        <w:rPr>
          <w:rFonts w:hint="eastAsia" w:ascii="仿宋_GB2312" w:eastAsia="仿宋_GB2312"/>
          <w:spacing w:val="0"/>
          <w:sz w:val="32"/>
          <w:szCs w:val="32"/>
          <w:highlight w:val="none"/>
          <w:lang w:val="en-US" w:eastAsia="zh-CN"/>
        </w:rPr>
        <w:t>12月31日</w:t>
      </w:r>
      <w:r>
        <w:rPr>
          <w:rFonts w:hint="eastAsia" w:ascii="仿宋_GB2312" w:eastAsia="仿宋_GB2312"/>
          <w:spacing w:val="0"/>
          <w:sz w:val="32"/>
          <w:szCs w:val="32"/>
          <w:highlight w:val="none"/>
          <w:lang w:eastAsia="zh-CN"/>
        </w:rPr>
        <w:t>，</w:t>
      </w:r>
      <w:r>
        <w:rPr>
          <w:rFonts w:hint="eastAsia" w:ascii="仿宋_GB2312" w:eastAsia="仿宋_GB2312"/>
          <w:sz w:val="32"/>
          <w:szCs w:val="32"/>
          <w:highlight w:val="none"/>
          <w:lang w:val="en-US" w:eastAsia="zh-CN"/>
        </w:rPr>
        <w:t>房</w:t>
      </w:r>
      <w:r>
        <w:rPr>
          <w:rFonts w:hint="eastAsia" w:ascii="仿宋_GB2312" w:eastAsia="仿宋_GB2312"/>
          <w:sz w:val="32"/>
          <w:szCs w:val="32"/>
          <w:highlight w:val="none"/>
        </w:rPr>
        <w:t>屋</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平方米</w:t>
      </w:r>
      <w:r>
        <w:rPr>
          <w:rFonts w:hint="eastAsia" w:ascii="仿宋_GB2312" w:eastAsia="仿宋_GB2312"/>
          <w:sz w:val="32"/>
          <w:szCs w:val="32"/>
          <w:highlight w:val="none"/>
          <w:lang w:eastAsia="zh-CN"/>
        </w:rPr>
        <w:t>，价值</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辆，价值</w:t>
      </w:r>
      <w:r>
        <w:rPr>
          <w:rFonts w:hint="eastAsia" w:ascii="仿宋_GB2312" w:eastAsia="仿宋_GB2312"/>
          <w:sz w:val="32"/>
          <w:szCs w:val="32"/>
          <w:highlight w:val="none"/>
          <w:lang w:val="en-US" w:eastAsia="zh-CN"/>
        </w:rPr>
        <w:t>107.96</w:t>
      </w:r>
      <w:r>
        <w:rPr>
          <w:rFonts w:hint="eastAsia" w:ascii="仿宋_GB2312" w:eastAsia="仿宋_GB2312"/>
          <w:sz w:val="32"/>
          <w:szCs w:val="32"/>
          <w:highlight w:val="none"/>
        </w:rPr>
        <w:t>万元，其中：副部（省）级及以上领导用车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辆、主要</w:t>
      </w:r>
      <w:r>
        <w:rPr>
          <w:rFonts w:hint="eastAsia" w:ascii="仿宋_GB2312" w:eastAsia="仿宋_GB2312"/>
          <w:sz w:val="32"/>
          <w:szCs w:val="32"/>
          <w:highlight w:val="none"/>
          <w:lang w:val="en-US" w:eastAsia="zh-CN"/>
        </w:rPr>
        <w:t>负责人</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辆、应急保障用车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w:t>
      </w:r>
      <w:r>
        <w:rPr>
          <w:rFonts w:hint="eastAsia" w:ascii="仿宋_GB2312" w:eastAsia="仿宋_GB2312"/>
          <w:sz w:val="32"/>
          <w:szCs w:val="32"/>
          <w:highlight w:val="none"/>
          <w:lang w:val="en-US" w:eastAsia="zh-CN"/>
        </w:rPr>
        <w:t>服务</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辆、其他用车</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辆，其他用车主要是：</w:t>
      </w:r>
      <w:r>
        <w:rPr>
          <w:rFonts w:hint="eastAsia" w:ascii="Times New Roman" w:hAnsi="Times New Roman" w:eastAsia="方正仿宋_GBK" w:cs="Times New Roman"/>
          <w:color w:val="auto"/>
          <w:sz w:val="31"/>
          <w:szCs w:val="31"/>
          <w:highlight w:val="none"/>
          <w:lang w:val="en-US" w:eastAsia="zh-CN"/>
        </w:rPr>
        <w:t>小轿车6辆、越野车1辆，全部为业务用车</w:t>
      </w:r>
      <w:r>
        <w:rPr>
          <w:rFonts w:hint="eastAsia" w:ascii="仿宋_GB2312" w:eastAsia="仿宋_GB2312"/>
          <w:sz w:val="32"/>
          <w:szCs w:val="32"/>
          <w:highlight w:val="none"/>
        </w:rPr>
        <w:t>；单价100万元（含）以上设备（不含车辆）</w:t>
      </w:r>
      <w:r>
        <w:rPr>
          <w:rFonts w:hint="eastAsia" w:ascii="仿宋_GB2312" w:eastAsia="仿宋_GB2312"/>
          <w:sz w:val="32"/>
          <w:szCs w:val="32"/>
          <w:highlight w:val="none"/>
          <w:lang w:val="en-US" w:eastAsia="zh-CN"/>
        </w:rPr>
        <w:t>0台（</w:t>
      </w:r>
      <w:r>
        <w:rPr>
          <w:rFonts w:hint="eastAsia" w:ascii="仿宋_GB2312" w:eastAsia="仿宋_GB2312"/>
          <w:sz w:val="32"/>
          <w:szCs w:val="32"/>
          <w:highlight w:val="none"/>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36" w:name="_Toc435"/>
      <w:bookmarkStart w:id="37" w:name="_Toc1766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36"/>
      <w:bookmarkEnd w:id="37"/>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预算总额1494.87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实际执行总额1677.66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万元。预算绩效管理取得的成效：</w:t>
      </w:r>
      <w:r>
        <w:rPr>
          <w:rFonts w:hint="default" w:ascii="Times New Roman" w:hAnsi="Times New Roman" w:eastAsia="方正仿宋_GBK" w:cs="Times New Roman"/>
          <w:color w:val="auto"/>
          <w:sz w:val="31"/>
          <w:szCs w:val="31"/>
          <w:highlight w:val="none"/>
          <w:lang w:val="en-US" w:eastAsia="zh-CN"/>
        </w:rPr>
        <w:t>一是建立了</w:t>
      </w:r>
      <w:r>
        <w:rPr>
          <w:rFonts w:hint="eastAsia" w:ascii="Times New Roman" w:hAnsi="Times New Roman" w:eastAsia="方正仿宋_GBK" w:cs="Times New Roman"/>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全方位、全过程、全覆盖</w:t>
      </w:r>
      <w:r>
        <w:rPr>
          <w:rFonts w:hint="eastAsia" w:ascii="Times New Roman" w:hAnsi="Times New Roman" w:eastAsia="方正仿宋_GBK" w:cs="Times New Roman"/>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的预算绩效管理体系</w:t>
      </w:r>
      <w:r>
        <w:rPr>
          <w:rFonts w:hint="eastAsia" w:ascii="Times New Roman" w:hAnsi="Times New Roman" w:eastAsia="方正仿宋_GBK" w:cs="Times New Roman"/>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二是形成了预算编制有目标、预算执行有监控、预算完成有评价、评价结果有反馈、反馈结果有应用的预算绩效管理机制</w:t>
      </w:r>
      <w:r>
        <w:rPr>
          <w:rFonts w:hint="eastAsia" w:ascii="仿宋_GB2312" w:eastAsia="仿宋_GB2312"/>
          <w:sz w:val="32"/>
          <w:szCs w:val="32"/>
          <w:highlight w:val="none"/>
          <w:lang w:eastAsia="zh-CN"/>
        </w:rPr>
        <w:t>。发现的问题及原因：</w:t>
      </w:r>
      <w:r>
        <w:rPr>
          <w:rFonts w:hint="default" w:ascii="Times New Roman" w:hAnsi="Times New Roman" w:eastAsia="方正仿宋_GBK" w:cs="Times New Roman"/>
          <w:color w:val="auto"/>
          <w:sz w:val="31"/>
          <w:szCs w:val="31"/>
          <w:highlight w:val="none"/>
          <w:lang w:val="en-US" w:eastAsia="zh-CN"/>
        </w:rPr>
        <w:t>一是预算指标下达不能和绩效完全同步，资金滞后情况较明显；二是预算执行与预算编制存在较大差异。由于财政部门与预算部门之间的职能和分工不同，财政部门掌握信息与预算单位存在不对称，财政部门难以准确掌握各预算单位的职责，对单位自编项目不能提出很好的建议，而是采用一刀切，按上年的预算数编制</w:t>
      </w:r>
      <w:r>
        <w:rPr>
          <w:rFonts w:hint="eastAsia" w:ascii="Times New Roman" w:hAnsi="Times New Roman" w:eastAsia="方正仿宋_GBK" w:cs="Times New Roman"/>
          <w:color w:val="auto"/>
          <w:sz w:val="31"/>
          <w:szCs w:val="31"/>
          <w:highlight w:val="none"/>
          <w:lang w:val="en-US" w:eastAsia="zh-CN"/>
        </w:rPr>
        <w:t>。</w:t>
      </w:r>
      <w:r>
        <w:rPr>
          <w:rFonts w:hint="eastAsia" w:ascii="仿宋_GB2312" w:eastAsia="仿宋_GB2312"/>
          <w:sz w:val="32"/>
          <w:szCs w:val="32"/>
          <w:highlight w:val="none"/>
          <w:lang w:eastAsia="zh-CN"/>
        </w:rPr>
        <w:t>下一步改进措施：</w:t>
      </w:r>
      <w:r>
        <w:rPr>
          <w:rFonts w:hint="default" w:ascii="Times New Roman" w:hAnsi="Times New Roman" w:eastAsia="方正仿宋_GBK" w:cs="Times New Roman"/>
          <w:color w:val="auto"/>
          <w:sz w:val="31"/>
          <w:szCs w:val="31"/>
          <w:highlight w:val="none"/>
          <w:lang w:val="en-US" w:eastAsia="zh-CN"/>
        </w:rPr>
        <w:t>一是加强预算编制管理，夯实预算执行基础；二是部门预算须遵循量入为出、收支平衡的原则，稳妥可靠，采取有效的程序和方法合理安排各项资金，达到综合预算、不偏不漏</w:t>
      </w:r>
      <w:r>
        <w:rPr>
          <w:rFonts w:hint="eastAsia" w:ascii="Times New Roman" w:hAnsi="Times New Roman" w:eastAsia="方正仿宋_GBK" w:cs="Times New Roman"/>
          <w:color w:val="auto"/>
          <w:sz w:val="31"/>
          <w:szCs w:val="31"/>
          <w:highlight w:val="none"/>
          <w:lang w:val="en-US" w:eastAsia="zh-CN"/>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bookmarkStart w:id="38" w:name="_Toc30038"/>
      <w:bookmarkStart w:id="39" w:name="_Toc24143"/>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8"/>
      <w:bookmarkEnd w:id="39"/>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40" w:name="_Toc6831"/>
      <w:r>
        <w:rPr>
          <w:rFonts w:hint="eastAsia" w:ascii="黑体" w:hAnsi="黑体" w:eastAsia="黑体"/>
          <w:sz w:val="32"/>
          <w:szCs w:val="32"/>
          <w:highlight w:val="none"/>
        </w:rPr>
        <w:t>第四部分 部门决算报表（见附表）</w:t>
      </w:r>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1" w:name="_Toc3845"/>
      <w:bookmarkStart w:id="42" w:name="_Toc6062"/>
      <w:r>
        <w:rPr>
          <w:rFonts w:hint="eastAsia" w:ascii="仿宋_GB2312" w:hAnsi="仿宋_GB2312" w:eastAsia="仿宋_GB2312" w:cs="仿宋_GB2312"/>
          <w:bCs/>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3" w:name="_Toc30364"/>
      <w:bookmarkStart w:id="44" w:name="_Toc11927"/>
      <w:r>
        <w:rPr>
          <w:rFonts w:hint="eastAsia" w:ascii="仿宋_GB2312" w:hAnsi="仿宋_GB2312" w:eastAsia="仿宋_GB2312" w:cs="仿宋_GB2312"/>
          <w:bCs/>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5" w:name="_Toc21304"/>
      <w:bookmarkStart w:id="46" w:name="_Toc7443"/>
      <w:r>
        <w:rPr>
          <w:rFonts w:hint="eastAsia" w:ascii="仿宋_GB2312" w:hAnsi="仿宋_GB2312" w:eastAsia="仿宋_GB2312" w:cs="仿宋_GB2312"/>
          <w:bCs/>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7" w:name="_Toc24884"/>
      <w:bookmarkStart w:id="48" w:name="_Toc14238"/>
      <w:r>
        <w:rPr>
          <w:rFonts w:hint="eastAsia" w:ascii="仿宋_GB2312" w:hAnsi="仿宋_GB2312" w:eastAsia="仿宋_GB2312" w:cs="仿宋_GB2312"/>
          <w:bCs/>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9" w:name="_Toc10347"/>
      <w:bookmarkStart w:id="50" w:name="_Toc16518"/>
      <w:r>
        <w:rPr>
          <w:rFonts w:hint="eastAsia" w:ascii="仿宋_GB2312" w:hAnsi="仿宋_GB2312" w:eastAsia="仿宋_GB2312" w:cs="仿宋_GB2312"/>
          <w:bCs/>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1" w:name="_Toc20514"/>
      <w:bookmarkStart w:id="52" w:name="_Toc5626"/>
      <w:r>
        <w:rPr>
          <w:rFonts w:hint="eastAsia" w:ascii="仿宋_GB2312" w:hAnsi="仿宋_GB2312" w:eastAsia="仿宋_GB2312" w:cs="仿宋_GB2312"/>
          <w:bCs/>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3" w:name="_Toc5453"/>
      <w:bookmarkStart w:id="54" w:name="_Toc18055"/>
      <w:r>
        <w:rPr>
          <w:rFonts w:hint="eastAsia" w:ascii="仿宋_GB2312" w:hAnsi="仿宋_GB2312" w:eastAsia="仿宋_GB2312" w:cs="仿宋_GB2312"/>
          <w:bCs/>
          <w:kern w:val="0"/>
          <w:sz w:val="32"/>
          <w:szCs w:val="32"/>
          <w:highlight w:val="none"/>
        </w:rPr>
        <w:t>七、《政府性基金预算财政拨款收入支出决算表》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5"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5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6" w:name="_Toc29106"/>
      <w:bookmarkStart w:id="57" w:name="_Toc18861"/>
      <w:bookmarkStart w:id="58" w:name="_Toc32663"/>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56"/>
      <w:bookmarkEnd w:id="57"/>
      <w:bookmarkEnd w:id="5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rPr>
          <w:rFonts w:hint="eastAsia"/>
          <w:lang w:val="en-US" w:eastAsia="zh-CN"/>
        </w:rPr>
        <w:t xml:space="preserve"> </w:t>
      </w:r>
    </w:p>
    <w:p>
      <w:pPr>
        <w:pStyle w:val="2"/>
        <w:ind w:left="0" w:leftChars="0" w:firstLine="0" w:firstLineChars="0"/>
        <w:jc w:val="both"/>
        <w:rPr>
          <w:rFonts w:hint="eastAsia"/>
          <w:lang w:val="en-US" w:eastAsia="zh-CN"/>
        </w:rPr>
      </w:pPr>
      <w:r>
        <w:drawing>
          <wp:inline distT="0" distB="0" distL="114300" distR="114300">
            <wp:extent cx="5270500" cy="4608830"/>
            <wp:effectExtent l="0" t="0" r="635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70500" cy="4608830"/>
                    </a:xfrm>
                    <a:prstGeom prst="rect">
                      <a:avLst/>
                    </a:prstGeom>
                    <a:noFill/>
                    <a:ln>
                      <a:noFill/>
                    </a:ln>
                  </pic:spPr>
                </pic:pic>
              </a:graphicData>
            </a:graphic>
          </wp:inline>
        </w:drawing>
      </w: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jc w:val="both"/>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仿宋_GB2312" w:hAnsi="仿宋_GB2312" w:eastAsia="仿宋_GB2312" w:cs="仿宋_GB2312"/>
          <w:bCs/>
          <w:kern w:val="0"/>
          <w:sz w:val="32"/>
          <w:szCs w:val="32"/>
          <w:highlight w:val="none"/>
          <w:lang w:val="en-US" w:eastAsia="zh-CN"/>
        </w:rPr>
      </w:pPr>
      <w:r>
        <w:drawing>
          <wp:inline distT="0" distB="0" distL="114300" distR="114300">
            <wp:extent cx="5267325" cy="3240405"/>
            <wp:effectExtent l="0" t="0" r="9525" b="171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7325" cy="3240405"/>
                    </a:xfrm>
                    <a:prstGeom prst="rect">
                      <a:avLst/>
                    </a:prstGeom>
                    <a:noFill/>
                    <a:ln>
                      <a:noFill/>
                    </a:ln>
                  </pic:spPr>
                </pic:pic>
              </a:graphicData>
            </a:graphic>
          </wp:inline>
        </w:drawing>
      </w:r>
      <w:r>
        <w:rPr>
          <w:rFonts w:hint="eastAsia" w:ascii="仿宋_GB2312" w:hAnsi="仿宋_GB2312" w:eastAsia="仿宋_GB2312" w:cs="仿宋_GB2312"/>
          <w:bCs/>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pStyle w:val="2"/>
        <w:ind w:left="0" w:leftChars="0" w:firstLine="0" w:firstLineChars="0"/>
        <w:jc w:val="both"/>
        <w:rPr>
          <w:rFonts w:hint="eastAsia"/>
          <w:lang w:val="en-US" w:eastAsia="zh-CN"/>
        </w:rPr>
      </w:pPr>
      <w:r>
        <w:drawing>
          <wp:inline distT="0" distB="0" distL="114300" distR="114300">
            <wp:extent cx="5264785" cy="3920490"/>
            <wp:effectExtent l="0" t="0" r="12065" b="381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5264785" cy="39204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drawing>
          <wp:inline distT="0" distB="0" distL="114300" distR="114300">
            <wp:extent cx="5266055" cy="3611880"/>
            <wp:effectExtent l="0" t="0" r="10795" b="762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266055" cy="361188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drawing>
          <wp:inline distT="0" distB="0" distL="114300" distR="114300">
            <wp:extent cx="5273675" cy="4305935"/>
            <wp:effectExtent l="0" t="0" r="3175" b="184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5273675" cy="43059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drawing>
          <wp:inline distT="0" distB="0" distL="114300" distR="114300">
            <wp:extent cx="5266690" cy="4488180"/>
            <wp:effectExtent l="0" t="0" r="10160" b="762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5266690" cy="448818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drawing>
          <wp:inline distT="0" distB="0" distL="114300" distR="114300">
            <wp:extent cx="5268595" cy="1835785"/>
            <wp:effectExtent l="0" t="0" r="8255" b="1206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5268595" cy="18357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drawing>
          <wp:inline distT="0" distB="0" distL="114300" distR="114300">
            <wp:extent cx="5266690" cy="1633855"/>
            <wp:effectExtent l="0" t="0" r="10160" b="444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5266690" cy="16338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r>
        <w:drawing>
          <wp:inline distT="0" distB="0" distL="114300" distR="114300">
            <wp:extent cx="5260340" cy="837565"/>
            <wp:effectExtent l="0" t="0" r="16510" b="63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3"/>
                    <a:stretch>
                      <a:fillRect/>
                    </a:stretch>
                  </pic:blipFill>
                  <pic:spPr>
                    <a:xfrm>
                      <a:off x="0" y="0"/>
                      <a:ext cx="5260340" cy="837565"/>
                    </a:xfrm>
                    <a:prstGeom prst="rect">
                      <a:avLst/>
                    </a:prstGeom>
                    <a:noFill/>
                    <a:ln>
                      <a:noFill/>
                    </a:ln>
                  </pic:spPr>
                </pic:pic>
              </a:graphicData>
            </a:graphic>
          </wp:inline>
        </w:drawing>
      </w:r>
      <w:bookmarkStart w:id="59" w:name="_GoBack"/>
      <w:bookmarkEnd w:id="59"/>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28F91B-6CC6-41F1-A7B9-4B207FCB100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DB53729D-9EDF-43F4-9B29-6DE30BCE3A4D}"/>
  </w:font>
  <w:font w:name="仿宋_GB2312">
    <w:panose1 w:val="02010609030101010101"/>
    <w:charset w:val="86"/>
    <w:family w:val="modern"/>
    <w:pitch w:val="default"/>
    <w:sig w:usb0="00000000" w:usb1="00000000" w:usb2="00000000" w:usb3="00000000" w:csb0="00000000" w:csb1="00000000"/>
    <w:embedRegular r:id="rId3" w:fontKey="{FA4B6035-7E03-4D62-99DC-4009F2453001}"/>
  </w:font>
  <w:font w:name="方正仿宋_GBK">
    <w:panose1 w:val="03000509000000000000"/>
    <w:charset w:val="86"/>
    <w:family w:val="script"/>
    <w:pitch w:val="default"/>
    <w:sig w:usb0="00000001" w:usb1="080E0000" w:usb2="00000000" w:usb3="00000000" w:csb0="00040000" w:csb1="00000000"/>
    <w:embedRegular r:id="rId4" w:fontKey="{9C12E03F-0AF8-43D4-A728-9FF9A98ECD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D561D4"/>
    <w:rsid w:val="01043DE8"/>
    <w:rsid w:val="02F73D26"/>
    <w:rsid w:val="034D4FEF"/>
    <w:rsid w:val="03DE0026"/>
    <w:rsid w:val="043E5B56"/>
    <w:rsid w:val="051553BE"/>
    <w:rsid w:val="058D0CDC"/>
    <w:rsid w:val="06792773"/>
    <w:rsid w:val="07B618FD"/>
    <w:rsid w:val="09A729D8"/>
    <w:rsid w:val="0A7B4867"/>
    <w:rsid w:val="0ACE3209"/>
    <w:rsid w:val="0B313F14"/>
    <w:rsid w:val="0B8828FC"/>
    <w:rsid w:val="0B8C3ECC"/>
    <w:rsid w:val="0C130F17"/>
    <w:rsid w:val="0C2148AA"/>
    <w:rsid w:val="0C3613A3"/>
    <w:rsid w:val="0C6831DB"/>
    <w:rsid w:val="0C7227A7"/>
    <w:rsid w:val="0DCA6EF7"/>
    <w:rsid w:val="0E4B1576"/>
    <w:rsid w:val="0F515A3F"/>
    <w:rsid w:val="10714879"/>
    <w:rsid w:val="11E15093"/>
    <w:rsid w:val="120E0809"/>
    <w:rsid w:val="16770C53"/>
    <w:rsid w:val="1875698D"/>
    <w:rsid w:val="19071D6C"/>
    <w:rsid w:val="1A321764"/>
    <w:rsid w:val="1BD92F15"/>
    <w:rsid w:val="1C1F2403"/>
    <w:rsid w:val="1C317E4F"/>
    <w:rsid w:val="1C472464"/>
    <w:rsid w:val="1C67318C"/>
    <w:rsid w:val="1D0E3872"/>
    <w:rsid w:val="1DAF458D"/>
    <w:rsid w:val="1E086ACE"/>
    <w:rsid w:val="1EAA4A5F"/>
    <w:rsid w:val="1EFF7C6B"/>
    <w:rsid w:val="1F4F3245"/>
    <w:rsid w:val="1F587A0B"/>
    <w:rsid w:val="1FC26D96"/>
    <w:rsid w:val="2064678E"/>
    <w:rsid w:val="20DD6197"/>
    <w:rsid w:val="213C4CB1"/>
    <w:rsid w:val="213F7132"/>
    <w:rsid w:val="21F317F2"/>
    <w:rsid w:val="222D2440"/>
    <w:rsid w:val="2241392C"/>
    <w:rsid w:val="22E9256D"/>
    <w:rsid w:val="23BC04D2"/>
    <w:rsid w:val="23D02F95"/>
    <w:rsid w:val="24834D6D"/>
    <w:rsid w:val="25275618"/>
    <w:rsid w:val="25505063"/>
    <w:rsid w:val="26396007"/>
    <w:rsid w:val="27CF2642"/>
    <w:rsid w:val="282459E2"/>
    <w:rsid w:val="2A053397"/>
    <w:rsid w:val="2A444FB1"/>
    <w:rsid w:val="2A600FAF"/>
    <w:rsid w:val="2A6064E2"/>
    <w:rsid w:val="2BA9200B"/>
    <w:rsid w:val="2D1136DF"/>
    <w:rsid w:val="2D2F4BDE"/>
    <w:rsid w:val="2DAE0E44"/>
    <w:rsid w:val="2EA67158"/>
    <w:rsid w:val="2FAD56F1"/>
    <w:rsid w:val="2FD27414"/>
    <w:rsid w:val="30F50121"/>
    <w:rsid w:val="313F1D52"/>
    <w:rsid w:val="318029AB"/>
    <w:rsid w:val="31C63837"/>
    <w:rsid w:val="326F0A17"/>
    <w:rsid w:val="32E31AE6"/>
    <w:rsid w:val="38581EF6"/>
    <w:rsid w:val="3914510A"/>
    <w:rsid w:val="3A535067"/>
    <w:rsid w:val="3AE55365"/>
    <w:rsid w:val="3AF03229"/>
    <w:rsid w:val="3B1220C9"/>
    <w:rsid w:val="3D5275AC"/>
    <w:rsid w:val="3EA7725F"/>
    <w:rsid w:val="403F258E"/>
    <w:rsid w:val="40834692"/>
    <w:rsid w:val="40FC7F33"/>
    <w:rsid w:val="423A32B2"/>
    <w:rsid w:val="43B25EBB"/>
    <w:rsid w:val="44513EBA"/>
    <w:rsid w:val="460266D3"/>
    <w:rsid w:val="464B7E04"/>
    <w:rsid w:val="46901EEE"/>
    <w:rsid w:val="469C74D2"/>
    <w:rsid w:val="47445515"/>
    <w:rsid w:val="49545D4F"/>
    <w:rsid w:val="4A4B3685"/>
    <w:rsid w:val="4AE51416"/>
    <w:rsid w:val="4B4C0111"/>
    <w:rsid w:val="4C594AD5"/>
    <w:rsid w:val="4CE93907"/>
    <w:rsid w:val="4D730311"/>
    <w:rsid w:val="4DD86B79"/>
    <w:rsid w:val="4E1144D3"/>
    <w:rsid w:val="50D868FA"/>
    <w:rsid w:val="50DB5F45"/>
    <w:rsid w:val="51D3642E"/>
    <w:rsid w:val="52AE184B"/>
    <w:rsid w:val="52F92565"/>
    <w:rsid w:val="53461952"/>
    <w:rsid w:val="55B908E3"/>
    <w:rsid w:val="55DA564E"/>
    <w:rsid w:val="55E727CE"/>
    <w:rsid w:val="56E07045"/>
    <w:rsid w:val="57612749"/>
    <w:rsid w:val="583059FA"/>
    <w:rsid w:val="587E6212"/>
    <w:rsid w:val="59B92BBE"/>
    <w:rsid w:val="5AFC6609"/>
    <w:rsid w:val="5E135AE5"/>
    <w:rsid w:val="5E3B4C0C"/>
    <w:rsid w:val="5EDE59F8"/>
    <w:rsid w:val="5FA17648"/>
    <w:rsid w:val="613409CB"/>
    <w:rsid w:val="61A46A97"/>
    <w:rsid w:val="627A1F96"/>
    <w:rsid w:val="62DD7D21"/>
    <w:rsid w:val="63735F59"/>
    <w:rsid w:val="63B739A6"/>
    <w:rsid w:val="65073453"/>
    <w:rsid w:val="65D97752"/>
    <w:rsid w:val="664C500C"/>
    <w:rsid w:val="6773145F"/>
    <w:rsid w:val="67DC0CF0"/>
    <w:rsid w:val="682502E9"/>
    <w:rsid w:val="682C095B"/>
    <w:rsid w:val="683C618B"/>
    <w:rsid w:val="68D0752D"/>
    <w:rsid w:val="68DB0208"/>
    <w:rsid w:val="68DB7956"/>
    <w:rsid w:val="68E46489"/>
    <w:rsid w:val="69846A0E"/>
    <w:rsid w:val="69AD798C"/>
    <w:rsid w:val="6B68175F"/>
    <w:rsid w:val="6B8B5C99"/>
    <w:rsid w:val="6B913EFB"/>
    <w:rsid w:val="6CA806AA"/>
    <w:rsid w:val="6DE328F9"/>
    <w:rsid w:val="6E0F7A08"/>
    <w:rsid w:val="6E6E53E7"/>
    <w:rsid w:val="6E801ABC"/>
    <w:rsid w:val="71140714"/>
    <w:rsid w:val="713727E5"/>
    <w:rsid w:val="71473612"/>
    <w:rsid w:val="718F7F65"/>
    <w:rsid w:val="719E56A9"/>
    <w:rsid w:val="71D303FE"/>
    <w:rsid w:val="72020F2C"/>
    <w:rsid w:val="73423603"/>
    <w:rsid w:val="73DE4104"/>
    <w:rsid w:val="73FB6630"/>
    <w:rsid w:val="74CE04EC"/>
    <w:rsid w:val="74E76DCD"/>
    <w:rsid w:val="765228C7"/>
    <w:rsid w:val="76660D7C"/>
    <w:rsid w:val="770D7C9C"/>
    <w:rsid w:val="7780631D"/>
    <w:rsid w:val="77BD05A5"/>
    <w:rsid w:val="77ED6F44"/>
    <w:rsid w:val="78A02C29"/>
    <w:rsid w:val="78D67875"/>
    <w:rsid w:val="795A0A34"/>
    <w:rsid w:val="79FB30B5"/>
    <w:rsid w:val="7A0D3BC7"/>
    <w:rsid w:val="7A122FDD"/>
    <w:rsid w:val="7A3A3CDB"/>
    <w:rsid w:val="7A626036"/>
    <w:rsid w:val="7A743442"/>
    <w:rsid w:val="7DC1732E"/>
    <w:rsid w:val="7DE40172"/>
    <w:rsid w:val="7DE919B0"/>
    <w:rsid w:val="7EE746EF"/>
    <w:rsid w:val="7F242963"/>
    <w:rsid w:val="7FC434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widowControl w:val="0"/>
      <w:spacing w:before="260" w:after="260"/>
      <w:ind w:firstLine="200" w:firstLineChars="200"/>
      <w:jc w:val="center"/>
      <w:outlineLvl w:val="2"/>
    </w:pPr>
    <w:rPr>
      <w:rFonts w:ascii="Calibri" w:hAnsi="Calibri" w:eastAsia="黑体" w:cs="Times New Roman"/>
      <w:bCs/>
      <w:kern w:val="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6514</Words>
  <Characters>6595</Characters>
  <Lines>0</Lines>
  <Paragraphs>0</Paragraphs>
  <TotalTime>5</TotalTime>
  <ScaleCrop>false</ScaleCrop>
  <LinksUpToDate>false</LinksUpToDate>
  <CharactersWithSpaces>6606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2025-08-19T12:26:07Z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3B3CB53E43D349399417C043CC8A2498</vt:lpwstr>
  </property>
  <property fmtid="{D5CDD505-2E9C-101B-9397-08002B2CF9AE}" pid="4" name="KSOTemplateDocerSaveRecord">
    <vt:lpwstr>eyJoZGlkIjoiMDAwYmRmZTlkODBlYWI2MWEzOGMyNWRlOTFmY2QzMTQiLCJ1c2VySWQiOiI3MDk1OTYwNjkifQ==</vt:lpwstr>
  </property>
</Properties>
</file>