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中共库尔勒市委员会政法委员会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eastAsia="zh-CN"/>
        </w:rPr>
        <w:t>2024年度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ind w:left="0" w:leftChars="0"/>
        <w:jc w:val="center"/>
        <w:textAlignment w:val="auto"/>
        <w:rPr>
          <w:rFonts w:hint="eastAsia" w:ascii="黑体" w:hAnsi="黑体" w:eastAsia="黑体"/>
          <w:sz w:val="32"/>
          <w:szCs w:val="32"/>
          <w:highlight w:val="none"/>
        </w:rPr>
      </w:pPr>
      <w:r>
        <w:rPr>
          <w:rFonts w:hint="eastAsia" w:ascii="仿宋_GB2312" w:hAnsi="仿宋_GB2312" w:eastAsia="仿宋_GB2312" w:cs="仿宋_GB2312"/>
          <w:sz w:val="32"/>
          <w:szCs w:val="32"/>
          <w:highlight w:val="none"/>
        </w:rPr>
        <w:fldChar w:fldCharType="end"/>
      </w:r>
      <w:r>
        <w:rPr>
          <w:rFonts w:hint="eastAsia" w:ascii="仿宋_GB2312" w:eastAsia="仿宋_GB2312"/>
          <w:sz w:val="32"/>
          <w:szCs w:val="32"/>
          <w:highlight w:val="none"/>
        </w:rPr>
        <w:br w:type="page"/>
      </w:r>
      <w:bookmarkStart w:id="0" w:name="_Toc24028"/>
      <w:bookmarkStart w:id="1" w:name="_Toc31918"/>
      <w:r>
        <w:rPr>
          <w:rFonts w:hint="eastAsia" w:ascii="黑体" w:hAnsi="黑体" w:eastAsia="黑体"/>
          <w:sz w:val="32"/>
          <w:szCs w:val="32"/>
          <w:highlight w:val="none"/>
        </w:rPr>
        <w:t>第一部分 部门（单位）概况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kern w:val="0"/>
          <w:sz w:val="32"/>
          <w:szCs w:val="32"/>
          <w:highlight w:val="none"/>
        </w:rPr>
      </w:pPr>
      <w:bookmarkStart w:id="2" w:name="_Toc30738"/>
      <w:bookmarkStart w:id="3" w:name="_Toc2898"/>
      <w:r>
        <w:rPr>
          <w:rFonts w:hint="eastAsia" w:ascii="黑体" w:hAnsi="黑体" w:eastAsia="黑体" w:cs="宋体"/>
          <w:bCs/>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pPr>
      <w:bookmarkStart w:id="4" w:name="_Toc31238"/>
      <w:bookmarkStart w:id="5" w:name="_Toc1387"/>
      <w:r>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t>(一）在市党委统一领导下，深入贯彻习近平新时代中国特色社会主义思想，坚决执行党的路线方针政策和决策部署，统一政法单位思想和行动，坚持党对政法工作的绝对领导，坚决维护党中央权威和集中统一领导。</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pPr>
      <w:r>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t>（二）贯彻党中央决定和自治区、自治州及市党委工作要求，深入研究政法工作，提出全局性工作部署，推进平安库尔勒、法治库尔勒建设，深化智能化建设。坚决维护国家政治安全、确保社会大局稳定、促进社会公平正义、保障人民安居乐业。</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pPr>
      <w:r>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t>（三）了解掌握和分析研判社会稳定形势、政法工作情况动态，创新完善多部门参与的综治维稳和平安建设工作机制，协调推动预防、化解影响稳定的社会矛盾和风险，协调应对和妥善处置重大突发事件，协调指导政法单位和相关部门做好反邪教、反暴恐及重点群体教育转化、流动人口服务管理工作。</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pPr>
      <w:r>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t>（四）加强对政法工作的督查，统筹协调社会治安综合治理、维护社会稳定、反邪教等有关政策和国家法律法规的实施工作。分析研判维稳情况和信息，向市党委提供决策依据。</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pPr>
      <w:r>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t>（五）组织开展政法领域调查研究，研究拟定政法工作方针政策和重大措施，总结新经验、解决新问题，探索新形势下加强政法工作的新思路、新举措，及时向市党委提出建议。</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pPr>
      <w:r>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t>（六）掌握分析政法舆情动态，指导和协调政法单位媒体网络宣传和重大宣传工作。</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pPr>
      <w:r>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t>（七）支持和监督政法单位依法行使职权，指导和协调政法单位密切配合，协调和推动重大、疑难案件，推进严格执法、公正司法。</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pPr>
      <w:r>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t>（八）组织研究政法改革中带有方向性、倾向性和普遍性重大问题，深化政法改革。</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pPr>
      <w:r>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t>(九）指导推动政法单位党的建设和政法队伍建设，代管库尔勒市法学会工作。</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pPr>
      <w:r>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t>（十）完成市党委交办的其他任务。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r>
        <w:rPr>
          <w:rFonts w:hint="eastAsia" w:ascii="黑体" w:hAnsi="黑体" w:eastAsia="黑体" w:cs="宋体"/>
          <w:bCs/>
          <w:kern w:val="0"/>
          <w:sz w:val="32"/>
          <w:szCs w:val="32"/>
          <w:highlight w:val="none"/>
        </w:rPr>
        <w:t>二、机构设置</w:t>
      </w:r>
      <w:r>
        <w:rPr>
          <w:rFonts w:hint="eastAsia" w:ascii="黑体" w:hAnsi="黑体" w:eastAsia="黑体" w:cs="宋体"/>
          <w:bCs/>
          <w:kern w:val="0"/>
          <w:sz w:val="32"/>
          <w:szCs w:val="32"/>
          <w:highlight w:val="none"/>
          <w:lang w:eastAsia="zh-CN"/>
        </w:rPr>
        <w:t>及</w:t>
      </w:r>
      <w:bookmarkEnd w:id="4"/>
      <w:r>
        <w:rPr>
          <w:rFonts w:hint="eastAsia" w:ascii="黑体" w:hAnsi="黑体" w:eastAsia="黑体" w:cs="宋体"/>
          <w:bCs/>
          <w:kern w:val="0"/>
          <w:sz w:val="32"/>
          <w:szCs w:val="32"/>
          <w:highlight w:val="none"/>
          <w:lang w:eastAsia="zh-CN"/>
        </w:rPr>
        <w:t>人员</w:t>
      </w:r>
      <w:r>
        <w:rPr>
          <w:rFonts w:hint="eastAsia" w:ascii="黑体" w:hAnsi="黑体" w:eastAsia="黑体" w:cs="宋体"/>
          <w:bCs/>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eastAsia"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pPr>
      <w:r>
        <w:rPr>
          <w:rFonts w:hint="default"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新疆巴州中共库尔勒市委员会政法委员会</w:t>
      </w:r>
      <w:r>
        <w:rPr>
          <w:rFonts w:hint="eastAsia"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2024年度，实有人数101人，其中：在职人员89人，较上年无变化；离休人员1人，较上年无变化；退休人员11人，较上年无变化。</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pPr>
      <w:r>
        <w:rPr>
          <w:rFonts w:hint="eastAsia"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从部门决算单位构成看，</w:t>
      </w:r>
      <w:r>
        <w:rPr>
          <w:rFonts w:hint="default"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中共库尔勒市委员会政法委员会</w:t>
      </w:r>
      <w:r>
        <w:rPr>
          <w:rFonts w:hint="eastAsia"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部门决算包括：</w:t>
      </w:r>
      <w:r>
        <w:rPr>
          <w:rFonts w:hint="default"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中共库尔勒市委员会政法委员会</w:t>
      </w:r>
      <w:r>
        <w:rPr>
          <w:rFonts w:hint="eastAsia"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本级决算及所属</w:t>
      </w:r>
      <w:r>
        <w:rPr>
          <w:rFonts w:hint="default"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库尔勒市</w:t>
      </w:r>
      <w:r>
        <w:rPr>
          <w:rFonts w:hint="eastAsia"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群众工作服务中心</w:t>
      </w:r>
      <w:r>
        <w:rPr>
          <w:rFonts w:hint="default"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决算。</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pPr>
      <w:bookmarkStart w:id="6" w:name="_Toc3092"/>
      <w:bookmarkStart w:id="7" w:name="_Toc7559"/>
      <w:r>
        <w:rPr>
          <w:rFonts w:hint="default"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新疆巴州中共库尔勒市委员会政法委员会</w:t>
      </w:r>
      <w:r>
        <w:rPr>
          <w:rFonts w:hint="eastAsia"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本级下设7个处室，分别是：</w:t>
      </w:r>
      <w:r>
        <w:rPr>
          <w:rFonts w:hint="default"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办公室、政工执法监督室、法宣信息研究室、维稳指导室、综治指导室、综治中心、指挥中心。</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eastAsia"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pPr>
      <w:r>
        <w:rPr>
          <w:rFonts w:hint="eastAsia"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纳入</w:t>
      </w:r>
      <w:r>
        <w:rPr>
          <w:rFonts w:hint="default"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新疆巴州中共库尔勒市委员会政法委员会</w:t>
      </w:r>
      <w:r>
        <w:rPr>
          <w:rFonts w:hint="eastAsia"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2024年度部门决算编制范围的下属预算单位包括：</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eastAsia"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pPr>
      <w:r>
        <w:rPr>
          <w:rFonts w:hint="default"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中共库尔勒市委员会政法委员会</w:t>
      </w:r>
      <w:r>
        <w:rPr>
          <w:rFonts w:hint="eastAsia"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w:t>
      </w:r>
      <w:r>
        <w:rPr>
          <w:rFonts w:hint="default"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库尔勒市</w:t>
      </w:r>
      <w:r>
        <w:rPr>
          <w:rFonts w:hint="eastAsia"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群众工作服务中心。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二</w:t>
      </w:r>
      <w:r>
        <w:rPr>
          <w:rFonts w:hint="eastAsia" w:ascii="黑体" w:hAnsi="黑体" w:eastAsia="黑体"/>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8" w:name="_Toc12566"/>
      <w:bookmarkStart w:id="9" w:name="_Toc6321"/>
      <w:r>
        <w:rPr>
          <w:rFonts w:hint="eastAsia" w:ascii="黑体" w:hAnsi="黑体" w:eastAsia="黑体" w:cs="宋体"/>
          <w:bCs/>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pacing w:val="0"/>
          <w:sz w:val="32"/>
          <w:szCs w:val="32"/>
          <w:highlight w:val="none"/>
          <w:lang w:val="en-US" w:eastAsia="zh-CN"/>
        </w:rPr>
        <w:t>收入总计</w:t>
      </w:r>
      <w:r>
        <w:rPr>
          <w:rFonts w:hint="eastAsia" w:ascii="仿宋_GB2312" w:eastAsia="仿宋_GB2312"/>
          <w:b/>
          <w:bCs/>
          <w:sz w:val="32"/>
          <w:szCs w:val="32"/>
          <w:highlight w:val="none"/>
          <w:lang w:val="en-US" w:eastAsia="zh-CN"/>
        </w:rPr>
        <w:t>2482.82</w:t>
      </w:r>
      <w:r>
        <w:rPr>
          <w:rFonts w:hint="eastAsia" w:ascii="仿宋_GB2312" w:eastAsia="仿宋_GB2312"/>
          <w:b/>
          <w:bCs/>
          <w:sz w:val="32"/>
          <w:szCs w:val="32"/>
          <w:highlight w:val="none"/>
        </w:rPr>
        <w:t>万元</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val="en-US" w:eastAsia="zh-CN"/>
        </w:rPr>
        <w:t>其中：本年收入合计2482.82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，使用非财政拨款结余（含专用结余）</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，年初结转和结余</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rPr>
        <w:t>支出</w:t>
      </w:r>
      <w:r>
        <w:rPr>
          <w:rFonts w:hint="eastAsia" w:ascii="仿宋_GB2312" w:eastAsia="仿宋_GB2312"/>
          <w:b/>
          <w:bCs/>
          <w:sz w:val="32"/>
          <w:szCs w:val="32"/>
          <w:highlight w:val="none"/>
          <w:lang w:val="en-US" w:eastAsia="zh-CN"/>
        </w:rPr>
        <w:t>总计2482.82</w:t>
      </w:r>
      <w:r>
        <w:rPr>
          <w:rFonts w:hint="eastAsia" w:ascii="仿宋_GB2312" w:eastAsia="仿宋_GB2312"/>
          <w:b/>
          <w:bCs/>
          <w:sz w:val="32"/>
          <w:szCs w:val="32"/>
          <w:highlight w:val="none"/>
        </w:rPr>
        <w:t>万元</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val="en-US" w:eastAsia="zh-CN"/>
        </w:rPr>
        <w:t>其中：本年支出合计2482.82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结余分配0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，年末结转和结余</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hAnsi="仿宋_GB2312" w:eastAsia="仿宋_GB2312" w:cs="仿宋_GB2312"/>
          <w:b/>
          <w:bCs w:val="0"/>
          <w:kern w:val="0"/>
          <w:sz w:val="32"/>
          <w:szCs w:val="32"/>
          <w:highlight w:val="none"/>
        </w:rPr>
        <w:t>收入支出总体</w:t>
      </w:r>
      <w:r>
        <w:rPr>
          <w:rFonts w:hint="eastAsia" w:ascii="仿宋_GB2312" w:eastAsia="仿宋_GB2312"/>
          <w:b/>
          <w:bCs w:val="0"/>
          <w:sz w:val="32"/>
          <w:szCs w:val="32"/>
          <w:highlight w:val="none"/>
        </w:rPr>
        <w:t>与上年相比</w:t>
      </w:r>
      <w:r>
        <w:rPr>
          <w:rFonts w:hint="eastAsia" w:ascii="仿宋_GB2312" w:eastAsia="仿宋_GB2312"/>
          <w:b/>
          <w:bCs w:val="0"/>
          <w:sz w:val="32"/>
          <w:szCs w:val="32"/>
          <w:highlight w:val="none"/>
          <w:lang w:eastAsia="zh-CN"/>
        </w:rPr>
        <w:t>，</w:t>
      </w:r>
      <w:r>
        <w:rPr>
          <w:rFonts w:hint="eastAsia" w:ascii="仿宋_GB2312" w:eastAsia="仿宋_GB2312"/>
          <w:sz w:val="32"/>
          <w:szCs w:val="32"/>
          <w:highlight w:val="none"/>
        </w:rPr>
        <w:t>减少</w:t>
      </w:r>
      <w:r>
        <w:rPr>
          <w:rFonts w:hint="eastAsia" w:ascii="仿宋_GB2312" w:eastAsia="仿宋_GB2312"/>
          <w:sz w:val="32"/>
          <w:szCs w:val="32"/>
          <w:highlight w:val="none"/>
          <w:lang w:val="en-US" w:eastAsia="zh-CN"/>
        </w:rPr>
        <w:t>91</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3.54</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w:t>
      </w:r>
      <w:r>
        <w:rPr>
          <w:rFonts w:hint="eastAsia" w:ascii="仿宋_GB2312" w:eastAsia="仿宋_GB2312"/>
          <w:color w:val="auto"/>
          <w:sz w:val="32"/>
          <w:szCs w:val="32"/>
          <w:highlight w:val="none"/>
        </w:rPr>
        <w:t>由于矛调中心建设经费及国家安全主题宣教馆建设经费本年度都未进行支出安排，导致本年度决算支出较往年减少。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10" w:name="_Toc6311"/>
      <w:bookmarkStart w:id="11" w:name="_Toc1979"/>
      <w:r>
        <w:rPr>
          <w:rFonts w:hint="eastAsia" w:ascii="黑体" w:hAnsi="黑体" w:eastAsia="黑体" w:cs="宋体"/>
          <w:bCs/>
          <w:kern w:val="0"/>
          <w:sz w:val="32"/>
          <w:szCs w:val="32"/>
          <w:highlight w:val="none"/>
          <w:lang w:eastAsia="zh-CN"/>
        </w:rPr>
        <w:t>二、</w:t>
      </w:r>
      <w:r>
        <w:rPr>
          <w:rFonts w:hint="eastAsia" w:ascii="黑体" w:hAnsi="黑体" w:eastAsia="黑体" w:cs="宋体"/>
          <w:bCs/>
          <w:kern w:val="0"/>
          <w:sz w:val="32"/>
          <w:szCs w:val="32"/>
          <w:highlight w:val="none"/>
        </w:rPr>
        <w:t>收入</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rPr>
        <w:t>本年收入</w:t>
      </w:r>
      <w:r>
        <w:rPr>
          <w:rFonts w:hint="eastAsia" w:ascii="仿宋_GB2312" w:eastAsia="仿宋_GB2312"/>
          <w:b/>
          <w:bCs/>
          <w:sz w:val="32"/>
          <w:szCs w:val="32"/>
          <w:highlight w:val="none"/>
          <w:lang w:val="en-US" w:eastAsia="zh-CN"/>
        </w:rPr>
        <w:t>2482.82</w:t>
      </w:r>
      <w:r>
        <w:rPr>
          <w:rFonts w:hint="eastAsia" w:ascii="仿宋_GB2312" w:eastAsia="仿宋_GB2312"/>
          <w:b/>
          <w:bCs/>
          <w:sz w:val="32"/>
          <w:szCs w:val="32"/>
          <w:highlight w:val="none"/>
        </w:rPr>
        <w:t>万元，</w:t>
      </w:r>
      <w:r>
        <w:rPr>
          <w:rFonts w:hint="eastAsia" w:ascii="仿宋_GB2312" w:eastAsia="仿宋_GB2312"/>
          <w:sz w:val="32"/>
          <w:szCs w:val="32"/>
          <w:highlight w:val="none"/>
        </w:rPr>
        <w:t>其中：财政拨款收入</w:t>
      </w:r>
      <w:r>
        <w:rPr>
          <w:rFonts w:hint="eastAsia" w:ascii="仿宋_GB2312" w:eastAsia="仿宋_GB2312"/>
          <w:sz w:val="32"/>
          <w:szCs w:val="32"/>
          <w:highlight w:val="none"/>
          <w:lang w:val="en-US" w:eastAsia="zh-CN"/>
        </w:rPr>
        <w:t>2482.82</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%；上级补助收入</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%；事业收入</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%；经营收入</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附属单位上缴收入</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%；其他收入</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2" w:name="_Toc20629"/>
      <w:bookmarkStart w:id="13" w:name="_Toc27961"/>
      <w:r>
        <w:rPr>
          <w:rFonts w:hint="eastAsia" w:ascii="黑体" w:hAnsi="黑体" w:eastAsia="黑体" w:cs="宋体"/>
          <w:bCs/>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rPr>
        <w:t>本年支出</w:t>
      </w:r>
      <w:r>
        <w:rPr>
          <w:rFonts w:hint="eastAsia" w:ascii="仿宋_GB2312" w:eastAsia="仿宋_GB2312"/>
          <w:b/>
          <w:bCs/>
          <w:sz w:val="32"/>
          <w:szCs w:val="32"/>
          <w:highlight w:val="none"/>
          <w:lang w:val="en-US" w:eastAsia="zh-CN"/>
        </w:rPr>
        <w:t>2482.82</w:t>
      </w:r>
      <w:r>
        <w:rPr>
          <w:rFonts w:hint="eastAsia" w:ascii="仿宋_GB2312" w:eastAsia="仿宋_GB2312"/>
          <w:b/>
          <w:bCs/>
          <w:sz w:val="32"/>
          <w:szCs w:val="32"/>
          <w:highlight w:val="none"/>
        </w:rPr>
        <w:t>万元，</w:t>
      </w:r>
      <w:r>
        <w:rPr>
          <w:rFonts w:hint="eastAsia" w:ascii="仿宋_GB2312" w:eastAsia="仿宋_GB2312"/>
          <w:sz w:val="32"/>
          <w:szCs w:val="32"/>
          <w:highlight w:val="none"/>
        </w:rPr>
        <w:t>其中：基本支出</w:t>
      </w:r>
      <w:r>
        <w:rPr>
          <w:rFonts w:hint="eastAsia" w:ascii="仿宋_GB2312" w:eastAsia="仿宋_GB2312"/>
          <w:sz w:val="32"/>
          <w:szCs w:val="32"/>
          <w:highlight w:val="none"/>
          <w:lang w:val="en-US" w:eastAsia="zh-CN"/>
        </w:rPr>
        <w:t>1794.58</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72.28</w:t>
      </w:r>
      <w:r>
        <w:rPr>
          <w:rFonts w:hint="eastAsia" w:ascii="仿宋_GB2312" w:eastAsia="仿宋_GB2312"/>
          <w:sz w:val="32"/>
          <w:szCs w:val="32"/>
          <w:highlight w:val="none"/>
        </w:rPr>
        <w:t>%；项目支出</w:t>
      </w:r>
      <w:r>
        <w:rPr>
          <w:rFonts w:hint="eastAsia" w:ascii="仿宋_GB2312" w:eastAsia="仿宋_GB2312"/>
          <w:sz w:val="32"/>
          <w:szCs w:val="32"/>
          <w:highlight w:val="none"/>
          <w:lang w:val="en-US" w:eastAsia="zh-CN"/>
        </w:rPr>
        <w:t>688.25</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27.72</w:t>
      </w:r>
      <w:r>
        <w:rPr>
          <w:rFonts w:hint="eastAsia" w:ascii="仿宋_GB2312" w:eastAsia="仿宋_GB2312"/>
          <w:sz w:val="32"/>
          <w:szCs w:val="32"/>
          <w:highlight w:val="none"/>
        </w:rPr>
        <w:t>%；上缴上级支出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%；经营支出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%；对附属单位补助支出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4" w:name="_Toc4393"/>
      <w:bookmarkStart w:id="15" w:name="_Toc7371"/>
      <w:r>
        <w:rPr>
          <w:rFonts w:hint="eastAsia" w:ascii="黑体" w:hAnsi="黑体" w:eastAsia="黑体" w:cs="宋体"/>
          <w:bCs/>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rPr>
        <w:t>财政拨款收入</w:t>
      </w:r>
      <w:r>
        <w:rPr>
          <w:rFonts w:hint="eastAsia" w:ascii="仿宋_GB2312" w:eastAsia="仿宋_GB2312"/>
          <w:b/>
          <w:bCs/>
          <w:sz w:val="32"/>
          <w:szCs w:val="32"/>
          <w:highlight w:val="none"/>
          <w:lang w:val="en-US" w:eastAsia="zh-CN"/>
        </w:rPr>
        <w:t>总计2482.82</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其中：年初财政拨款结转和结余0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本年财政拨款收入2482.82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b/>
          <w:bCs/>
          <w:sz w:val="32"/>
          <w:szCs w:val="32"/>
          <w:highlight w:val="none"/>
        </w:rPr>
        <w:t>财政拨款支出</w:t>
      </w:r>
      <w:r>
        <w:rPr>
          <w:rFonts w:hint="eastAsia" w:ascii="仿宋_GB2312" w:eastAsia="仿宋_GB2312"/>
          <w:b/>
          <w:bCs/>
          <w:sz w:val="32"/>
          <w:szCs w:val="32"/>
          <w:highlight w:val="none"/>
          <w:lang w:val="en-US" w:eastAsia="zh-CN"/>
        </w:rPr>
        <w:t>总计2482.82</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其中：年末财政拨款结转和结余0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本年财政拨款支出2482.82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default" w:ascii="仿宋_GB2312" w:eastAsia="仿宋_GB2312"/>
          <w:color w:val="auto"/>
          <w:sz w:val="32"/>
          <w:szCs w:val="32"/>
          <w:highlight w:val="red"/>
          <w:lang w:val="en-US"/>
        </w:rPr>
      </w:pPr>
      <w:r>
        <w:rPr>
          <w:rFonts w:hint="eastAsia" w:ascii="仿宋_GB2312" w:hAnsi="仿宋_GB2312" w:eastAsia="仿宋_GB2312" w:cs="仿宋_GB2312"/>
          <w:b/>
          <w:bCs w:val="0"/>
          <w:kern w:val="0"/>
          <w:sz w:val="32"/>
          <w:szCs w:val="32"/>
          <w:highlight w:val="none"/>
          <w:lang w:eastAsia="zh-CN"/>
        </w:rPr>
        <w:t>财政拨款收入支出总体</w:t>
      </w:r>
      <w:r>
        <w:rPr>
          <w:rFonts w:hint="eastAsia" w:ascii="仿宋_GB2312" w:eastAsia="仿宋_GB2312"/>
          <w:b/>
          <w:bCs w:val="0"/>
          <w:sz w:val="32"/>
          <w:szCs w:val="32"/>
          <w:highlight w:val="none"/>
        </w:rPr>
        <w:t>与上年相比，</w:t>
      </w:r>
      <w:r>
        <w:rPr>
          <w:rFonts w:hint="eastAsia" w:ascii="仿宋_GB2312" w:eastAsia="仿宋_GB2312"/>
          <w:sz w:val="32"/>
          <w:szCs w:val="32"/>
          <w:highlight w:val="none"/>
        </w:rPr>
        <w:t>减少</w:t>
      </w:r>
      <w:r>
        <w:rPr>
          <w:rFonts w:hint="eastAsia" w:ascii="仿宋_GB2312" w:eastAsia="仿宋_GB2312"/>
          <w:sz w:val="32"/>
          <w:szCs w:val="32"/>
          <w:highlight w:val="none"/>
          <w:lang w:val="en-US" w:eastAsia="zh-CN"/>
        </w:rPr>
        <w:t>91</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3.54</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w:t>
      </w:r>
      <w:r>
        <w:rPr>
          <w:rFonts w:hint="eastAsia" w:ascii="仿宋_GB2312" w:eastAsia="仿宋_GB2312"/>
          <w:color w:val="auto"/>
          <w:sz w:val="32"/>
          <w:szCs w:val="32"/>
          <w:highlight w:val="none"/>
        </w:rPr>
        <w:t>由于矛调中心建设经费及国家安全主题宣教馆建设经费本年度都未进行支出安排，导致本年度决算支出较往年减少。</w:t>
      </w: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eastAsia="zh-CN"/>
        </w:rPr>
        <w:t>年初预算数</w:t>
      </w:r>
      <w:r>
        <w:rPr>
          <w:rFonts w:hint="eastAsia" w:ascii="仿宋_GB2312" w:eastAsia="仿宋_GB2312"/>
          <w:sz w:val="32"/>
          <w:szCs w:val="32"/>
          <w:highlight w:val="none"/>
          <w:lang w:val="en-US" w:eastAsia="zh-CN"/>
        </w:rPr>
        <w:t>2437.75</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2482.82</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1.85</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Times New Roman" w:hAnsi="Times New Roman" w:eastAsia="方正仿宋_GBK" w:cs="Times New Roman"/>
          <w:color w:val="auto"/>
          <w:sz w:val="31"/>
          <w:szCs w:val="31"/>
          <w:highlight w:val="none"/>
          <w:lang w:val="en-US" w:eastAsia="zh-CN"/>
        </w:rPr>
        <w:t>厉行节约、压缩经费支出</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6" w:name="_Toc13833"/>
      <w:bookmarkStart w:id="17" w:name="_Toc18905"/>
      <w:r>
        <w:rPr>
          <w:rFonts w:hint="eastAsia" w:ascii="黑体" w:hAnsi="黑体" w:eastAsia="黑体" w:cs="宋体"/>
          <w:bCs/>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18" w:name="_Toc1165"/>
      <w:r>
        <w:rPr>
          <w:rFonts w:hint="eastAsia" w:ascii="黑体" w:hAnsi="黑体" w:eastAsia="黑体"/>
          <w:sz w:val="32"/>
          <w:szCs w:val="32"/>
          <w:highlight w:val="none"/>
          <w:lang w:eastAsia="zh-CN"/>
        </w:rPr>
        <w:t>（一）一般公共预算财政拨款支出决算总体情况</w:t>
      </w:r>
      <w:bookmarkEnd w:id="18"/>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pacing w:val="0"/>
          <w:sz w:val="32"/>
          <w:szCs w:val="32"/>
          <w:highlight w:val="none"/>
        </w:rPr>
      </w:pPr>
      <w:r>
        <w:rPr>
          <w:rFonts w:hint="eastAsia" w:ascii="仿宋_GB2312" w:eastAsia="仿宋_GB2312"/>
          <w:b/>
          <w:bCs/>
          <w:spacing w:val="0"/>
          <w:sz w:val="32"/>
          <w:szCs w:val="32"/>
          <w:highlight w:val="none"/>
          <w:lang w:eastAsia="zh-CN"/>
        </w:rPr>
        <w:t>2024年度一般公共预算财政拨款支出</w:t>
      </w:r>
      <w:r>
        <w:rPr>
          <w:rFonts w:hint="eastAsia" w:ascii="仿宋_GB2312" w:eastAsia="仿宋_GB2312"/>
          <w:b/>
          <w:bCs/>
          <w:spacing w:val="0"/>
          <w:sz w:val="32"/>
          <w:szCs w:val="32"/>
          <w:highlight w:val="none"/>
          <w:lang w:val="en-US" w:eastAsia="zh-CN"/>
        </w:rPr>
        <w:t>1982.82</w:t>
      </w:r>
      <w:r>
        <w:rPr>
          <w:rFonts w:hint="eastAsia" w:ascii="仿宋_GB2312" w:eastAsia="仿宋_GB2312"/>
          <w:b/>
          <w:bCs/>
          <w:spacing w:val="0"/>
          <w:sz w:val="32"/>
          <w:szCs w:val="32"/>
          <w:highlight w:val="none"/>
          <w:lang w:eastAsia="zh-CN"/>
        </w:rPr>
        <w:t>万元，</w:t>
      </w:r>
      <w:r>
        <w:rPr>
          <w:rFonts w:hint="eastAsia" w:ascii="仿宋_GB2312" w:eastAsia="仿宋_GB2312"/>
          <w:spacing w:val="0"/>
          <w:sz w:val="32"/>
          <w:szCs w:val="32"/>
          <w:highlight w:val="none"/>
          <w:lang w:eastAsia="zh-CN"/>
        </w:rPr>
        <w:t>占本年支出合计的</w:t>
      </w:r>
      <w:r>
        <w:rPr>
          <w:rFonts w:hint="eastAsia" w:ascii="仿宋_GB2312" w:eastAsia="仿宋_GB2312"/>
          <w:spacing w:val="0"/>
          <w:sz w:val="32"/>
          <w:szCs w:val="32"/>
          <w:highlight w:val="none"/>
          <w:lang w:val="en-US" w:eastAsia="zh-CN"/>
        </w:rPr>
        <w:t>79.86</w:t>
      </w:r>
      <w:r>
        <w:rPr>
          <w:rFonts w:hint="eastAsia" w:ascii="仿宋_GB2312" w:eastAsia="仿宋_GB2312"/>
          <w:spacing w:val="0"/>
          <w:sz w:val="32"/>
          <w:szCs w:val="32"/>
          <w:highlight w:val="none"/>
          <w:lang w:eastAsia="zh-CN"/>
        </w:rPr>
        <w:t>%。</w:t>
      </w:r>
      <w:r>
        <w:rPr>
          <w:rFonts w:hint="eastAsia" w:ascii="仿宋_GB2312" w:eastAsia="仿宋_GB2312"/>
          <w:b/>
          <w:bCs/>
          <w:spacing w:val="0"/>
          <w:sz w:val="32"/>
          <w:szCs w:val="32"/>
          <w:highlight w:val="none"/>
        </w:rPr>
        <w:t>与上年相比，</w:t>
      </w:r>
      <w:r>
        <w:rPr>
          <w:rFonts w:hint="eastAsia" w:ascii="仿宋_GB2312" w:eastAsia="仿宋_GB2312"/>
          <w:spacing w:val="0"/>
          <w:sz w:val="32"/>
          <w:szCs w:val="32"/>
          <w:highlight w:val="none"/>
        </w:rPr>
        <w:t>减少</w:t>
      </w:r>
      <w:r>
        <w:rPr>
          <w:rFonts w:hint="eastAsia" w:ascii="仿宋_GB2312" w:eastAsia="仿宋_GB2312"/>
          <w:spacing w:val="0"/>
          <w:sz w:val="32"/>
          <w:szCs w:val="32"/>
          <w:highlight w:val="none"/>
          <w:lang w:val="en-US" w:eastAsia="zh-CN"/>
        </w:rPr>
        <w:t>91</w:t>
      </w:r>
      <w:r>
        <w:rPr>
          <w:rFonts w:hint="eastAsia" w:ascii="仿宋_GB2312" w:eastAsia="仿宋_GB2312"/>
          <w:spacing w:val="0"/>
          <w:sz w:val="32"/>
          <w:szCs w:val="32"/>
          <w:highlight w:val="none"/>
        </w:rPr>
        <w:t>万元，</w:t>
      </w:r>
      <w:r>
        <w:rPr>
          <w:rFonts w:hint="eastAsia" w:ascii="仿宋_GB2312" w:eastAsia="仿宋_GB2312"/>
          <w:spacing w:val="0"/>
          <w:sz w:val="32"/>
          <w:szCs w:val="32"/>
          <w:highlight w:val="none"/>
          <w:lang w:eastAsia="zh-CN"/>
        </w:rPr>
        <w:t>下降</w:t>
      </w:r>
      <w:r>
        <w:rPr>
          <w:rFonts w:hint="eastAsia" w:ascii="仿宋_GB2312" w:eastAsia="仿宋_GB2312"/>
          <w:spacing w:val="0"/>
          <w:sz w:val="32"/>
          <w:szCs w:val="32"/>
          <w:highlight w:val="none"/>
          <w:lang w:val="en-US" w:eastAsia="zh-CN"/>
        </w:rPr>
        <w:t>4.39</w:t>
      </w:r>
      <w:r>
        <w:rPr>
          <w:rFonts w:hint="eastAsia" w:ascii="仿宋_GB2312" w:eastAsia="仿宋_GB2312"/>
          <w:spacing w:val="0"/>
          <w:sz w:val="32"/>
          <w:szCs w:val="32"/>
          <w:highlight w:val="none"/>
        </w:rPr>
        <w:t>%</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rPr>
        <w:t>主要原因是：</w:t>
      </w:r>
      <w:r>
        <w:rPr>
          <w:rFonts w:hint="eastAsia" w:ascii="仿宋_GB2312" w:eastAsia="仿宋_GB2312"/>
          <w:color w:val="auto"/>
          <w:sz w:val="32"/>
          <w:szCs w:val="32"/>
          <w:highlight w:val="none"/>
        </w:rPr>
        <w:t>由于矛调中心建设经费及国家安全主题宣教馆建设经费本年度都未进行支出安排，导致本年度决算支出较往年减少。</w:t>
      </w: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val="en-US" w:eastAsia="zh-CN"/>
        </w:rPr>
        <w:t>,</w:t>
      </w:r>
      <w:r>
        <w:rPr>
          <w:rFonts w:hint="eastAsia" w:ascii="仿宋_GB2312" w:eastAsia="仿宋_GB2312"/>
          <w:sz w:val="32"/>
          <w:szCs w:val="32"/>
          <w:highlight w:val="none"/>
          <w:lang w:eastAsia="zh-CN"/>
        </w:rPr>
        <w:t>年初预算数</w:t>
      </w:r>
      <w:r>
        <w:rPr>
          <w:rFonts w:hint="eastAsia" w:ascii="仿宋_GB2312" w:eastAsia="仿宋_GB2312"/>
          <w:sz w:val="32"/>
          <w:szCs w:val="32"/>
          <w:highlight w:val="none"/>
          <w:lang w:val="en-US" w:eastAsia="zh-CN"/>
        </w:rPr>
        <w:t>2437.75</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1982.82</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-18.66</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Times New Roman" w:hAnsi="Times New Roman" w:eastAsia="方正仿宋_GBK" w:cs="Times New Roman"/>
          <w:color w:val="auto"/>
          <w:sz w:val="31"/>
          <w:szCs w:val="31"/>
          <w:highlight w:val="none"/>
          <w:lang w:val="en-US" w:eastAsia="zh-CN"/>
        </w:rPr>
        <w:t>厉行节约、压缩经费支出</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19" w:name="_Toc27147"/>
      <w:r>
        <w:rPr>
          <w:rFonts w:hint="eastAsia" w:ascii="黑体" w:hAnsi="黑体" w:eastAsia="黑体"/>
          <w:sz w:val="32"/>
          <w:szCs w:val="32"/>
          <w:highlight w:val="none"/>
          <w:lang w:eastAsia="zh-CN"/>
        </w:rPr>
        <w:t>（二）一般公共预算</w:t>
      </w:r>
      <w:r>
        <w:rPr>
          <w:rFonts w:hint="eastAsia" w:ascii="黑体" w:hAnsi="黑体" w:eastAsia="黑体"/>
          <w:sz w:val="32"/>
          <w:szCs w:val="32"/>
          <w:highlight w:val="none"/>
          <w:lang w:val="en-US" w:eastAsia="zh-CN"/>
        </w:rPr>
        <w:t>财政拨款支出决算</w:t>
      </w:r>
      <w:r>
        <w:rPr>
          <w:rFonts w:hint="eastAsia" w:ascii="黑体" w:hAnsi="黑体" w:eastAsia="黑体"/>
          <w:sz w:val="32"/>
          <w:szCs w:val="32"/>
          <w:highlight w:val="none"/>
          <w:lang w:eastAsia="zh-CN"/>
        </w:rPr>
        <w:t>结构情况</w:t>
      </w:r>
      <w:bookmarkEnd w:id="19"/>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1.一般公共服务</w:t>
      </w:r>
      <w:r>
        <w:rPr>
          <w:rFonts w:hint="eastAsia" w:ascii="仿宋_GB2312" w:hAnsi="仿宋_GB2312" w:eastAsia="仿宋_GB2312" w:cs="仿宋_GB2312"/>
          <w:sz w:val="32"/>
          <w:szCs w:val="32"/>
          <w:highlight w:val="none"/>
          <w:lang w:val="en-US" w:eastAsia="zh-CN"/>
        </w:rPr>
        <w:t>支出</w:t>
      </w:r>
      <w:r>
        <w:rPr>
          <w:rFonts w:hint="eastAsia" w:ascii="仿宋_GB2312" w:hAnsi="仿宋_GB2312" w:eastAsia="仿宋_GB2312" w:cs="仿宋_GB2312"/>
          <w:sz w:val="32"/>
          <w:szCs w:val="32"/>
          <w:highlight w:val="none"/>
        </w:rPr>
        <w:t>（类）</w:t>
      </w:r>
      <w:r>
        <w:rPr>
          <w:rFonts w:hint="eastAsia" w:ascii="仿宋_GB2312" w:eastAsia="仿宋_GB2312"/>
          <w:spacing w:val="0"/>
          <w:sz w:val="32"/>
          <w:szCs w:val="32"/>
          <w:highlight w:val="none"/>
          <w:lang w:val="en-US" w:eastAsia="zh-CN"/>
        </w:rPr>
        <w:t>1535.25</w:t>
      </w:r>
      <w:r>
        <w:rPr>
          <w:rFonts w:hint="eastAsia" w:ascii="仿宋_GB2312" w:hAnsi="仿宋_GB2312" w:eastAsia="仿宋_GB2312" w:cs="仿宋_GB2312"/>
          <w:kern w:val="0"/>
          <w:sz w:val="32"/>
          <w:szCs w:val="32"/>
          <w:highlight w:val="none"/>
        </w:rPr>
        <w:t>万元，占</w:t>
      </w:r>
      <w:r>
        <w:rPr>
          <w:rFonts w:hint="eastAsia" w:ascii="仿宋_GB2312" w:eastAsia="仿宋_GB2312"/>
          <w:spacing w:val="0"/>
          <w:sz w:val="32"/>
          <w:szCs w:val="32"/>
          <w:highlight w:val="none"/>
          <w:lang w:val="en-US" w:eastAsia="zh-CN"/>
        </w:rPr>
        <w:t>77.43</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w:t>
      </w:r>
      <w:r>
        <w:rPr>
          <w:rFonts w:hint="eastAsia" w:ascii="仿宋_GB2312" w:hAnsi="仿宋_GB2312" w:eastAsia="仿宋_GB2312" w:cs="仿宋_GB2312"/>
          <w:kern w:val="0"/>
          <w:sz w:val="32"/>
          <w:szCs w:val="32"/>
          <w:highlight w:val="none"/>
          <w:lang w:val="en-US" w:eastAsia="zh-CN"/>
        </w:rPr>
        <w:tab/>
      </w:r>
      <w:r>
        <w:rPr>
          <w:rFonts w:hint="eastAsia" w:ascii="仿宋_GB2312" w:hAnsi="仿宋_GB2312" w:eastAsia="仿宋_GB2312" w:cs="仿宋_GB2312"/>
          <w:kern w:val="0"/>
          <w:sz w:val="32"/>
          <w:szCs w:val="32"/>
          <w:highlight w:val="none"/>
          <w:lang w:val="en-US" w:eastAsia="zh-CN"/>
        </w:rPr>
        <w:t>教育支出</w:t>
      </w:r>
      <w:r>
        <w:rPr>
          <w:rFonts w:hint="eastAsia" w:ascii="仿宋_GB2312" w:hAnsi="仿宋_GB2312" w:eastAsia="仿宋_GB2312" w:cs="仿宋_GB2312"/>
          <w:sz w:val="32"/>
          <w:szCs w:val="32"/>
          <w:highlight w:val="none"/>
        </w:rPr>
        <w:t>（类）</w:t>
      </w:r>
      <w:r>
        <w:rPr>
          <w:rFonts w:hint="eastAsia" w:ascii="仿宋_GB2312" w:eastAsia="仿宋_GB2312"/>
          <w:spacing w:val="0"/>
          <w:sz w:val="32"/>
          <w:szCs w:val="32"/>
          <w:highlight w:val="none"/>
          <w:lang w:val="en-US" w:eastAsia="zh-CN"/>
        </w:rPr>
        <w:t>69.95</w:t>
      </w:r>
      <w:r>
        <w:rPr>
          <w:rFonts w:hint="eastAsia" w:ascii="仿宋_GB2312" w:hAnsi="仿宋_GB2312" w:eastAsia="仿宋_GB2312" w:cs="仿宋_GB2312"/>
          <w:kern w:val="0"/>
          <w:sz w:val="32"/>
          <w:szCs w:val="32"/>
          <w:highlight w:val="none"/>
        </w:rPr>
        <w:t>万元，占</w:t>
      </w:r>
      <w:r>
        <w:rPr>
          <w:rFonts w:hint="eastAsia" w:ascii="仿宋_GB2312" w:eastAsia="仿宋_GB2312"/>
          <w:spacing w:val="0"/>
          <w:sz w:val="32"/>
          <w:szCs w:val="32"/>
          <w:highlight w:val="none"/>
          <w:lang w:val="en-US" w:eastAsia="zh-CN"/>
        </w:rPr>
        <w:t>3.53</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lang w:val="en-US" w:eastAsia="zh-CN"/>
        </w:rPr>
        <w:t>3.社会保障和就业支出</w:t>
      </w:r>
      <w:r>
        <w:rPr>
          <w:rFonts w:hint="eastAsia" w:ascii="仿宋_GB2312" w:hAnsi="仿宋_GB2312" w:eastAsia="仿宋_GB2312" w:cs="仿宋_GB2312"/>
          <w:sz w:val="32"/>
          <w:szCs w:val="32"/>
          <w:highlight w:val="none"/>
        </w:rPr>
        <w:t>（类）</w:t>
      </w:r>
      <w:r>
        <w:rPr>
          <w:rFonts w:hint="eastAsia" w:ascii="仿宋_GB2312" w:eastAsia="仿宋_GB2312"/>
          <w:spacing w:val="0"/>
          <w:sz w:val="32"/>
          <w:szCs w:val="32"/>
          <w:highlight w:val="none"/>
          <w:lang w:val="en-US" w:eastAsia="zh-CN"/>
        </w:rPr>
        <w:t>191.99</w:t>
      </w:r>
      <w:r>
        <w:rPr>
          <w:rFonts w:hint="eastAsia" w:ascii="仿宋_GB2312" w:hAnsi="仿宋_GB2312" w:eastAsia="仿宋_GB2312" w:cs="仿宋_GB2312"/>
          <w:kern w:val="0"/>
          <w:sz w:val="32"/>
          <w:szCs w:val="32"/>
          <w:highlight w:val="none"/>
        </w:rPr>
        <w:t>万元，占</w:t>
      </w:r>
      <w:r>
        <w:rPr>
          <w:rFonts w:hint="eastAsia" w:ascii="仿宋_GB2312" w:eastAsia="仿宋_GB2312"/>
          <w:spacing w:val="0"/>
          <w:sz w:val="32"/>
          <w:szCs w:val="32"/>
          <w:highlight w:val="none"/>
          <w:lang w:val="en-US" w:eastAsia="zh-CN"/>
        </w:rPr>
        <w:t>9.68</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sz w:val="32"/>
          <w:szCs w:val="32"/>
          <w:highlight w:val="none"/>
          <w:lang w:val="en-US" w:eastAsia="zh-CN"/>
        </w:rPr>
        <w:t>卫生健康支出</w:t>
      </w:r>
      <w:r>
        <w:rPr>
          <w:rFonts w:hint="eastAsia" w:ascii="仿宋_GB2312" w:hAnsi="仿宋_GB2312" w:eastAsia="仿宋_GB2312" w:cs="仿宋_GB2312"/>
          <w:sz w:val="32"/>
          <w:szCs w:val="32"/>
          <w:highlight w:val="none"/>
        </w:rPr>
        <w:t>（类）</w:t>
      </w:r>
      <w:r>
        <w:rPr>
          <w:rFonts w:hint="eastAsia" w:ascii="仿宋_GB2312" w:eastAsia="仿宋_GB2312"/>
          <w:spacing w:val="0"/>
          <w:sz w:val="32"/>
          <w:szCs w:val="32"/>
          <w:highlight w:val="none"/>
          <w:lang w:val="en-US" w:eastAsia="zh-CN"/>
        </w:rPr>
        <w:t>72.08</w:t>
      </w:r>
      <w:r>
        <w:rPr>
          <w:rFonts w:hint="eastAsia" w:ascii="仿宋_GB2312" w:hAnsi="仿宋_GB2312" w:eastAsia="仿宋_GB2312" w:cs="仿宋_GB2312"/>
          <w:kern w:val="0"/>
          <w:sz w:val="32"/>
          <w:szCs w:val="32"/>
          <w:highlight w:val="none"/>
        </w:rPr>
        <w:t>万元，占</w:t>
      </w:r>
      <w:r>
        <w:rPr>
          <w:rFonts w:hint="eastAsia" w:ascii="仿宋_GB2312" w:eastAsia="仿宋_GB2312"/>
          <w:spacing w:val="0"/>
          <w:sz w:val="32"/>
          <w:szCs w:val="32"/>
          <w:highlight w:val="none"/>
          <w:lang w:val="en-US" w:eastAsia="zh-CN"/>
        </w:rPr>
        <w:t>3.64</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sz w:val="32"/>
          <w:szCs w:val="32"/>
          <w:highlight w:val="none"/>
          <w:lang w:val="en-US" w:eastAsia="zh-CN"/>
        </w:rPr>
        <w:t>住房保障支出</w:t>
      </w:r>
      <w:r>
        <w:rPr>
          <w:rFonts w:hint="eastAsia" w:ascii="仿宋_GB2312" w:hAnsi="仿宋_GB2312" w:eastAsia="仿宋_GB2312" w:cs="仿宋_GB2312"/>
          <w:sz w:val="32"/>
          <w:szCs w:val="32"/>
          <w:highlight w:val="none"/>
        </w:rPr>
        <w:t>（类）</w:t>
      </w:r>
      <w:r>
        <w:rPr>
          <w:rFonts w:hint="eastAsia" w:ascii="仿宋_GB2312" w:eastAsia="仿宋_GB2312"/>
          <w:spacing w:val="0"/>
          <w:sz w:val="32"/>
          <w:szCs w:val="32"/>
          <w:highlight w:val="none"/>
          <w:lang w:val="en-US" w:eastAsia="zh-CN"/>
        </w:rPr>
        <w:t>113.56</w:t>
      </w:r>
      <w:r>
        <w:rPr>
          <w:rFonts w:hint="eastAsia" w:ascii="仿宋_GB2312" w:hAnsi="仿宋_GB2312" w:eastAsia="仿宋_GB2312" w:cs="仿宋_GB2312"/>
          <w:kern w:val="0"/>
          <w:sz w:val="32"/>
          <w:szCs w:val="32"/>
          <w:highlight w:val="none"/>
        </w:rPr>
        <w:t>万元，占</w:t>
      </w:r>
      <w:r>
        <w:rPr>
          <w:rFonts w:hint="eastAsia" w:ascii="仿宋_GB2312" w:eastAsia="仿宋_GB2312"/>
          <w:spacing w:val="0"/>
          <w:sz w:val="32"/>
          <w:szCs w:val="32"/>
          <w:highlight w:val="none"/>
          <w:lang w:val="en-US" w:eastAsia="zh-CN"/>
        </w:rPr>
        <w:t>5.73</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sz w:val="32"/>
          <w:szCs w:val="32"/>
          <w:highlight w:val="none"/>
          <w:lang w:eastAsia="zh-CN"/>
        </w:rPr>
      </w:pPr>
      <w:bookmarkStart w:id="20" w:name="_Toc10037"/>
      <w:r>
        <w:rPr>
          <w:rFonts w:hint="eastAsia" w:ascii="黑体" w:hAnsi="黑体" w:eastAsia="黑体"/>
          <w:sz w:val="32"/>
          <w:szCs w:val="32"/>
          <w:highlight w:val="none"/>
          <w:lang w:eastAsia="zh-CN"/>
        </w:rPr>
        <w:t>（三）一般公共预算财政拨款支出决算具体情况</w:t>
      </w:r>
      <w:bookmarkEnd w:id="20"/>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1</w:t>
      </w:r>
      <w:r>
        <w:rPr>
          <w:rFonts w:hint="eastAsia" w:ascii="仿宋_GB2312" w:hAnsi="仿宋_GB2312" w:eastAsia="仿宋_GB2312" w:cs="仿宋_GB2312"/>
          <w:kern w:val="0"/>
          <w:sz w:val="32"/>
          <w:szCs w:val="32"/>
          <w:highlight w:val="none"/>
        </w:rPr>
        <w:t>.</w:t>
      </w:r>
      <w:r>
        <w:rPr>
          <w:rFonts w:hint="default" w:ascii="Times New Roman" w:hAnsi="Times New Roman" w:eastAsia="方正仿宋_GBK" w:cs="Times New Roman"/>
          <w:color w:val="auto"/>
          <w:sz w:val="31"/>
          <w:szCs w:val="31"/>
          <w:highlight w:val="none"/>
          <w:lang w:val="en-US" w:eastAsia="zh-CN"/>
        </w:rPr>
        <w:t>一般公共服务支出（类）党委办公厅（室）及相关机构事务（款）</w:t>
      </w:r>
      <w:r>
        <w:rPr>
          <w:rFonts w:hint="eastAsia" w:ascii="Times New Roman" w:hAnsi="Times New Roman" w:eastAsia="方正仿宋_GBK" w:cs="Times New Roman"/>
          <w:color w:val="auto"/>
          <w:sz w:val="31"/>
          <w:szCs w:val="31"/>
          <w:highlight w:val="none"/>
          <w:lang w:val="en-US" w:eastAsia="zh-CN"/>
        </w:rPr>
        <w:t>行政运行</w:t>
      </w:r>
      <w:r>
        <w:rPr>
          <w:rFonts w:hint="default" w:ascii="Times New Roman" w:hAnsi="Times New Roman" w:eastAsia="方正仿宋_GBK" w:cs="Times New Roman"/>
          <w:color w:val="auto"/>
          <w:sz w:val="31"/>
          <w:szCs w:val="31"/>
          <w:highlight w:val="none"/>
          <w:lang w:val="en-US" w:eastAsia="zh-CN"/>
        </w:rPr>
        <w:t>（项）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753.14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决算相比减少190.37</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下降20.18</w:t>
      </w:r>
      <w:r>
        <w:rPr>
          <w:rFonts w:hint="eastAsia" w:ascii="仿宋_GB2312" w:hAnsi="仿宋_GB2312" w:eastAsia="仿宋_GB2312" w:cs="仿宋_GB2312"/>
          <w:kern w:val="0"/>
          <w:sz w:val="32"/>
          <w:szCs w:val="32"/>
          <w:highlight w:val="none"/>
        </w:rPr>
        <w:t>%，主要原因是：</w:t>
      </w:r>
      <w:r>
        <w:rPr>
          <w:rFonts w:hint="eastAsia" w:ascii="Times New Roman" w:hAnsi="Times New Roman" w:eastAsia="方正仿宋_GBK" w:cs="Times New Roman"/>
          <w:color w:val="auto"/>
          <w:sz w:val="31"/>
          <w:szCs w:val="31"/>
          <w:highlight w:val="none"/>
          <w:lang w:val="en-US" w:eastAsia="zh-CN"/>
        </w:rPr>
        <w:t>厉行节约压缩经费支出</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color w:val="auto"/>
          <w:sz w:val="31"/>
          <w:szCs w:val="31"/>
          <w:highlight w:val="none"/>
          <w:lang w:val="en-US" w:eastAsia="zh-CN"/>
        </w:rPr>
      </w:pPr>
      <w:r>
        <w:rPr>
          <w:rFonts w:hint="eastAsia" w:ascii="仿宋_GB2312" w:hAnsi="仿宋_GB2312" w:eastAsia="仿宋_GB2312" w:cs="仿宋_GB2312"/>
          <w:kern w:val="0"/>
          <w:sz w:val="32"/>
          <w:szCs w:val="32"/>
          <w:highlight w:val="none"/>
          <w:lang w:val="en-US" w:eastAsia="zh-CN"/>
        </w:rPr>
        <w:t>2.</w:t>
      </w:r>
      <w:r>
        <w:rPr>
          <w:rFonts w:hint="default" w:ascii="Times New Roman" w:hAnsi="Times New Roman" w:eastAsia="方正仿宋_GBK" w:cs="Times New Roman"/>
          <w:color w:val="auto"/>
          <w:sz w:val="31"/>
          <w:szCs w:val="31"/>
          <w:highlight w:val="none"/>
          <w:lang w:val="en-US" w:eastAsia="zh-CN"/>
        </w:rPr>
        <w:t>一般公共服务支出（类）党委办公厅（室）及相关机构事务（款）</w:t>
      </w:r>
      <w:r>
        <w:rPr>
          <w:rFonts w:hint="eastAsia" w:ascii="Times New Roman" w:hAnsi="Times New Roman" w:eastAsia="方正仿宋_GBK" w:cs="Times New Roman"/>
          <w:color w:val="auto"/>
          <w:sz w:val="31"/>
          <w:szCs w:val="31"/>
          <w:highlight w:val="none"/>
          <w:lang w:val="en-US" w:eastAsia="zh-CN"/>
        </w:rPr>
        <w:t>事业运行</w:t>
      </w:r>
      <w:r>
        <w:rPr>
          <w:rFonts w:hint="default" w:ascii="Times New Roman" w:hAnsi="Times New Roman" w:eastAsia="方正仿宋_GBK" w:cs="Times New Roman"/>
          <w:color w:val="auto"/>
          <w:sz w:val="31"/>
          <w:szCs w:val="31"/>
          <w:highlight w:val="none"/>
          <w:lang w:val="en-US" w:eastAsia="zh-CN"/>
        </w:rPr>
        <w:t>（项）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593.86</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决算相比减少128.95</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下降17.84</w:t>
      </w:r>
      <w:r>
        <w:rPr>
          <w:rFonts w:hint="eastAsia" w:ascii="仿宋_GB2312" w:hAnsi="仿宋_GB2312" w:eastAsia="仿宋_GB2312" w:cs="仿宋_GB2312"/>
          <w:kern w:val="0"/>
          <w:sz w:val="32"/>
          <w:szCs w:val="32"/>
          <w:highlight w:val="none"/>
        </w:rPr>
        <w:t>%，主要原因是：</w:t>
      </w:r>
      <w:r>
        <w:rPr>
          <w:rFonts w:hint="eastAsia" w:ascii="Times New Roman" w:hAnsi="Times New Roman" w:eastAsia="方正仿宋_GBK" w:cs="Times New Roman"/>
          <w:color w:val="auto"/>
          <w:sz w:val="31"/>
          <w:szCs w:val="31"/>
          <w:highlight w:val="none"/>
          <w:lang w:val="en-US" w:eastAsia="zh-CN"/>
        </w:rPr>
        <w:t>厉行节约压缩经费支出</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rPr>
        <w:t>.</w:t>
      </w:r>
      <w:r>
        <w:rPr>
          <w:rFonts w:hint="default" w:ascii="Times New Roman" w:hAnsi="Times New Roman" w:eastAsia="方正仿宋_GBK" w:cs="Times New Roman"/>
          <w:color w:val="auto"/>
          <w:sz w:val="31"/>
          <w:szCs w:val="31"/>
          <w:highlight w:val="none"/>
          <w:lang w:val="en-US" w:eastAsia="zh-CN"/>
        </w:rPr>
        <w:t>一般公共服务支出（类）党委办公厅（室）及相关机构事务（款）其他党委办公厅（室）及相关机构事务支出（项）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188.25</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决算相比增加45.98</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增长32.32</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本年度国家安全局维稳业务经费及司法救助经费增加所致</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4.教育</w:t>
      </w:r>
      <w:r>
        <w:rPr>
          <w:rFonts w:hint="eastAsia" w:ascii="仿宋_GB2312" w:hAnsi="仿宋_GB2312" w:eastAsia="仿宋_GB2312" w:cs="仿宋_GB2312"/>
          <w:kern w:val="0"/>
          <w:sz w:val="32"/>
          <w:szCs w:val="32"/>
          <w:highlight w:val="none"/>
        </w:rPr>
        <w:t>支出（类）</w:t>
      </w:r>
      <w:r>
        <w:rPr>
          <w:rFonts w:hint="eastAsia" w:ascii="仿宋_GB2312" w:hAnsi="仿宋_GB2312" w:eastAsia="仿宋_GB2312" w:cs="仿宋_GB2312"/>
          <w:kern w:val="0"/>
          <w:sz w:val="32"/>
          <w:szCs w:val="32"/>
          <w:highlight w:val="none"/>
          <w:lang w:val="en-US" w:eastAsia="zh-CN"/>
        </w:rPr>
        <w:t>进修及培训</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val="en-US" w:eastAsia="zh-CN"/>
        </w:rPr>
        <w:t>干部教育</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68.38</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决算相比增加68.38</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本年增加该功能科目支出</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5.教育</w:t>
      </w:r>
      <w:r>
        <w:rPr>
          <w:rFonts w:hint="eastAsia" w:ascii="仿宋_GB2312" w:hAnsi="仿宋_GB2312" w:eastAsia="仿宋_GB2312" w:cs="仿宋_GB2312"/>
          <w:kern w:val="0"/>
          <w:sz w:val="32"/>
          <w:szCs w:val="32"/>
          <w:highlight w:val="none"/>
        </w:rPr>
        <w:t>支出（类）</w:t>
      </w:r>
      <w:r>
        <w:rPr>
          <w:rFonts w:hint="eastAsia" w:ascii="仿宋_GB2312" w:hAnsi="仿宋_GB2312" w:eastAsia="仿宋_GB2312" w:cs="仿宋_GB2312"/>
          <w:kern w:val="0"/>
          <w:sz w:val="32"/>
          <w:szCs w:val="32"/>
          <w:highlight w:val="none"/>
          <w:lang w:val="en-US" w:eastAsia="zh-CN"/>
        </w:rPr>
        <w:t>进修及培训</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val="en-US" w:eastAsia="zh-CN"/>
        </w:rPr>
        <w:t>培训支出</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1.57</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决算相比增加1.57</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和田、阿克苏、喀什流动人口服务管理工作站经费增加所致。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auto"/>
          <w:sz w:val="31"/>
          <w:szCs w:val="31"/>
          <w:highlight w:val="none"/>
          <w:lang w:val="zh-CN" w:eastAsia="zh-CN"/>
        </w:rPr>
      </w:pPr>
      <w:r>
        <w:rPr>
          <w:rFonts w:hint="eastAsia" w:ascii="仿宋_GB2312" w:hAnsi="仿宋_GB2312" w:eastAsia="仿宋_GB2312" w:cs="仿宋_GB2312"/>
          <w:kern w:val="0"/>
          <w:sz w:val="32"/>
          <w:szCs w:val="32"/>
          <w:highlight w:val="none"/>
          <w:lang w:val="en-US" w:eastAsia="zh-CN"/>
        </w:rPr>
        <w:t>6.</w:t>
      </w:r>
      <w:r>
        <w:rPr>
          <w:rFonts w:hint="eastAsia" w:ascii="Times New Roman" w:hAnsi="Times New Roman" w:eastAsia="方正仿宋_GBK" w:cs="Times New Roman"/>
          <w:color w:val="auto"/>
          <w:sz w:val="31"/>
          <w:szCs w:val="31"/>
          <w:highlight w:val="none"/>
          <w:lang w:val="en-US" w:eastAsia="zh-CN"/>
        </w:rPr>
        <w:t>社会保障和就业支出（类）行政事业单位养老支出（款）行政单位离退休（项）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24.64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决算相比增加2.17</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增长9.66</w:t>
      </w:r>
      <w:r>
        <w:rPr>
          <w:rFonts w:hint="eastAsia" w:ascii="仿宋_GB2312" w:hAnsi="仿宋_GB2312" w:eastAsia="仿宋_GB2312" w:cs="仿宋_GB2312"/>
          <w:kern w:val="0"/>
          <w:sz w:val="32"/>
          <w:szCs w:val="32"/>
          <w:highlight w:val="none"/>
        </w:rPr>
        <w:t>%，主要原因是：</w:t>
      </w:r>
      <w:r>
        <w:rPr>
          <w:rFonts w:hint="eastAsia" w:ascii="Times New Roman" w:hAnsi="Times New Roman" w:eastAsia="方正仿宋_GBK" w:cs="Times New Roman"/>
          <w:color w:val="auto"/>
          <w:sz w:val="31"/>
          <w:szCs w:val="31"/>
          <w:highlight w:val="none"/>
          <w:lang w:val="en-US" w:eastAsia="zh-CN"/>
        </w:rPr>
        <w:t>补发</w:t>
      </w:r>
      <w:r>
        <w:rPr>
          <w:rFonts w:hint="default" w:ascii="Times New Roman" w:hAnsi="Times New Roman" w:eastAsia="方正仿宋_GBK" w:cs="Times New Roman"/>
          <w:color w:val="auto"/>
          <w:sz w:val="31"/>
          <w:szCs w:val="31"/>
          <w:highlight w:val="none"/>
          <w:lang w:val="en-US" w:eastAsia="zh-CN"/>
        </w:rPr>
        <w:t>退休人员</w:t>
      </w:r>
      <w:r>
        <w:rPr>
          <w:rFonts w:hint="eastAsia" w:ascii="Times New Roman" w:hAnsi="Times New Roman" w:eastAsia="方正仿宋_GBK" w:cs="Times New Roman"/>
          <w:color w:val="auto"/>
          <w:sz w:val="31"/>
          <w:szCs w:val="31"/>
          <w:highlight w:val="none"/>
          <w:lang w:val="en-US" w:eastAsia="zh-CN"/>
        </w:rPr>
        <w:t>津补贴</w:t>
      </w:r>
      <w:r>
        <w:rPr>
          <w:rFonts w:hint="eastAsia" w:ascii="Times New Roman" w:hAnsi="Times New Roman" w:eastAsia="方正仿宋_GBK" w:cs="Times New Roman"/>
          <w:color w:val="auto"/>
          <w:sz w:val="31"/>
          <w:szCs w:val="31"/>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auto"/>
          <w:sz w:val="31"/>
          <w:szCs w:val="31"/>
          <w:highlight w:val="none"/>
          <w:lang w:val="zh-CN" w:eastAsia="zh-CN"/>
        </w:rPr>
      </w:pPr>
      <w:r>
        <w:rPr>
          <w:rFonts w:hint="eastAsia" w:ascii="仿宋_GB2312" w:hAnsi="仿宋_GB2312" w:eastAsia="仿宋_GB2312" w:cs="仿宋_GB2312"/>
          <w:kern w:val="0"/>
          <w:sz w:val="32"/>
          <w:szCs w:val="32"/>
          <w:highlight w:val="none"/>
          <w:lang w:val="en-US" w:eastAsia="zh-CN"/>
        </w:rPr>
        <w:t>7.</w:t>
      </w:r>
      <w:r>
        <w:rPr>
          <w:rFonts w:hint="eastAsia" w:ascii="Times New Roman" w:hAnsi="Times New Roman" w:eastAsia="方正仿宋_GBK" w:cs="Times New Roman"/>
          <w:color w:val="auto"/>
          <w:sz w:val="31"/>
          <w:szCs w:val="31"/>
          <w:highlight w:val="none"/>
          <w:lang w:val="en-US" w:eastAsia="zh-CN"/>
        </w:rPr>
        <w:t>社会保障和就业支出（类）行政事业单位养老支出（款）事业单位离退休（项）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1.68</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决算相比增加0.51</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增长43.59</w:t>
      </w:r>
      <w:r>
        <w:rPr>
          <w:rFonts w:hint="eastAsia" w:ascii="仿宋_GB2312" w:hAnsi="仿宋_GB2312" w:eastAsia="仿宋_GB2312" w:cs="仿宋_GB2312"/>
          <w:kern w:val="0"/>
          <w:sz w:val="32"/>
          <w:szCs w:val="32"/>
          <w:highlight w:val="none"/>
        </w:rPr>
        <w:t>%，主要原因是：</w:t>
      </w:r>
      <w:r>
        <w:rPr>
          <w:rFonts w:hint="eastAsia" w:ascii="Times New Roman" w:hAnsi="Times New Roman" w:eastAsia="方正仿宋_GBK" w:cs="Times New Roman"/>
          <w:color w:val="auto"/>
          <w:sz w:val="31"/>
          <w:szCs w:val="31"/>
          <w:highlight w:val="none"/>
          <w:lang w:val="en-US" w:eastAsia="zh-CN"/>
        </w:rPr>
        <w:t>补发</w:t>
      </w:r>
      <w:r>
        <w:rPr>
          <w:rFonts w:hint="default" w:ascii="Times New Roman" w:hAnsi="Times New Roman" w:eastAsia="方正仿宋_GBK" w:cs="Times New Roman"/>
          <w:color w:val="auto"/>
          <w:sz w:val="31"/>
          <w:szCs w:val="31"/>
          <w:highlight w:val="none"/>
          <w:lang w:val="en-US" w:eastAsia="zh-CN"/>
        </w:rPr>
        <w:t>退休人员</w:t>
      </w:r>
      <w:r>
        <w:rPr>
          <w:rFonts w:hint="eastAsia" w:ascii="Times New Roman" w:hAnsi="Times New Roman" w:eastAsia="方正仿宋_GBK" w:cs="Times New Roman"/>
          <w:color w:val="auto"/>
          <w:sz w:val="31"/>
          <w:szCs w:val="31"/>
          <w:highlight w:val="none"/>
          <w:lang w:val="en-US" w:eastAsia="zh-CN"/>
        </w:rPr>
        <w:t>津补贴</w:t>
      </w:r>
      <w:r>
        <w:rPr>
          <w:rFonts w:hint="eastAsia" w:ascii="Times New Roman" w:hAnsi="Times New Roman" w:eastAsia="方正仿宋_GBK" w:cs="Times New Roman"/>
          <w:color w:val="auto"/>
          <w:sz w:val="31"/>
          <w:szCs w:val="31"/>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8.</w:t>
      </w:r>
      <w:r>
        <w:rPr>
          <w:rFonts w:hint="eastAsia" w:ascii="Times New Roman" w:hAnsi="Times New Roman" w:eastAsia="方正仿宋_GBK" w:cs="Times New Roman"/>
          <w:color w:val="auto"/>
          <w:sz w:val="31"/>
          <w:szCs w:val="31"/>
          <w:highlight w:val="none"/>
          <w:lang w:val="en-US" w:eastAsia="zh-CN"/>
        </w:rPr>
        <w:t>社会保障和就业支出（类）行政事业单位养老支出（款）机关事业单位基本养老保险缴费支出（项）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147.23</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决算相比增加147.23</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本年增加该功能科目支出</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9.</w:t>
      </w:r>
      <w:r>
        <w:rPr>
          <w:rFonts w:hint="eastAsia" w:ascii="Times New Roman" w:hAnsi="Times New Roman" w:eastAsia="方正仿宋_GBK" w:cs="Times New Roman"/>
          <w:color w:val="auto"/>
          <w:sz w:val="31"/>
          <w:szCs w:val="31"/>
          <w:highlight w:val="none"/>
          <w:lang w:val="en-US" w:eastAsia="zh-CN"/>
        </w:rPr>
        <w:t>社会保障和就业支出（类）行政事业单位养老支出（款）机关事业单位职业年金缴费支出（项）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18.44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决算相比增加18.44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本年增加该功能科目支出</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10.</w:t>
      </w:r>
      <w:r>
        <w:rPr>
          <w:rFonts w:hint="default" w:ascii="Times New Roman" w:hAnsi="Times New Roman" w:eastAsia="方正仿宋_GBK" w:cs="Times New Roman"/>
          <w:color w:val="auto"/>
          <w:sz w:val="31"/>
          <w:szCs w:val="31"/>
          <w:highlight w:val="none"/>
          <w:lang w:val="en-US" w:eastAsia="zh-CN"/>
        </w:rPr>
        <w:t>社会保障和就业支出（类）就业补助（款） 公益性岗位补贴（项）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w:t>
      </w:r>
      <w:r>
        <w:rPr>
          <w:rFonts w:hint="eastAsia" w:ascii="仿宋_GB2312" w:hAnsi="仿宋_GB2312" w:eastAsia="仿宋_GB2312" w:cs="仿宋_GB2312"/>
          <w:kern w:val="0"/>
          <w:sz w:val="32"/>
          <w:szCs w:val="32"/>
          <w:highlight w:val="none"/>
        </w:rPr>
        <w:t>减少</w:t>
      </w:r>
      <w:r>
        <w:rPr>
          <w:rFonts w:hint="eastAsia" w:ascii="仿宋_GB2312" w:hAnsi="仿宋_GB2312" w:eastAsia="仿宋_GB2312" w:cs="仿宋_GB2312"/>
          <w:kern w:val="0"/>
          <w:sz w:val="32"/>
          <w:szCs w:val="32"/>
          <w:highlight w:val="none"/>
          <w:lang w:val="en-US" w:eastAsia="zh-CN"/>
        </w:rPr>
        <w:t>79.18</w:t>
      </w:r>
      <w:r>
        <w:rPr>
          <w:rFonts w:hint="eastAsia" w:ascii="仿宋_GB2312" w:hAnsi="仿宋_GB2312" w:eastAsia="仿宋_GB2312" w:cs="仿宋_GB2312"/>
          <w:kern w:val="0"/>
          <w:sz w:val="32"/>
          <w:szCs w:val="32"/>
          <w:highlight w:val="none"/>
        </w:rPr>
        <w:t>万元，下降</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eastAsia="仿宋_GB2312"/>
          <w:sz w:val="32"/>
          <w:szCs w:val="32"/>
          <w:highlight w:val="none"/>
          <w:lang w:val="en-US" w:eastAsia="zh-CN"/>
        </w:rPr>
        <w:t>本年度无该科目支出</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11.</w:t>
      </w:r>
      <w:r>
        <w:rPr>
          <w:rFonts w:hint="default" w:ascii="Times New Roman" w:hAnsi="Times New Roman" w:eastAsia="方正仿宋_GBK" w:cs="Times New Roman"/>
          <w:color w:val="auto"/>
          <w:sz w:val="31"/>
          <w:szCs w:val="31"/>
          <w:highlight w:val="none"/>
          <w:lang w:val="en-US" w:eastAsia="zh-CN"/>
        </w:rPr>
        <w:t>卫生健康支出（类）行政事业单位医疗（款）行政单位医疗（项）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28.08</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决算相比增加5.54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增长24.58</w:t>
      </w:r>
      <w:r>
        <w:rPr>
          <w:rFonts w:hint="eastAsia" w:ascii="仿宋_GB2312" w:hAnsi="仿宋_GB2312" w:eastAsia="仿宋_GB2312" w:cs="仿宋_GB2312"/>
          <w:kern w:val="0"/>
          <w:sz w:val="32"/>
          <w:szCs w:val="32"/>
          <w:highlight w:val="none"/>
        </w:rPr>
        <w:t>%，主要原因是：</w:t>
      </w:r>
      <w:r>
        <w:rPr>
          <w:rFonts w:hint="default" w:ascii="Times New Roman" w:hAnsi="Times New Roman" w:eastAsia="方正仿宋_GBK" w:cs="Times New Roman"/>
          <w:color w:val="auto"/>
          <w:sz w:val="31"/>
          <w:szCs w:val="31"/>
          <w:highlight w:val="none"/>
          <w:lang w:val="en-US" w:eastAsia="zh-CN"/>
        </w:rPr>
        <w:t>人员</w:t>
      </w:r>
      <w:r>
        <w:rPr>
          <w:rFonts w:hint="eastAsia" w:ascii="Times New Roman" w:hAnsi="Times New Roman" w:eastAsia="方正仿宋_GBK" w:cs="Times New Roman"/>
          <w:color w:val="auto"/>
          <w:sz w:val="31"/>
          <w:szCs w:val="31"/>
          <w:highlight w:val="none"/>
          <w:lang w:val="en-US" w:eastAsia="zh-CN"/>
        </w:rPr>
        <w:t>医疗</w:t>
      </w:r>
      <w:r>
        <w:rPr>
          <w:rFonts w:hint="default" w:ascii="Times New Roman" w:hAnsi="Times New Roman" w:eastAsia="方正仿宋_GBK" w:cs="Times New Roman"/>
          <w:color w:val="auto"/>
          <w:sz w:val="31"/>
          <w:szCs w:val="31"/>
          <w:highlight w:val="none"/>
          <w:lang w:val="en-US" w:eastAsia="zh-CN"/>
        </w:rPr>
        <w:t>缴费基数增加</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12.</w:t>
      </w:r>
      <w:r>
        <w:rPr>
          <w:rFonts w:hint="default" w:ascii="Times New Roman" w:hAnsi="Times New Roman" w:eastAsia="方正仿宋_GBK" w:cs="Times New Roman"/>
          <w:color w:val="auto"/>
          <w:sz w:val="31"/>
          <w:szCs w:val="31"/>
          <w:highlight w:val="none"/>
          <w:lang w:val="en-US" w:eastAsia="zh-CN"/>
        </w:rPr>
        <w:t>卫生健康支出（类）行政事业单位医疗（款）</w:t>
      </w:r>
      <w:r>
        <w:rPr>
          <w:rFonts w:hint="eastAsia" w:ascii="Times New Roman" w:hAnsi="Times New Roman" w:eastAsia="方正仿宋_GBK" w:cs="Times New Roman"/>
          <w:color w:val="auto"/>
          <w:sz w:val="31"/>
          <w:szCs w:val="31"/>
          <w:highlight w:val="none"/>
          <w:lang w:val="en-US" w:eastAsia="zh-CN"/>
        </w:rPr>
        <w:t>事业</w:t>
      </w:r>
      <w:r>
        <w:rPr>
          <w:rFonts w:hint="default" w:ascii="Times New Roman" w:hAnsi="Times New Roman" w:eastAsia="方正仿宋_GBK" w:cs="Times New Roman"/>
          <w:color w:val="auto"/>
          <w:sz w:val="31"/>
          <w:szCs w:val="31"/>
          <w:highlight w:val="none"/>
          <w:lang w:val="en-US" w:eastAsia="zh-CN"/>
        </w:rPr>
        <w:t>单位医疗（项）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38.75</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决算相比增加4.64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增长13.6</w:t>
      </w:r>
      <w:r>
        <w:rPr>
          <w:rFonts w:hint="eastAsia" w:ascii="仿宋_GB2312" w:hAnsi="仿宋_GB2312" w:eastAsia="仿宋_GB2312" w:cs="仿宋_GB2312"/>
          <w:kern w:val="0"/>
          <w:sz w:val="32"/>
          <w:szCs w:val="32"/>
          <w:highlight w:val="none"/>
        </w:rPr>
        <w:t>%，主要原因是：</w:t>
      </w:r>
      <w:r>
        <w:rPr>
          <w:rFonts w:hint="default" w:ascii="Times New Roman" w:hAnsi="Times New Roman" w:eastAsia="方正仿宋_GBK" w:cs="Times New Roman"/>
          <w:color w:val="auto"/>
          <w:sz w:val="31"/>
          <w:szCs w:val="31"/>
          <w:highlight w:val="none"/>
          <w:lang w:val="en-US" w:eastAsia="zh-CN"/>
        </w:rPr>
        <w:t>人员</w:t>
      </w:r>
      <w:r>
        <w:rPr>
          <w:rFonts w:hint="eastAsia" w:ascii="Times New Roman" w:hAnsi="Times New Roman" w:eastAsia="方正仿宋_GBK" w:cs="Times New Roman"/>
          <w:color w:val="auto"/>
          <w:sz w:val="31"/>
          <w:szCs w:val="31"/>
          <w:highlight w:val="none"/>
          <w:lang w:val="en-US" w:eastAsia="zh-CN"/>
        </w:rPr>
        <w:t>医疗</w:t>
      </w:r>
      <w:r>
        <w:rPr>
          <w:rFonts w:hint="default" w:ascii="Times New Roman" w:hAnsi="Times New Roman" w:eastAsia="方正仿宋_GBK" w:cs="Times New Roman"/>
          <w:color w:val="auto"/>
          <w:sz w:val="31"/>
          <w:szCs w:val="31"/>
          <w:highlight w:val="none"/>
          <w:lang w:val="en-US" w:eastAsia="zh-CN"/>
        </w:rPr>
        <w:t>缴费基数增加</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13.</w:t>
      </w:r>
      <w:r>
        <w:rPr>
          <w:rFonts w:hint="default" w:ascii="Times New Roman" w:hAnsi="Times New Roman" w:eastAsia="方正仿宋_GBK" w:cs="Times New Roman"/>
          <w:color w:val="auto"/>
          <w:sz w:val="31"/>
          <w:szCs w:val="31"/>
          <w:highlight w:val="none"/>
          <w:lang w:val="en-US" w:eastAsia="zh-CN"/>
        </w:rPr>
        <w:t>卫生健康支出（类）行政事业单位医疗（款）</w:t>
      </w:r>
      <w:r>
        <w:rPr>
          <w:rFonts w:hint="eastAsia" w:eastAsia="方正仿宋_GBK" w:cs="Times New Roman"/>
          <w:color w:val="auto"/>
          <w:sz w:val="31"/>
          <w:szCs w:val="31"/>
          <w:highlight w:val="none"/>
          <w:lang w:val="en-US" w:eastAsia="zh-CN"/>
        </w:rPr>
        <w:t>公务员</w:t>
      </w:r>
      <w:r>
        <w:rPr>
          <w:rFonts w:hint="default" w:ascii="Times New Roman" w:hAnsi="Times New Roman" w:eastAsia="方正仿宋_GBK" w:cs="Times New Roman"/>
          <w:color w:val="auto"/>
          <w:sz w:val="31"/>
          <w:szCs w:val="31"/>
          <w:highlight w:val="none"/>
          <w:lang w:val="en-US" w:eastAsia="zh-CN"/>
        </w:rPr>
        <w:t>医疗</w:t>
      </w:r>
      <w:r>
        <w:rPr>
          <w:rFonts w:hint="eastAsia" w:eastAsia="方正仿宋_GBK" w:cs="Times New Roman"/>
          <w:color w:val="auto"/>
          <w:sz w:val="31"/>
          <w:szCs w:val="31"/>
          <w:highlight w:val="none"/>
          <w:lang w:val="en-US" w:eastAsia="zh-CN"/>
        </w:rPr>
        <w:t>补助</w:t>
      </w:r>
      <w:r>
        <w:rPr>
          <w:rFonts w:hint="default" w:ascii="Times New Roman" w:hAnsi="Times New Roman" w:eastAsia="方正仿宋_GBK" w:cs="Times New Roman"/>
          <w:color w:val="auto"/>
          <w:sz w:val="31"/>
          <w:szCs w:val="31"/>
          <w:highlight w:val="none"/>
          <w:lang w:val="en-US" w:eastAsia="zh-CN"/>
        </w:rPr>
        <w:t>（项）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5.24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决算相比增加1.14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增长27.8</w:t>
      </w:r>
      <w:r>
        <w:rPr>
          <w:rFonts w:hint="eastAsia" w:ascii="仿宋_GB2312" w:hAnsi="仿宋_GB2312" w:eastAsia="仿宋_GB2312" w:cs="仿宋_GB2312"/>
          <w:kern w:val="0"/>
          <w:sz w:val="32"/>
          <w:szCs w:val="32"/>
          <w:highlight w:val="none"/>
        </w:rPr>
        <w:t>%，主要原因是：</w:t>
      </w:r>
      <w:r>
        <w:rPr>
          <w:rFonts w:hint="default" w:ascii="Times New Roman" w:hAnsi="Times New Roman" w:eastAsia="方正仿宋_GBK" w:cs="Times New Roman"/>
          <w:color w:val="auto"/>
          <w:sz w:val="31"/>
          <w:szCs w:val="31"/>
          <w:highlight w:val="none"/>
          <w:lang w:val="en-US" w:eastAsia="zh-CN"/>
        </w:rPr>
        <w:t>人员</w:t>
      </w:r>
      <w:r>
        <w:rPr>
          <w:rFonts w:hint="eastAsia" w:ascii="Times New Roman" w:hAnsi="Times New Roman" w:eastAsia="方正仿宋_GBK" w:cs="Times New Roman"/>
          <w:color w:val="auto"/>
          <w:sz w:val="31"/>
          <w:szCs w:val="31"/>
          <w:highlight w:val="none"/>
          <w:lang w:val="en-US" w:eastAsia="zh-CN"/>
        </w:rPr>
        <w:t>医疗</w:t>
      </w:r>
      <w:r>
        <w:rPr>
          <w:rFonts w:hint="default" w:ascii="Times New Roman" w:hAnsi="Times New Roman" w:eastAsia="方正仿宋_GBK" w:cs="Times New Roman"/>
          <w:color w:val="auto"/>
          <w:sz w:val="31"/>
          <w:szCs w:val="31"/>
          <w:highlight w:val="none"/>
          <w:lang w:val="en-US" w:eastAsia="zh-CN"/>
        </w:rPr>
        <w:t>缴费基数增加</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sz w:val="31"/>
          <w:szCs w:val="31"/>
          <w:highlight w:val="none"/>
          <w:lang w:val="zh-CN" w:eastAsia="zh-CN"/>
        </w:rPr>
      </w:pPr>
      <w:r>
        <w:rPr>
          <w:rFonts w:hint="eastAsia" w:ascii="仿宋_GB2312" w:hAnsi="仿宋_GB2312" w:eastAsia="仿宋_GB2312" w:cs="仿宋_GB2312"/>
          <w:kern w:val="0"/>
          <w:sz w:val="32"/>
          <w:szCs w:val="32"/>
          <w:highlight w:val="none"/>
          <w:lang w:val="en-US" w:eastAsia="zh-CN"/>
        </w:rPr>
        <w:t>14.</w:t>
      </w:r>
      <w:r>
        <w:rPr>
          <w:rFonts w:hint="eastAsia" w:ascii="Times New Roman" w:hAnsi="Times New Roman" w:eastAsia="方正仿宋_GBK" w:cs="Times New Roman"/>
          <w:color w:val="auto"/>
          <w:sz w:val="31"/>
          <w:szCs w:val="31"/>
          <w:highlight w:val="none"/>
          <w:lang w:val="en-US" w:eastAsia="zh-CN"/>
        </w:rPr>
        <w:t>住房保障支出（类）住房改革支出（款）住房公积金（项）:支出决算数为</w:t>
      </w:r>
      <w:r>
        <w:rPr>
          <w:rFonts w:hint="eastAsia" w:eastAsia="方正仿宋_GBK" w:cs="Times New Roman"/>
          <w:color w:val="auto"/>
          <w:sz w:val="31"/>
          <w:szCs w:val="31"/>
          <w:highlight w:val="none"/>
          <w:lang w:val="en-US" w:eastAsia="zh-CN"/>
        </w:rPr>
        <w:t>113.56</w:t>
      </w:r>
      <w:r>
        <w:rPr>
          <w:rFonts w:hint="eastAsia" w:ascii="Times New Roman" w:hAnsi="Times New Roman" w:eastAsia="方正仿宋_GBK" w:cs="Times New Roman"/>
          <w:color w:val="auto"/>
          <w:sz w:val="31"/>
          <w:szCs w:val="31"/>
          <w:highlight w:val="none"/>
          <w:lang w:val="en-US" w:eastAsia="zh-CN"/>
        </w:rPr>
        <w:t>万元，</w:t>
      </w:r>
      <w:r>
        <w:rPr>
          <w:rFonts w:hint="eastAsia" w:eastAsia="方正仿宋_GBK" w:cs="Times New Roman"/>
          <w:color w:val="auto"/>
          <w:sz w:val="31"/>
          <w:szCs w:val="31"/>
          <w:highlight w:val="none"/>
          <w:lang w:val="en-US" w:eastAsia="zh-CN"/>
        </w:rPr>
        <w:t>与</w:t>
      </w:r>
      <w:r>
        <w:rPr>
          <w:rFonts w:hint="eastAsia" w:ascii="Times New Roman" w:hAnsi="Times New Roman" w:eastAsia="方正仿宋_GBK" w:cs="Times New Roman"/>
          <w:color w:val="auto"/>
          <w:sz w:val="31"/>
          <w:szCs w:val="31"/>
          <w:highlight w:val="none"/>
          <w:lang w:val="en-US" w:eastAsia="zh-CN"/>
        </w:rPr>
        <w:t>上年决算</w:t>
      </w:r>
      <w:r>
        <w:rPr>
          <w:rFonts w:hint="eastAsia" w:eastAsia="方正仿宋_GBK" w:cs="Times New Roman"/>
          <w:color w:val="auto"/>
          <w:sz w:val="31"/>
          <w:szCs w:val="31"/>
          <w:highlight w:val="none"/>
          <w:lang w:val="en-US" w:eastAsia="zh-CN"/>
        </w:rPr>
        <w:t>相比</w:t>
      </w:r>
      <w:r>
        <w:rPr>
          <w:rFonts w:hint="eastAsia" w:ascii="Times New Roman" w:hAnsi="Times New Roman" w:eastAsia="方正仿宋_GBK" w:cs="Times New Roman"/>
          <w:color w:val="auto"/>
          <w:sz w:val="31"/>
          <w:szCs w:val="31"/>
          <w:highlight w:val="none"/>
          <w:lang w:val="en-US" w:eastAsia="zh-CN"/>
        </w:rPr>
        <w:t>增加</w:t>
      </w:r>
      <w:r>
        <w:rPr>
          <w:rFonts w:hint="eastAsia" w:eastAsia="方正仿宋_GBK" w:cs="Times New Roman"/>
          <w:color w:val="auto"/>
          <w:sz w:val="31"/>
          <w:szCs w:val="31"/>
          <w:highlight w:val="none"/>
          <w:lang w:val="en-US" w:eastAsia="zh-CN"/>
        </w:rPr>
        <w:t>11.89</w:t>
      </w:r>
      <w:r>
        <w:rPr>
          <w:rFonts w:hint="eastAsia" w:ascii="Times New Roman" w:hAnsi="Times New Roman" w:eastAsia="方正仿宋_GBK" w:cs="Times New Roman"/>
          <w:color w:val="auto"/>
          <w:sz w:val="31"/>
          <w:szCs w:val="31"/>
          <w:highlight w:val="none"/>
          <w:lang w:val="en-US" w:eastAsia="zh-CN"/>
        </w:rPr>
        <w:t>万元，增长</w:t>
      </w:r>
      <w:r>
        <w:rPr>
          <w:rFonts w:hint="eastAsia" w:eastAsia="方正仿宋_GBK" w:cs="Times New Roman"/>
          <w:color w:val="auto"/>
          <w:sz w:val="31"/>
          <w:szCs w:val="31"/>
          <w:highlight w:val="none"/>
          <w:lang w:val="en-US" w:eastAsia="zh-CN"/>
        </w:rPr>
        <w:t>11.69</w:t>
      </w:r>
      <w:r>
        <w:rPr>
          <w:rFonts w:hint="eastAsia" w:ascii="Times New Roman" w:hAnsi="Times New Roman" w:eastAsia="方正仿宋_GBK" w:cs="Times New Roman"/>
          <w:color w:val="auto"/>
          <w:sz w:val="31"/>
          <w:szCs w:val="31"/>
          <w:highlight w:val="none"/>
          <w:lang w:val="en-US" w:eastAsia="zh-CN"/>
        </w:rPr>
        <w:t>%，主要原因是：</w:t>
      </w:r>
      <w:r>
        <w:rPr>
          <w:rFonts w:hint="default" w:ascii="Times New Roman" w:hAnsi="Times New Roman" w:eastAsia="方正仿宋_GBK" w:cs="Times New Roman"/>
          <w:color w:val="auto"/>
          <w:sz w:val="31"/>
          <w:szCs w:val="31"/>
          <w:highlight w:val="none"/>
          <w:lang w:val="en-US" w:eastAsia="zh-CN"/>
        </w:rPr>
        <w:t>在职人员住房公积金基数调整</w:t>
      </w:r>
      <w:r>
        <w:rPr>
          <w:rFonts w:hint="eastAsia" w:ascii="Times New Roman" w:hAnsi="Times New Roman" w:eastAsia="方正仿宋_GBK" w:cs="Times New Roman"/>
          <w:color w:val="auto"/>
          <w:sz w:val="31"/>
          <w:szCs w:val="31"/>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1" w:name="_Toc11146"/>
      <w:bookmarkStart w:id="22" w:name="_Toc23415"/>
      <w:r>
        <w:rPr>
          <w:rFonts w:hint="eastAsia" w:ascii="黑体" w:hAnsi="黑体" w:eastAsia="黑体" w:cs="宋体"/>
          <w:bCs/>
          <w:kern w:val="0"/>
          <w:sz w:val="32"/>
          <w:szCs w:val="32"/>
          <w:highlight w:val="none"/>
          <w:lang w:eastAsia="zh-CN"/>
        </w:rPr>
        <w:t>六、一般公共预算财政拨款基本支出决算情况说明</w:t>
      </w:r>
      <w:bookmarkEnd w:id="21"/>
      <w:bookmarkEnd w:id="22"/>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rPr>
        <w:t>一般公共预算财政拨款基本支出</w:t>
      </w:r>
      <w:r>
        <w:rPr>
          <w:rFonts w:hint="eastAsia" w:ascii="仿宋_GB2312" w:eastAsia="仿宋_GB2312"/>
          <w:sz w:val="32"/>
          <w:szCs w:val="32"/>
          <w:highlight w:val="none"/>
          <w:lang w:val="en-US" w:eastAsia="zh-CN"/>
        </w:rPr>
        <w:t>1794.58</w:t>
      </w:r>
      <w:r>
        <w:rPr>
          <w:rFonts w:hint="eastAsia" w:ascii="仿宋_GB2312" w:eastAsia="仿宋_GB2312"/>
          <w:sz w:val="32"/>
          <w:szCs w:val="32"/>
          <w:highlight w:val="none"/>
        </w:rPr>
        <w:t>万元，其中：</w:t>
      </w:r>
      <w:r>
        <w:rPr>
          <w:rFonts w:hint="eastAsia" w:ascii="仿宋_GB2312" w:eastAsia="仿宋_GB2312"/>
          <w:b/>
          <w:bCs/>
          <w:sz w:val="32"/>
          <w:szCs w:val="32"/>
          <w:highlight w:val="none"/>
        </w:rPr>
        <w:t>人员经费</w:t>
      </w:r>
      <w:r>
        <w:rPr>
          <w:rFonts w:hint="eastAsia" w:ascii="仿宋_GB2312" w:eastAsia="仿宋_GB2312"/>
          <w:b/>
          <w:bCs/>
          <w:sz w:val="32"/>
          <w:szCs w:val="32"/>
          <w:highlight w:val="none"/>
          <w:lang w:val="en-US" w:eastAsia="zh-CN"/>
        </w:rPr>
        <w:t>1551.99</w:t>
      </w:r>
      <w:r>
        <w:rPr>
          <w:rFonts w:hint="eastAsia" w:ascii="仿宋_GB2312" w:eastAsia="仿宋_GB2312"/>
          <w:b/>
          <w:bCs/>
          <w:sz w:val="32"/>
          <w:szCs w:val="32"/>
          <w:highlight w:val="none"/>
        </w:rPr>
        <w:t>万元，</w:t>
      </w:r>
      <w:r>
        <w:rPr>
          <w:rFonts w:hint="eastAsia" w:ascii="仿宋_GB2312" w:eastAsia="仿宋_GB2312"/>
          <w:sz w:val="32"/>
          <w:szCs w:val="32"/>
          <w:highlight w:val="none"/>
        </w:rPr>
        <w:t>包括：基本工资</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津贴补贴</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奖金</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机关事业单位基本养老保险缴费</w:t>
      </w:r>
      <w:r>
        <w:rPr>
          <w:rFonts w:hint="eastAsia" w:ascii="仿宋_GB2312" w:eastAsia="仿宋_GB2312"/>
          <w:sz w:val="32"/>
          <w:szCs w:val="32"/>
          <w:highlight w:val="none"/>
          <w:lang w:eastAsia="zh-CN"/>
        </w:rPr>
        <w:t>、职业年金缴费、</w:t>
      </w:r>
      <w:r>
        <w:rPr>
          <w:rFonts w:hint="eastAsia" w:ascii="仿宋_GB2312" w:eastAsia="仿宋_GB2312"/>
          <w:sz w:val="32"/>
          <w:szCs w:val="32"/>
          <w:highlight w:val="none"/>
        </w:rPr>
        <w:t>职工基本医疗保险缴费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公务员医疗补助缴费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其他社会保障缴费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住房公积金</w:t>
      </w:r>
      <w:r>
        <w:rPr>
          <w:rFonts w:hint="eastAsia" w:ascii="仿宋_GB2312" w:eastAsia="仿宋_GB2312"/>
          <w:sz w:val="32"/>
          <w:szCs w:val="32"/>
          <w:highlight w:val="none"/>
          <w:lang w:eastAsia="zh-CN"/>
        </w:rPr>
        <w:t>、离休费、退休费、生活补助和其他对个人和家庭</w:t>
      </w:r>
      <w:r>
        <w:rPr>
          <w:rFonts w:hint="eastAsia" w:ascii="仿宋_GB2312" w:eastAsia="仿宋_GB2312"/>
          <w:sz w:val="32"/>
          <w:szCs w:val="32"/>
          <w:highlight w:val="none"/>
          <w:lang w:val="en-US" w:eastAsia="zh-CN"/>
        </w:rPr>
        <w:t>的补助</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hAnsi="宋体" w:eastAsia="仿宋_GB2312" w:cs="宋体"/>
          <w:kern w:val="0"/>
          <w:sz w:val="32"/>
          <w:szCs w:val="32"/>
          <w:highlight w:val="none"/>
        </w:rPr>
      </w:pPr>
      <w:r>
        <w:rPr>
          <w:rFonts w:hint="eastAsia" w:ascii="仿宋_GB2312" w:eastAsia="仿宋_GB2312"/>
          <w:b/>
          <w:bCs/>
          <w:sz w:val="32"/>
          <w:szCs w:val="32"/>
          <w:highlight w:val="none"/>
        </w:rPr>
        <w:t>公用经费</w:t>
      </w:r>
      <w:r>
        <w:rPr>
          <w:rFonts w:hint="eastAsia" w:ascii="仿宋_GB2312" w:eastAsia="仿宋_GB2312"/>
          <w:b/>
          <w:bCs/>
          <w:sz w:val="32"/>
          <w:szCs w:val="32"/>
          <w:highlight w:val="none"/>
          <w:lang w:val="en-US" w:eastAsia="zh-CN"/>
        </w:rPr>
        <w:t>242.59</w:t>
      </w:r>
      <w:r>
        <w:rPr>
          <w:rFonts w:hint="eastAsia" w:ascii="仿宋_GB2312" w:eastAsia="仿宋_GB2312"/>
          <w:b/>
          <w:bCs/>
          <w:sz w:val="32"/>
          <w:szCs w:val="32"/>
          <w:highlight w:val="none"/>
        </w:rPr>
        <w:t>万元，</w:t>
      </w:r>
      <w:r>
        <w:rPr>
          <w:rFonts w:hint="eastAsia" w:ascii="仿宋_GB2312" w:eastAsia="仿宋_GB2312"/>
          <w:sz w:val="32"/>
          <w:szCs w:val="32"/>
          <w:highlight w:val="none"/>
        </w:rPr>
        <w:t>包括：办公费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差旅费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维修（护）费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培训费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劳务费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委托业务费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工会经费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公务用车运行维护费</w:t>
      </w:r>
      <w:r>
        <w:rPr>
          <w:rFonts w:hint="eastAsia" w:ascii="仿宋_GB2312" w:eastAsia="仿宋_GB2312"/>
          <w:sz w:val="32"/>
          <w:szCs w:val="32"/>
          <w:highlight w:val="none"/>
          <w:lang w:val="en-US" w:eastAsia="zh-CN"/>
        </w:rPr>
        <w:t>和</w:t>
      </w:r>
      <w:r>
        <w:rPr>
          <w:rFonts w:hint="eastAsia" w:ascii="仿宋_GB2312" w:eastAsia="仿宋_GB2312"/>
          <w:sz w:val="32"/>
          <w:szCs w:val="32"/>
          <w:highlight w:val="none"/>
          <w:lang w:eastAsia="zh-CN"/>
        </w:rPr>
        <w:t>办设备购置。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3" w:name="_Toc7523"/>
      <w:bookmarkStart w:id="24" w:name="_Toc7927"/>
      <w:r>
        <w:rPr>
          <w:rFonts w:hint="eastAsia" w:ascii="黑体" w:hAnsi="黑体" w:eastAsia="黑体" w:cs="宋体"/>
          <w:bCs/>
          <w:kern w:val="0"/>
          <w:sz w:val="32"/>
          <w:szCs w:val="32"/>
          <w:highlight w:val="none"/>
          <w:lang w:val="en-US" w:eastAsia="zh-CN"/>
        </w:rPr>
        <w:t>七、</w:t>
      </w:r>
      <w:r>
        <w:rPr>
          <w:rFonts w:hint="eastAsia" w:ascii="黑体" w:hAnsi="黑体" w:eastAsia="黑体" w:cs="宋体"/>
          <w:bCs/>
          <w:kern w:val="0"/>
          <w:sz w:val="32"/>
          <w:szCs w:val="32"/>
          <w:highlight w:val="none"/>
          <w:lang w:eastAsia="zh-CN"/>
        </w:rPr>
        <w:t>政府性基金预算财政拨款收入支出决算情况说明</w:t>
      </w:r>
      <w:bookmarkEnd w:id="23"/>
      <w:bookmarkEnd w:id="24"/>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rPr>
        <w:t>政府性基金预算</w:t>
      </w:r>
      <w:r>
        <w:rPr>
          <w:rFonts w:hint="eastAsia" w:ascii="仿宋_GB2312" w:eastAsia="仿宋_GB2312"/>
          <w:b/>
          <w:bCs/>
          <w:sz w:val="32"/>
          <w:szCs w:val="32"/>
          <w:highlight w:val="none"/>
          <w:lang w:val="en-US" w:eastAsia="zh-CN"/>
        </w:rPr>
        <w:t>财政拨款</w:t>
      </w:r>
      <w:r>
        <w:rPr>
          <w:rFonts w:hint="eastAsia" w:ascii="仿宋_GB2312" w:eastAsia="仿宋_GB2312"/>
          <w:b/>
          <w:bCs/>
          <w:sz w:val="32"/>
          <w:szCs w:val="32"/>
          <w:highlight w:val="none"/>
        </w:rPr>
        <w:t>收入</w:t>
      </w:r>
      <w:r>
        <w:rPr>
          <w:rFonts w:hint="eastAsia" w:ascii="仿宋_GB2312" w:eastAsia="仿宋_GB2312"/>
          <w:b/>
          <w:bCs/>
          <w:sz w:val="32"/>
          <w:szCs w:val="32"/>
          <w:highlight w:val="none"/>
          <w:lang w:val="en-US" w:eastAsia="zh-CN"/>
        </w:rPr>
        <w:t>总计500</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其中：年初结转和结余0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本年收入500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b/>
          <w:bCs/>
          <w:sz w:val="32"/>
          <w:szCs w:val="32"/>
          <w:highlight w:val="none"/>
        </w:rPr>
        <w:t>政府性基金预算财政拨款支出</w:t>
      </w:r>
      <w:r>
        <w:rPr>
          <w:rFonts w:hint="eastAsia" w:ascii="仿宋_GB2312" w:eastAsia="仿宋_GB2312"/>
          <w:b/>
          <w:bCs/>
          <w:sz w:val="32"/>
          <w:szCs w:val="32"/>
          <w:highlight w:val="none"/>
          <w:lang w:val="en-US" w:eastAsia="zh-CN"/>
        </w:rPr>
        <w:t>总计500</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其中：年末结转和结余0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本年支出500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hAnsi="仿宋_GB2312" w:eastAsia="仿宋_GB2312" w:cs="仿宋_GB2312"/>
          <w:b/>
          <w:bCs w:val="0"/>
          <w:kern w:val="0"/>
          <w:sz w:val="32"/>
          <w:szCs w:val="32"/>
          <w:highlight w:val="none"/>
          <w:lang w:eastAsia="zh-CN"/>
        </w:rPr>
        <w:t>政府性基金预算财政拨款收入支出</w:t>
      </w:r>
      <w:r>
        <w:rPr>
          <w:rFonts w:hint="eastAsia" w:ascii="仿宋_GB2312" w:hAnsi="仿宋_GB2312" w:eastAsia="仿宋_GB2312" w:cs="仿宋_GB2312"/>
          <w:b/>
          <w:bCs w:val="0"/>
          <w:kern w:val="0"/>
          <w:sz w:val="32"/>
          <w:szCs w:val="32"/>
          <w:highlight w:val="none"/>
          <w:lang w:val="en-US" w:eastAsia="zh-CN"/>
        </w:rPr>
        <w:t>总体</w:t>
      </w:r>
      <w:r>
        <w:rPr>
          <w:rFonts w:hint="eastAsia" w:ascii="仿宋_GB2312" w:hAnsi="仿宋_GB2312" w:eastAsia="仿宋_GB2312" w:cs="仿宋_GB2312"/>
          <w:b/>
          <w:bCs w:val="0"/>
          <w:sz w:val="32"/>
          <w:szCs w:val="32"/>
          <w:highlight w:val="none"/>
        </w:rPr>
        <w:t>与上年相</w:t>
      </w:r>
      <w:r>
        <w:rPr>
          <w:rFonts w:hint="eastAsia" w:ascii="仿宋_GB2312" w:eastAsia="仿宋_GB2312"/>
          <w:b/>
          <w:bCs/>
          <w:sz w:val="32"/>
          <w:szCs w:val="32"/>
          <w:highlight w:val="none"/>
        </w:rPr>
        <w:t>比，</w:t>
      </w:r>
      <w:r>
        <w:rPr>
          <w:rFonts w:hint="eastAsia" w:ascii="仿宋_GB2312" w:eastAsia="仿宋_GB2312"/>
          <w:sz w:val="32"/>
          <w:szCs w:val="32"/>
          <w:highlight w:val="none"/>
        </w:rPr>
        <w:t>增加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w:t>
      </w:r>
      <w:r>
        <w:rPr>
          <w:rFonts w:hint="eastAsia" w:ascii="Times New Roman" w:hAnsi="Times New Roman" w:eastAsia="方正仿宋_GBK" w:cs="Times New Roman"/>
          <w:color w:val="auto"/>
          <w:sz w:val="31"/>
          <w:szCs w:val="31"/>
          <w:highlight w:val="none"/>
          <w:lang w:val="zh-CN" w:eastAsia="zh-CN"/>
        </w:rPr>
        <w:t>本年</w:t>
      </w:r>
      <w:r>
        <w:rPr>
          <w:rFonts w:hint="eastAsia" w:ascii="仿宋_GB2312" w:hAnsi="仿宋_GB2312" w:eastAsia="仿宋_GB2312" w:cs="仿宋_GB2312"/>
          <w:kern w:val="0"/>
          <w:sz w:val="32"/>
          <w:szCs w:val="32"/>
          <w:highlight w:val="none"/>
          <w:lang w:val="en-US" w:eastAsia="zh-CN"/>
        </w:rPr>
        <w:t>春节前农民工工资</w:t>
      </w:r>
      <w:r>
        <w:rPr>
          <w:rFonts w:hint="eastAsia" w:ascii="Times New Roman" w:hAnsi="Times New Roman" w:eastAsia="方正仿宋_GBK" w:cs="Times New Roman"/>
          <w:color w:val="auto"/>
          <w:sz w:val="31"/>
          <w:szCs w:val="31"/>
          <w:highlight w:val="none"/>
          <w:lang w:val="zh-CN" w:eastAsia="zh-CN"/>
        </w:rPr>
        <w:t>支出，与上年相比无变动</w:t>
      </w:r>
      <w:r>
        <w:rPr>
          <w:rFonts w:hint="eastAsia" w:ascii="仿宋_GB2312" w:eastAsia="仿宋_GB2312"/>
          <w:sz w:val="32"/>
          <w:szCs w:val="32"/>
          <w:highlight w:val="none"/>
          <w:lang w:eastAsia="zh-CN"/>
        </w:rPr>
        <w:t>。</w:t>
      </w: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eastAsia="zh-CN"/>
        </w:rPr>
        <w:t>年初预算数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500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lang w:val="en-US" w:eastAsia="zh-CN"/>
        </w:rPr>
        <w:t>本年度追加</w:t>
      </w:r>
      <w:r>
        <w:rPr>
          <w:rFonts w:hint="eastAsia" w:ascii="仿宋_GB2312" w:hAnsi="仿宋_GB2312" w:eastAsia="仿宋_GB2312" w:cs="仿宋_GB2312"/>
          <w:kern w:val="0"/>
          <w:sz w:val="32"/>
          <w:szCs w:val="32"/>
          <w:highlight w:val="none"/>
          <w:lang w:val="en-US" w:eastAsia="zh-CN"/>
        </w:rPr>
        <w:t>春节前农民工工资500元</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highlight w:val="none"/>
          <w:lang w:eastAsia="zh-CN"/>
        </w:rPr>
      </w:pPr>
      <w:r>
        <w:rPr>
          <w:rFonts w:hint="eastAsia" w:ascii="仿宋_GB2312" w:eastAsia="仿宋_GB2312"/>
          <w:b/>
          <w:bCs/>
          <w:sz w:val="32"/>
          <w:szCs w:val="32"/>
          <w:highlight w:val="none"/>
        </w:rPr>
        <w:t>政府性基金预算财政拨款支出</w:t>
      </w:r>
      <w:r>
        <w:rPr>
          <w:rFonts w:hint="eastAsia" w:ascii="仿宋_GB2312" w:eastAsia="仿宋_GB2312"/>
          <w:b/>
          <w:bCs/>
          <w:sz w:val="32"/>
          <w:szCs w:val="32"/>
          <w:highlight w:val="none"/>
          <w:lang w:val="en-US" w:eastAsia="zh-CN"/>
        </w:rPr>
        <w:t>500</w:t>
      </w:r>
      <w:r>
        <w:rPr>
          <w:rFonts w:hint="eastAsia" w:ascii="仿宋_GB2312" w:eastAsia="仿宋_GB2312"/>
          <w:b/>
          <w:bCs/>
          <w:sz w:val="32"/>
          <w:szCs w:val="32"/>
          <w:highlight w:val="none"/>
        </w:rPr>
        <w:t>万元</w:t>
      </w:r>
      <w:r>
        <w:rPr>
          <w:rFonts w:hint="eastAsia" w:ascii="仿宋_GB2312" w:eastAsia="仿宋_GB2312"/>
          <w:b/>
          <w:bCs/>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kern w:val="0"/>
          <w:sz w:val="32"/>
          <w:szCs w:val="32"/>
          <w:highlight w:val="none"/>
        </w:rPr>
        <w:t>1.</w:t>
      </w:r>
      <w:r>
        <w:rPr>
          <w:rFonts w:hint="eastAsia" w:eastAsia="仿宋_GB2312"/>
          <w:sz w:val="32"/>
          <w:szCs w:val="32"/>
          <w:lang w:val="zh-CN"/>
        </w:rPr>
        <w:t>城乡社区支出（类）国有土地使用权出让收入安排的支出（款）</w:t>
      </w:r>
      <w:r>
        <w:rPr>
          <w:rFonts w:hint="eastAsia" w:eastAsia="仿宋_GB2312"/>
          <w:sz w:val="32"/>
          <w:szCs w:val="32"/>
          <w:lang w:val="en-US" w:eastAsia="zh-CN"/>
        </w:rPr>
        <w:t>农村社会事业</w:t>
      </w:r>
      <w:r>
        <w:rPr>
          <w:rFonts w:hint="eastAsia" w:eastAsia="仿宋_GB2312"/>
          <w:sz w:val="32"/>
          <w:szCs w:val="32"/>
          <w:lang w:val="zh-CN"/>
        </w:rPr>
        <w:t>支出（项）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500</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w:t>
      </w:r>
      <w:r>
        <w:rPr>
          <w:rFonts w:hint="eastAsia" w:ascii="仿宋_GB2312" w:hAnsi="仿宋_GB2312" w:eastAsia="仿宋_GB2312" w:cs="仿宋_GB2312"/>
          <w:kern w:val="0"/>
          <w:sz w:val="32"/>
          <w:szCs w:val="32"/>
          <w:highlight w:val="none"/>
        </w:rPr>
        <w:t>增加</w:t>
      </w:r>
      <w:r>
        <w:rPr>
          <w:rFonts w:hint="eastAsia" w:ascii="仿宋_GB2312" w:hAnsi="仿宋_GB2312" w:eastAsia="仿宋_GB2312" w:cs="仿宋_GB2312"/>
          <w:kern w:val="0"/>
          <w:sz w:val="32"/>
          <w:szCs w:val="32"/>
          <w:highlight w:val="none"/>
          <w:lang w:val="en-US" w:eastAsia="zh-CN"/>
        </w:rPr>
        <w:t>500</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增加春节前农民工工资</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kern w:val="0"/>
          <w:sz w:val="32"/>
          <w:szCs w:val="32"/>
          <w:highlight w:val="none"/>
        </w:rPr>
        <w:t>2.</w:t>
      </w:r>
      <w:r>
        <w:rPr>
          <w:rFonts w:hint="eastAsia" w:eastAsia="仿宋_GB2312"/>
          <w:sz w:val="32"/>
          <w:szCs w:val="32"/>
          <w:lang w:val="zh-CN"/>
        </w:rPr>
        <w:t>城乡社区支出（类）国有土地使用权出让收入安排的支出（款）其他国有土地使用权出让收入安排的支出（项）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余</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决算相比减少500</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下降100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本年度无该科目支出</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5" w:name="_Toc5563"/>
      <w:r>
        <w:rPr>
          <w:rFonts w:hint="eastAsia" w:ascii="黑体" w:hAnsi="黑体" w:eastAsia="黑体" w:cs="宋体"/>
          <w:bCs/>
          <w:kern w:val="0"/>
          <w:sz w:val="32"/>
          <w:szCs w:val="32"/>
          <w:highlight w:val="none"/>
          <w:lang w:val="en-US" w:eastAsia="zh-CN"/>
        </w:rPr>
        <w:t>八</w:t>
      </w:r>
      <w:r>
        <w:rPr>
          <w:rFonts w:hint="eastAsia" w:ascii="黑体" w:hAnsi="黑体" w:eastAsia="黑体" w:cs="宋体"/>
          <w:bCs/>
          <w:kern w:val="0"/>
          <w:sz w:val="32"/>
          <w:szCs w:val="32"/>
          <w:highlight w:val="none"/>
          <w:lang w:eastAsia="zh-CN"/>
        </w:rPr>
        <w:t>、国有资本经营预算财政拨款收入支出决算情况说明</w:t>
      </w:r>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我</w:t>
      </w:r>
      <w:r>
        <w:rPr>
          <w:rFonts w:hint="eastAsia" w:ascii="仿宋_GB2312" w:eastAsia="仿宋_GB2312"/>
          <w:sz w:val="32"/>
          <w:szCs w:val="32"/>
          <w:highlight w:val="none"/>
          <w:lang w:val="en-US" w:eastAsia="zh-CN"/>
        </w:rPr>
        <w:t>部门（</w:t>
      </w:r>
      <w:r>
        <w:rPr>
          <w:rFonts w:hint="eastAsia" w:ascii="仿宋_GB2312" w:eastAsia="仿宋_GB2312"/>
          <w:sz w:val="32"/>
          <w:szCs w:val="32"/>
          <w:highlight w:val="none"/>
          <w:lang w:eastAsia="zh-CN"/>
        </w:rPr>
        <w:t>单位</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lang w:eastAsia="zh-CN"/>
        </w:rPr>
        <w:t>本年度无国有资本经营预算财政拨款收入、支出</w:t>
      </w:r>
      <w:r>
        <w:rPr>
          <w:rFonts w:hint="eastAsia" w:ascii="仿宋_GB2312" w:eastAsia="仿宋_GB2312"/>
          <w:sz w:val="32"/>
          <w:szCs w:val="32"/>
          <w:highlight w:val="none"/>
          <w:lang w:val="en-US" w:eastAsia="zh-CN"/>
        </w:rPr>
        <w:t>及结转和结余</w:t>
      </w:r>
      <w:r>
        <w:rPr>
          <w:rFonts w:hint="eastAsia" w:ascii="仿宋_GB2312" w:eastAsia="仿宋_GB2312"/>
          <w:sz w:val="32"/>
          <w:szCs w:val="32"/>
          <w:highlight w:val="none"/>
          <w:lang w:eastAsia="zh-CN"/>
        </w:rPr>
        <w:t>，国有资本经营</w:t>
      </w:r>
      <w:r>
        <w:rPr>
          <w:rFonts w:hint="eastAsia" w:ascii="仿宋_GB2312" w:eastAsia="仿宋_GB2312"/>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6" w:name="_Toc9161"/>
      <w:bookmarkStart w:id="27" w:name="_Toc7190"/>
      <w:r>
        <w:rPr>
          <w:rFonts w:hint="eastAsia" w:ascii="黑体" w:hAnsi="黑体" w:eastAsia="黑体" w:cs="宋体"/>
          <w:bCs/>
          <w:kern w:val="0"/>
          <w:sz w:val="32"/>
          <w:szCs w:val="32"/>
          <w:highlight w:val="none"/>
          <w:lang w:val="en-US" w:eastAsia="zh-CN"/>
        </w:rPr>
        <w:t>九</w:t>
      </w:r>
      <w:r>
        <w:rPr>
          <w:rFonts w:hint="eastAsia" w:ascii="黑体" w:hAnsi="黑体" w:eastAsia="黑体" w:cs="宋体"/>
          <w:bCs/>
          <w:kern w:val="0"/>
          <w:sz w:val="32"/>
          <w:szCs w:val="32"/>
          <w:highlight w:val="none"/>
          <w:lang w:eastAsia="zh-CN"/>
        </w:rPr>
        <w:t>、财政拨款</w:t>
      </w:r>
      <w:r>
        <w:rPr>
          <w:rFonts w:hint="eastAsia" w:ascii="黑体" w:hAnsi="黑体" w:eastAsia="黑体" w:cs="宋体"/>
          <w:bCs/>
          <w:kern w:val="0"/>
          <w:sz w:val="32"/>
          <w:szCs w:val="32"/>
          <w:highlight w:val="none"/>
        </w:rPr>
        <w:t>“三公”经费支出</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w:t>
      </w:r>
      <w:r>
        <w:rPr>
          <w:rFonts w:hint="eastAsia" w:ascii="黑体" w:hAnsi="黑体" w:eastAsia="黑体" w:cs="宋体"/>
          <w:bCs/>
          <w:kern w:val="0"/>
          <w:sz w:val="32"/>
          <w:szCs w:val="32"/>
          <w:highlight w:val="none"/>
          <w:lang w:eastAsia="zh-CN"/>
        </w:rPr>
        <w:t>说明</w:t>
      </w:r>
      <w:bookmarkEnd w:id="26"/>
      <w:bookmarkEnd w:id="27"/>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lang w:val="en-US" w:eastAsia="zh-CN"/>
        </w:rPr>
        <w:t>财政拨款</w:t>
      </w:r>
      <w:r>
        <w:rPr>
          <w:rFonts w:hint="eastAsia" w:ascii="仿宋_GB2312" w:eastAsia="仿宋_GB2312"/>
          <w:b/>
          <w:bCs/>
          <w:sz w:val="32"/>
          <w:szCs w:val="32"/>
          <w:highlight w:val="none"/>
        </w:rPr>
        <w:t>“三公”经费支出</w:t>
      </w:r>
      <w:r>
        <w:rPr>
          <w:rFonts w:hint="eastAsia" w:ascii="仿宋_GB2312" w:eastAsia="仿宋_GB2312"/>
          <w:b/>
          <w:bCs/>
          <w:sz w:val="32"/>
          <w:szCs w:val="32"/>
          <w:highlight w:val="none"/>
          <w:lang w:val="en-US" w:eastAsia="zh-CN"/>
        </w:rPr>
        <w:t>16.28</w:t>
      </w:r>
      <w:r>
        <w:rPr>
          <w:rFonts w:hint="eastAsia" w:ascii="仿宋_GB2312" w:eastAsia="仿宋_GB2312"/>
          <w:b/>
          <w:bCs/>
          <w:sz w:val="32"/>
          <w:szCs w:val="32"/>
          <w:highlight w:val="none"/>
        </w:rPr>
        <w:t>万元，</w:t>
      </w:r>
      <w:r>
        <w:rPr>
          <w:rFonts w:hint="eastAsia" w:ascii="仿宋_GB2312" w:eastAsia="仿宋_GB2312"/>
          <w:sz w:val="32"/>
          <w:szCs w:val="32"/>
          <w:highlight w:val="none"/>
        </w:rPr>
        <w:t>比上年</w:t>
      </w:r>
      <w:r>
        <w:rPr>
          <w:rFonts w:hint="eastAsia" w:ascii="仿宋_GB2312" w:eastAsia="仿宋_GB2312"/>
          <w:sz w:val="32"/>
          <w:szCs w:val="32"/>
          <w:highlight w:val="none"/>
          <w:lang w:val="en-US" w:eastAsia="zh-CN"/>
        </w:rPr>
        <w:t>增加0.67</w:t>
      </w:r>
      <w:r>
        <w:rPr>
          <w:rFonts w:hint="eastAsia" w:ascii="仿宋_GB2312" w:eastAsia="仿宋_GB2312"/>
          <w:sz w:val="32"/>
          <w:szCs w:val="32"/>
          <w:highlight w:val="none"/>
        </w:rPr>
        <w:t>万元，</w:t>
      </w:r>
      <w:r>
        <w:rPr>
          <w:rFonts w:hint="eastAsia" w:ascii="仿宋_GB2312" w:eastAsia="仿宋_GB2312"/>
          <w:sz w:val="32"/>
          <w:szCs w:val="32"/>
          <w:highlight w:val="none"/>
          <w:lang w:val="en-US" w:eastAsia="zh-CN"/>
        </w:rPr>
        <w:t>增长4.29</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“三公”经费支出主要是车辆运行经费，按照减负要求，本部门下去检查，督导，调研的出车频次减少，导致车辆燃油费的减少。其中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%，比上年</w:t>
      </w:r>
      <w:r>
        <w:rPr>
          <w:rFonts w:hint="eastAsia" w:ascii="仿宋_GB2312" w:eastAsia="仿宋_GB2312"/>
          <w:sz w:val="32"/>
          <w:szCs w:val="32"/>
          <w:highlight w:val="none"/>
          <w:lang w:val="en-US" w:eastAsia="zh-CN"/>
        </w:rPr>
        <w:t>相比无变化</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Times New Roman" w:hAnsi="Times New Roman" w:eastAsia="方正仿宋_GBK" w:cs="Times New Roman"/>
          <w:color w:val="auto"/>
          <w:sz w:val="31"/>
          <w:szCs w:val="31"/>
          <w:highlight w:val="none"/>
          <w:lang w:val="zh-CN" w:eastAsia="zh-CN"/>
        </w:rPr>
        <w:t>本年无因公出国（境）费支出，与上年相比无变动</w:t>
      </w:r>
      <w:r>
        <w:rPr>
          <w:rFonts w:hint="eastAsia" w:ascii="仿宋_GB2312" w:eastAsia="仿宋_GB2312"/>
          <w:sz w:val="32"/>
          <w:szCs w:val="32"/>
          <w:highlight w:val="none"/>
        </w:rPr>
        <w:t>；公务用车购置及运行维护费支出</w:t>
      </w:r>
      <w:r>
        <w:rPr>
          <w:rFonts w:hint="eastAsia" w:ascii="仿宋_GB2312" w:eastAsia="仿宋_GB2312"/>
          <w:sz w:val="32"/>
          <w:szCs w:val="32"/>
          <w:highlight w:val="none"/>
          <w:lang w:val="en-US" w:eastAsia="zh-CN"/>
        </w:rPr>
        <w:t>16.28</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与</w:t>
      </w:r>
      <w:r>
        <w:rPr>
          <w:rFonts w:hint="eastAsia" w:ascii="仿宋_GB2312" w:eastAsia="仿宋_GB2312"/>
          <w:sz w:val="32"/>
          <w:szCs w:val="32"/>
          <w:highlight w:val="none"/>
        </w:rPr>
        <w:t>上年</w:t>
      </w:r>
      <w:r>
        <w:rPr>
          <w:rFonts w:hint="eastAsia" w:ascii="仿宋_GB2312" w:eastAsia="仿宋_GB2312"/>
          <w:sz w:val="32"/>
          <w:szCs w:val="32"/>
          <w:highlight w:val="none"/>
          <w:lang w:val="en-US" w:eastAsia="zh-CN"/>
        </w:rPr>
        <w:t>增加0.67</w:t>
      </w:r>
      <w:r>
        <w:rPr>
          <w:rFonts w:hint="eastAsia" w:ascii="仿宋_GB2312" w:eastAsia="仿宋_GB2312"/>
          <w:sz w:val="32"/>
          <w:szCs w:val="32"/>
          <w:highlight w:val="none"/>
        </w:rPr>
        <w:t>万元，</w:t>
      </w:r>
      <w:r>
        <w:rPr>
          <w:rFonts w:hint="eastAsia" w:ascii="仿宋_GB2312" w:eastAsia="仿宋_GB2312"/>
          <w:sz w:val="32"/>
          <w:szCs w:val="32"/>
          <w:highlight w:val="none"/>
          <w:lang w:val="en-US" w:eastAsia="zh-CN"/>
        </w:rPr>
        <w:t>增长4.29</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“三公”经费支出主要是车辆运行经费，按照减负要求，本部门下去检查，督导，调研的出车频次减少，导致车辆燃油费的减少；公务接待费支出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与</w:t>
      </w:r>
      <w:r>
        <w:rPr>
          <w:rFonts w:hint="eastAsia" w:ascii="仿宋_GB2312" w:eastAsia="仿宋_GB2312"/>
          <w:sz w:val="32"/>
          <w:szCs w:val="32"/>
          <w:highlight w:val="none"/>
        </w:rPr>
        <w:t>上年</w:t>
      </w:r>
      <w:r>
        <w:rPr>
          <w:rFonts w:hint="eastAsia" w:ascii="仿宋_GB2312" w:eastAsia="仿宋_GB2312"/>
          <w:sz w:val="32"/>
          <w:szCs w:val="32"/>
          <w:highlight w:val="none"/>
          <w:lang w:val="en-US" w:eastAsia="zh-CN"/>
        </w:rPr>
        <w:t>相比无变化</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Times New Roman" w:hAnsi="Times New Roman" w:eastAsia="方正仿宋_GBK" w:cs="Times New Roman"/>
          <w:color w:val="auto"/>
          <w:sz w:val="31"/>
          <w:szCs w:val="31"/>
          <w:highlight w:val="none"/>
          <w:lang w:val="zh-CN" w:eastAsia="zh-CN"/>
        </w:rPr>
        <w:t>本年无公务接待费支出，与上年相比无变动。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b/>
          <w:bCs/>
          <w:sz w:val="32"/>
          <w:szCs w:val="32"/>
          <w:highlight w:val="none"/>
        </w:rPr>
      </w:pPr>
      <w:r>
        <w:rPr>
          <w:rFonts w:hint="eastAsia" w:ascii="仿宋_GB2312" w:eastAsia="仿宋_GB2312"/>
          <w:b/>
          <w:bCs/>
          <w:sz w:val="32"/>
          <w:szCs w:val="32"/>
          <w:highlight w:val="none"/>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因公出国（境）费支出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开支内容包括</w:t>
      </w:r>
      <w:r>
        <w:rPr>
          <w:rFonts w:hint="eastAsia" w:ascii="Times New Roman" w:hAnsi="Times New Roman" w:eastAsia="方正仿宋_GBK" w:cs="Times New Roman"/>
          <w:color w:val="auto"/>
          <w:sz w:val="31"/>
          <w:szCs w:val="31"/>
          <w:highlight w:val="none"/>
          <w:lang w:val="zh-CN" w:eastAsia="zh-CN"/>
        </w:rPr>
        <w:t>本年未安排因公出国（境）费支出，无开支内容</w:t>
      </w:r>
      <w:r>
        <w:rPr>
          <w:rFonts w:hint="eastAsia" w:ascii="仿宋_GB2312" w:eastAsia="仿宋_GB2312"/>
          <w:sz w:val="32"/>
          <w:szCs w:val="32"/>
          <w:highlight w:val="none"/>
        </w:rPr>
        <w:t>。单位全年安排的因公出国（境）团组</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个，因公出国（境）</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公务用车购置及运行维护费</w:t>
      </w:r>
      <w:r>
        <w:rPr>
          <w:rFonts w:hint="eastAsia" w:ascii="仿宋_GB2312" w:eastAsia="仿宋_GB2312"/>
          <w:sz w:val="32"/>
          <w:szCs w:val="32"/>
          <w:highlight w:val="none"/>
          <w:lang w:val="en-US" w:eastAsia="zh-CN"/>
        </w:rPr>
        <w:t>16.28</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公务用车购置费</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万元，公务用车运行维护费</w:t>
      </w:r>
      <w:r>
        <w:rPr>
          <w:rFonts w:hint="eastAsia" w:ascii="仿宋_GB2312" w:eastAsia="仿宋_GB2312"/>
          <w:sz w:val="32"/>
          <w:szCs w:val="32"/>
          <w:highlight w:val="none"/>
          <w:lang w:val="en-US" w:eastAsia="zh-CN"/>
        </w:rPr>
        <w:t>16.28</w:t>
      </w:r>
      <w:r>
        <w:rPr>
          <w:rFonts w:hint="eastAsia" w:ascii="仿宋_GB2312" w:eastAsia="仿宋_GB2312"/>
          <w:sz w:val="32"/>
          <w:szCs w:val="32"/>
          <w:highlight w:val="none"/>
        </w:rPr>
        <w:t>万元。公务用车运行维护费开支内容包括</w:t>
      </w:r>
      <w:r>
        <w:rPr>
          <w:rFonts w:hint="eastAsia" w:ascii="Times New Roman" w:hAnsi="Times New Roman" w:eastAsia="方正仿宋_GBK" w:cs="Times New Roman"/>
          <w:color w:val="auto"/>
          <w:sz w:val="31"/>
          <w:szCs w:val="31"/>
          <w:highlight w:val="none"/>
          <w:lang w:val="zh-CN" w:eastAsia="zh-CN"/>
        </w:rPr>
        <w:t>公务用车油料、车辆保险费及车辆维修费</w:t>
      </w:r>
      <w:r>
        <w:rPr>
          <w:rFonts w:hint="eastAsia" w:ascii="仿宋_GB2312" w:eastAsia="仿宋_GB2312"/>
          <w:sz w:val="32"/>
          <w:szCs w:val="32"/>
          <w:highlight w:val="none"/>
        </w:rPr>
        <w:t>。公务用车购置数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辆，公务用车保有量</w:t>
      </w:r>
      <w:r>
        <w:rPr>
          <w:rFonts w:hint="eastAsia" w:ascii="仿宋_GB2312" w:eastAsia="仿宋_GB2312"/>
          <w:sz w:val="32"/>
          <w:szCs w:val="32"/>
          <w:highlight w:val="none"/>
          <w:lang w:val="en-US" w:eastAsia="zh-CN"/>
        </w:rPr>
        <w:t>14</w:t>
      </w:r>
      <w:r>
        <w:rPr>
          <w:rFonts w:hint="eastAsia" w:ascii="仿宋_GB2312" w:eastAsia="仿宋_GB2312"/>
          <w:sz w:val="32"/>
          <w:szCs w:val="32"/>
          <w:highlight w:val="none"/>
        </w:rPr>
        <w:t>辆。国有资产占用情况</w:t>
      </w:r>
      <w:r>
        <w:rPr>
          <w:rFonts w:hint="eastAsia" w:ascii="仿宋_GB2312" w:eastAsia="仿宋_GB2312"/>
          <w:sz w:val="32"/>
          <w:szCs w:val="32"/>
          <w:highlight w:val="none"/>
          <w:lang w:val="en-US" w:eastAsia="zh-CN"/>
        </w:rPr>
        <w:t>中固定资产车辆14</w:t>
      </w:r>
      <w:r>
        <w:rPr>
          <w:rFonts w:hint="eastAsia" w:ascii="仿宋_GB2312" w:eastAsia="仿宋_GB2312"/>
          <w:sz w:val="32"/>
          <w:szCs w:val="32"/>
          <w:highlight w:val="none"/>
        </w:rPr>
        <w:t>辆</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与</w:t>
      </w:r>
      <w:r>
        <w:rPr>
          <w:rFonts w:hint="eastAsia" w:ascii="仿宋_GB2312" w:eastAsia="仿宋_GB2312"/>
          <w:sz w:val="32"/>
          <w:szCs w:val="32"/>
          <w:highlight w:val="none"/>
        </w:rPr>
        <w:t>公务用车</w:t>
      </w:r>
      <w:r>
        <w:rPr>
          <w:rFonts w:hint="eastAsia" w:ascii="仿宋_GB2312" w:eastAsia="仿宋_GB2312"/>
          <w:sz w:val="32"/>
          <w:szCs w:val="32"/>
          <w:highlight w:val="none"/>
          <w:lang w:val="en-US" w:eastAsia="zh-CN"/>
        </w:rPr>
        <w:t>保有量差异</w:t>
      </w:r>
      <w:r>
        <w:rPr>
          <w:rFonts w:hint="eastAsia" w:ascii="仿宋_GB2312" w:eastAsia="仿宋_GB2312"/>
          <w:sz w:val="32"/>
          <w:szCs w:val="32"/>
          <w:highlight w:val="none"/>
          <w:lang w:eastAsia="zh-CN"/>
        </w:rPr>
        <w:t>原因是</w:t>
      </w:r>
      <w:r>
        <w:rPr>
          <w:rFonts w:hint="eastAsia" w:ascii="仿宋_GB2312" w:eastAsia="仿宋_GB2312"/>
          <w:sz w:val="32"/>
          <w:szCs w:val="32"/>
          <w:highlight w:val="none"/>
        </w:rPr>
        <w:t>：</w:t>
      </w:r>
      <w:r>
        <w:rPr>
          <w:rFonts w:hint="eastAsia" w:ascii="Times New Roman" w:hAnsi="Times New Roman" w:eastAsia="方正仿宋_GBK" w:cs="Times New Roman"/>
          <w:color w:val="auto"/>
          <w:sz w:val="31"/>
          <w:szCs w:val="31"/>
          <w:highlight w:val="none"/>
          <w:lang w:val="zh-CN" w:eastAsia="zh-CN"/>
        </w:rPr>
        <w:t>我单位公务用车保有量无差异</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公务接待费</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万元，开支内容包括</w:t>
      </w:r>
      <w:r>
        <w:rPr>
          <w:rFonts w:hint="eastAsia" w:ascii="Times New Roman" w:hAnsi="Times New Roman" w:eastAsia="方正仿宋_GBK" w:cs="Times New Roman"/>
          <w:color w:val="auto"/>
          <w:sz w:val="31"/>
          <w:szCs w:val="31"/>
          <w:highlight w:val="none"/>
          <w:lang w:val="zh-CN" w:eastAsia="zh-CN"/>
        </w:rPr>
        <w:t>本年未安排公务接待费支出，无开支内容</w:t>
      </w:r>
      <w:r>
        <w:rPr>
          <w:rFonts w:hint="eastAsia" w:ascii="仿宋_GB2312" w:eastAsia="仿宋_GB2312"/>
          <w:sz w:val="32"/>
          <w:szCs w:val="32"/>
          <w:highlight w:val="none"/>
        </w:rPr>
        <w:t>。单位全年安排的国内公务接待</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批次，</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人次。</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rPr>
        <w:t>与</w:t>
      </w:r>
      <w:r>
        <w:rPr>
          <w:rFonts w:hint="eastAsia" w:ascii="仿宋_GB2312" w:eastAsia="仿宋_GB2312"/>
          <w:b/>
          <w:bCs/>
          <w:sz w:val="32"/>
          <w:szCs w:val="32"/>
          <w:highlight w:val="none"/>
          <w:lang w:val="en-US" w:eastAsia="zh-CN"/>
        </w:rPr>
        <w:t>全年</w:t>
      </w:r>
      <w:r>
        <w:rPr>
          <w:rFonts w:hint="eastAsia" w:ascii="仿宋_GB2312" w:eastAsia="仿宋_GB2312"/>
          <w:b/>
          <w:bCs/>
          <w:sz w:val="32"/>
          <w:szCs w:val="32"/>
          <w:highlight w:val="none"/>
          <w:lang w:eastAsia="zh-CN"/>
        </w:rPr>
        <w:t>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hint="eastAsia" w:ascii="仿宋_GB2312" w:eastAsia="仿宋_GB2312"/>
          <w:b w:val="0"/>
          <w:bCs w:val="0"/>
          <w:sz w:val="32"/>
          <w:szCs w:val="32"/>
          <w:highlight w:val="none"/>
          <w:lang w:eastAsia="zh-CN"/>
        </w:rPr>
        <w:t>财政拨款</w:t>
      </w:r>
      <w:r>
        <w:rPr>
          <w:rFonts w:hint="eastAsia" w:ascii="仿宋_GB2312" w:eastAsia="仿宋_GB2312"/>
          <w:b w:val="0"/>
          <w:bCs w:val="0"/>
          <w:sz w:val="32"/>
          <w:szCs w:val="32"/>
          <w:highlight w:val="none"/>
        </w:rPr>
        <w:t>“</w:t>
      </w:r>
      <w:r>
        <w:rPr>
          <w:rFonts w:hint="eastAsia" w:ascii="仿宋_GB2312" w:eastAsia="仿宋_GB2312"/>
          <w:sz w:val="32"/>
          <w:szCs w:val="32"/>
          <w:highlight w:val="none"/>
        </w:rPr>
        <w:t>三公”经费支出</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eastAsia="zh-CN"/>
        </w:rPr>
        <w:t>预算数</w:t>
      </w:r>
      <w:r>
        <w:rPr>
          <w:rFonts w:hint="eastAsia" w:ascii="仿宋_GB2312" w:eastAsia="仿宋_GB2312"/>
          <w:sz w:val="32"/>
          <w:szCs w:val="32"/>
          <w:highlight w:val="none"/>
          <w:lang w:val="en-US" w:eastAsia="zh-CN"/>
        </w:rPr>
        <w:t>16.28</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16.28</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Times New Roman" w:hAnsi="Times New Roman" w:eastAsia="方正仿宋_GBK" w:cs="Times New Roman"/>
          <w:color w:val="auto"/>
          <w:sz w:val="31"/>
          <w:szCs w:val="31"/>
          <w:highlight w:val="none"/>
          <w:lang w:val="zh-CN" w:eastAsia="zh-CN"/>
        </w:rPr>
        <w:t>严格控制“三公”经费，厉行节约，与全年预算数一致无变化</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其中：因公出国（境）费</w:t>
      </w:r>
      <w:r>
        <w:rPr>
          <w:rFonts w:hint="eastAsia" w:ascii="仿宋_GB2312" w:hAnsi="宋体" w:eastAsia="仿宋_GB2312" w:cs="宋体"/>
          <w:kern w:val="0"/>
          <w:sz w:val="32"/>
          <w:szCs w:val="32"/>
          <w:highlight w:val="none"/>
          <w:lang w:val="en-US" w:eastAsia="zh-CN"/>
        </w:rPr>
        <w:t>全年预算数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Times New Roman" w:hAnsi="Times New Roman" w:eastAsia="方正仿宋_GBK" w:cs="Times New Roman"/>
          <w:color w:val="auto"/>
          <w:sz w:val="31"/>
          <w:szCs w:val="31"/>
          <w:highlight w:val="none"/>
          <w:lang w:val="zh-CN" w:eastAsia="zh-CN"/>
        </w:rPr>
        <w:t>本年未安排因公出国（境）费支出，无开支内容，与全年预算数一致无变化</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公务用车购置</w:t>
      </w:r>
      <w:r>
        <w:rPr>
          <w:rFonts w:hint="eastAsia" w:ascii="仿宋_GB2312" w:eastAsia="仿宋_GB2312"/>
          <w:sz w:val="32"/>
          <w:szCs w:val="32"/>
          <w:highlight w:val="none"/>
        </w:rPr>
        <w:t>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rPr>
        <w:t>预算数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Times New Roman" w:hAnsi="Times New Roman" w:eastAsia="方正仿宋_GBK" w:cs="Times New Roman"/>
          <w:color w:val="auto"/>
          <w:sz w:val="31"/>
          <w:szCs w:val="31"/>
          <w:highlight w:val="none"/>
          <w:lang w:val="zh-CN" w:eastAsia="zh-CN"/>
        </w:rPr>
        <w:t>本年无公务用车购置支出，与全年预算数相比无变动</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公务用车运行费</w:t>
      </w:r>
      <w:r>
        <w:rPr>
          <w:rFonts w:hint="eastAsia" w:ascii="仿宋_GB2312" w:hAnsi="宋体" w:eastAsia="仿宋_GB2312" w:cs="宋体"/>
          <w:kern w:val="0"/>
          <w:sz w:val="32"/>
          <w:szCs w:val="32"/>
          <w:highlight w:val="none"/>
          <w:lang w:val="en-US" w:eastAsia="zh-CN"/>
        </w:rPr>
        <w:t>全年</w:t>
      </w:r>
      <w:r>
        <w:rPr>
          <w:rFonts w:hint="eastAsia" w:ascii="仿宋_GB2312" w:eastAsia="仿宋_GB2312"/>
          <w:sz w:val="32"/>
          <w:szCs w:val="32"/>
          <w:highlight w:val="none"/>
        </w:rPr>
        <w:t>预算数</w:t>
      </w:r>
      <w:r>
        <w:rPr>
          <w:rFonts w:hint="eastAsia" w:ascii="仿宋_GB2312" w:eastAsia="仿宋_GB2312"/>
          <w:sz w:val="32"/>
          <w:szCs w:val="32"/>
          <w:highlight w:val="none"/>
          <w:lang w:val="en-US" w:eastAsia="zh-CN"/>
        </w:rPr>
        <w:t>16.28</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16.28</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Times New Roman" w:hAnsi="Times New Roman" w:eastAsia="方正仿宋_GBK" w:cs="Times New Roman"/>
          <w:color w:val="auto"/>
          <w:sz w:val="31"/>
          <w:szCs w:val="31"/>
          <w:highlight w:val="none"/>
          <w:lang w:val="zh-CN" w:eastAsia="zh-CN"/>
        </w:rPr>
        <w:t>严格控制“三公”经费，厉行节约，与全年预算数一致无变化</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公务接待费</w:t>
      </w:r>
      <w:r>
        <w:rPr>
          <w:rFonts w:hint="eastAsia" w:ascii="仿宋_GB2312" w:hAnsi="宋体" w:eastAsia="仿宋_GB2312" w:cs="宋体"/>
          <w:kern w:val="0"/>
          <w:sz w:val="32"/>
          <w:szCs w:val="32"/>
          <w:highlight w:val="none"/>
          <w:lang w:val="en-US" w:eastAsia="zh-CN"/>
        </w:rPr>
        <w:t>全年</w:t>
      </w:r>
      <w:r>
        <w:rPr>
          <w:rFonts w:hint="eastAsia" w:ascii="仿宋_GB2312" w:eastAsia="仿宋_GB2312"/>
          <w:sz w:val="32"/>
          <w:szCs w:val="32"/>
          <w:highlight w:val="none"/>
        </w:rPr>
        <w:t>预算数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Times New Roman" w:hAnsi="Times New Roman" w:eastAsia="方正仿宋_GBK" w:cs="Times New Roman"/>
          <w:color w:val="auto"/>
          <w:sz w:val="31"/>
          <w:szCs w:val="31"/>
          <w:highlight w:val="none"/>
          <w:lang w:val="zh-CN" w:eastAsia="zh-CN"/>
        </w:rPr>
        <w:t>本年未安排公务接待费支出，无开支内容，与全年预算数一致无变化。</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8" w:name="_Toc7314"/>
      <w:bookmarkStart w:id="29" w:name="_Toc16395"/>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rPr>
        <w:t>、其他重要事项的情况</w:t>
      </w:r>
      <w:r>
        <w:rPr>
          <w:rFonts w:hint="eastAsia" w:ascii="黑体" w:hAnsi="黑体" w:eastAsia="黑体" w:cs="宋体"/>
          <w:bCs/>
          <w:kern w:val="0"/>
          <w:sz w:val="32"/>
          <w:szCs w:val="32"/>
          <w:highlight w:val="none"/>
          <w:lang w:eastAsia="zh-CN"/>
        </w:rPr>
        <w:t>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rPr>
      </w:pPr>
      <w:bookmarkStart w:id="30" w:name="_Toc21748"/>
      <w:bookmarkStart w:id="31" w:name="_Toc13105"/>
      <w:r>
        <w:rPr>
          <w:rFonts w:hint="eastAsia" w:ascii="黑体" w:hAnsi="黑体" w:eastAsia="黑体"/>
          <w:sz w:val="32"/>
          <w:szCs w:val="32"/>
          <w:highlight w:val="none"/>
          <w:lang w:eastAsia="zh-CN"/>
        </w:rPr>
        <w:t>（一）</w:t>
      </w:r>
      <w:r>
        <w:rPr>
          <w:rFonts w:hint="eastAsia" w:ascii="黑体" w:hAnsi="黑体" w:eastAsia="黑体"/>
          <w:sz w:val="32"/>
          <w:szCs w:val="32"/>
          <w:highlight w:val="none"/>
        </w:rPr>
        <w:t>机关运行经费</w:t>
      </w:r>
      <w:r>
        <w:rPr>
          <w:rFonts w:hint="eastAsia" w:ascii="黑体" w:hAnsi="黑体" w:eastAsia="黑体"/>
          <w:sz w:val="32"/>
          <w:szCs w:val="32"/>
          <w:highlight w:val="none"/>
          <w:lang w:val="en-US" w:eastAsia="zh-CN"/>
        </w:rPr>
        <w:t>及公用经费</w:t>
      </w:r>
      <w:r>
        <w:rPr>
          <w:rFonts w:hint="eastAsia" w:ascii="黑体" w:hAnsi="黑体" w:eastAsia="黑体"/>
          <w:sz w:val="32"/>
          <w:szCs w:val="32"/>
          <w:highlight w:val="none"/>
        </w:rPr>
        <w:t>支出情况</w:t>
      </w:r>
      <w:bookmarkEnd w:id="30"/>
      <w:bookmarkEnd w:id="3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lang w:val="en-US" w:eastAsia="zh-CN"/>
        </w:rPr>
        <w:t>中共库尔勒市委员会政法委员会</w:t>
      </w:r>
      <w:r>
        <w:rPr>
          <w:rFonts w:hint="eastAsia" w:ascii="仿宋_GB2312" w:eastAsia="仿宋_GB2312"/>
          <w:sz w:val="32"/>
          <w:szCs w:val="32"/>
          <w:highlight w:val="none"/>
        </w:rPr>
        <w:t>（行政单位和参照公务员法管理事业单位）</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机关运行经费支出</w:t>
      </w:r>
      <w:r>
        <w:rPr>
          <w:rFonts w:hint="eastAsia" w:ascii="仿宋_GB2312" w:eastAsia="仿宋_GB2312"/>
          <w:sz w:val="32"/>
          <w:szCs w:val="32"/>
          <w:highlight w:val="none"/>
          <w:lang w:val="en-US" w:eastAsia="zh-CN"/>
        </w:rPr>
        <w:t>216.24</w:t>
      </w:r>
      <w:r>
        <w:rPr>
          <w:rFonts w:hint="eastAsia" w:ascii="仿宋_GB2312" w:eastAsia="仿宋_GB2312"/>
          <w:sz w:val="32"/>
          <w:szCs w:val="32"/>
          <w:highlight w:val="none"/>
        </w:rPr>
        <w:t>万元，比上年减少</w:t>
      </w:r>
      <w:r>
        <w:rPr>
          <w:rFonts w:hint="eastAsia" w:ascii="仿宋_GB2312" w:eastAsia="仿宋_GB2312"/>
          <w:sz w:val="32"/>
          <w:szCs w:val="32"/>
          <w:highlight w:val="none"/>
          <w:lang w:val="en-US" w:eastAsia="zh-CN"/>
        </w:rPr>
        <w:t>67.39</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23.76</w:t>
      </w:r>
      <w:r>
        <w:rPr>
          <w:rFonts w:hint="eastAsia" w:ascii="仿宋_GB2312" w:eastAsia="仿宋_GB2312"/>
          <w:sz w:val="32"/>
          <w:szCs w:val="32"/>
          <w:highlight w:val="none"/>
        </w:rPr>
        <w:t>%，主要原因是</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由于矛调中心建设经费及国家安全主题宣教馆建设经费本年度都未进行支出安排，导致本年度机关运行经费较往年减少。</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pacing w:val="0"/>
          <w:sz w:val="32"/>
          <w:szCs w:val="32"/>
          <w:highlight w:val="none"/>
          <w:lang w:eastAsia="zh-CN"/>
        </w:rPr>
      </w:pPr>
      <w:r>
        <w:rPr>
          <w:rFonts w:hint="eastAsia" w:ascii="仿宋_GB2312" w:hAnsi="Times New Roman" w:eastAsia="仿宋_GB2312" w:cs="Times New Roman"/>
          <w:bCs w:val="0"/>
          <w:spacing w:val="0"/>
          <w:kern w:val="2"/>
          <w:sz w:val="32"/>
          <w:szCs w:val="32"/>
          <w:highlight w:val="none"/>
          <w:lang w:val="en-US" w:eastAsia="zh-CN" w:bidi="ar-SA"/>
        </w:rPr>
        <w:t>2024年度公用经费支出26.35万元，比上年增加14.85万元，增长129.13%，主要原因：</w:t>
      </w:r>
      <w:r>
        <w:rPr>
          <w:rFonts w:hint="eastAsia" w:ascii="仿宋_GB2312" w:eastAsia="仿宋_GB2312"/>
          <w:spacing w:val="0"/>
          <w:sz w:val="32"/>
          <w:szCs w:val="32"/>
          <w:highlight w:val="none"/>
          <w:lang w:eastAsia="zh-CN"/>
        </w:rPr>
        <w:t>1、</w:t>
      </w:r>
      <w:r>
        <w:rPr>
          <w:rFonts w:hint="eastAsia" w:ascii="仿宋_GB2312" w:eastAsia="仿宋_GB2312"/>
          <w:sz w:val="32"/>
          <w:szCs w:val="32"/>
          <w:highlight w:val="none"/>
          <w:lang w:eastAsia="zh-CN"/>
        </w:rPr>
        <w:t>调研，督导，检查派车次数增加，导致车辆运行费增加；2、受车辆老化影响，导致车辆</w:t>
      </w:r>
      <w:r>
        <w:rPr>
          <w:rFonts w:hint="eastAsia" w:ascii="仿宋_GB2312" w:eastAsia="仿宋_GB2312"/>
          <w:spacing w:val="0"/>
          <w:sz w:val="32"/>
          <w:szCs w:val="32"/>
          <w:highlight w:val="none"/>
          <w:lang w:eastAsia="zh-CN"/>
        </w:rPr>
        <w:t>运行费增加。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32" w:name="_Toc26704"/>
      <w:bookmarkStart w:id="33" w:name="_Toc25177"/>
      <w:r>
        <w:rPr>
          <w:rFonts w:hint="eastAsia" w:ascii="黑体" w:hAnsi="黑体" w:eastAsia="黑体"/>
          <w:sz w:val="32"/>
          <w:szCs w:val="32"/>
          <w:highlight w:val="none"/>
          <w:lang w:eastAsia="zh-CN"/>
        </w:rPr>
        <w:t>（二）政府采购情况</w:t>
      </w:r>
      <w:bookmarkEnd w:id="32"/>
      <w:bookmarkEnd w:id="33"/>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rPr>
        <w:t>政府采购支出总额</w:t>
      </w:r>
      <w:r>
        <w:rPr>
          <w:rFonts w:hint="eastAsia" w:ascii="仿宋_GB2312" w:eastAsia="仿宋_GB2312"/>
          <w:sz w:val="32"/>
          <w:szCs w:val="32"/>
          <w:highlight w:val="none"/>
          <w:lang w:val="en-US" w:eastAsia="zh-CN"/>
        </w:rPr>
        <w:t>18.29</w:t>
      </w:r>
      <w:r>
        <w:rPr>
          <w:rFonts w:hint="eastAsia" w:ascii="仿宋_GB2312" w:eastAsia="仿宋_GB2312"/>
          <w:sz w:val="32"/>
          <w:szCs w:val="32"/>
          <w:highlight w:val="none"/>
        </w:rPr>
        <w:t>万元，其中：政府采购货物支出</w:t>
      </w:r>
      <w:r>
        <w:rPr>
          <w:rFonts w:hint="eastAsia" w:ascii="仿宋_GB2312" w:eastAsia="仿宋_GB2312"/>
          <w:sz w:val="32"/>
          <w:szCs w:val="32"/>
          <w:highlight w:val="none"/>
          <w:lang w:val="en-US" w:eastAsia="zh-CN"/>
        </w:rPr>
        <w:t>6.03</w:t>
      </w:r>
      <w:r>
        <w:rPr>
          <w:rFonts w:hint="eastAsia" w:ascii="仿宋_GB2312" w:eastAsia="仿宋_GB2312"/>
          <w:sz w:val="32"/>
          <w:szCs w:val="32"/>
          <w:highlight w:val="none"/>
        </w:rPr>
        <w:t>万元、政府采购工程支出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万元、政府采购服务支出</w:t>
      </w:r>
      <w:r>
        <w:rPr>
          <w:rFonts w:hint="eastAsia" w:ascii="仿宋_GB2312" w:eastAsia="仿宋_GB2312"/>
          <w:sz w:val="32"/>
          <w:szCs w:val="32"/>
          <w:highlight w:val="none"/>
          <w:lang w:val="en-US" w:eastAsia="zh-CN"/>
        </w:rPr>
        <w:t>12.26</w:t>
      </w:r>
      <w:r>
        <w:rPr>
          <w:rFonts w:hint="eastAsia" w:ascii="仿宋_GB2312" w:eastAsia="仿宋_GB2312"/>
          <w:sz w:val="32"/>
          <w:szCs w:val="32"/>
          <w:highlight w:val="none"/>
        </w:rPr>
        <w:t>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授予中小企业合同金额</w:t>
      </w:r>
      <w:r>
        <w:rPr>
          <w:rFonts w:hint="eastAsia" w:ascii="仿宋_GB2312" w:eastAsia="仿宋_GB2312"/>
          <w:sz w:val="32"/>
          <w:szCs w:val="32"/>
          <w:highlight w:val="none"/>
          <w:lang w:val="en-US" w:eastAsia="zh-CN"/>
        </w:rPr>
        <w:t>17.29</w:t>
      </w:r>
      <w:r>
        <w:rPr>
          <w:rFonts w:hint="eastAsia" w:ascii="仿宋_GB2312" w:eastAsia="仿宋_GB2312"/>
          <w:sz w:val="32"/>
          <w:szCs w:val="32"/>
          <w:highlight w:val="none"/>
        </w:rPr>
        <w:t>万元，占政府采购支出总额的</w:t>
      </w:r>
      <w:r>
        <w:rPr>
          <w:rFonts w:hint="eastAsia" w:ascii="仿宋_GB2312" w:eastAsia="仿宋_GB2312"/>
          <w:sz w:val="32"/>
          <w:szCs w:val="32"/>
          <w:highlight w:val="none"/>
          <w:lang w:val="en-US" w:eastAsia="zh-CN"/>
        </w:rPr>
        <w:t>94.53%</w:t>
      </w:r>
      <w:r>
        <w:rPr>
          <w:rFonts w:hint="eastAsia" w:ascii="仿宋_GB2312" w:eastAsia="仿宋_GB2312"/>
          <w:sz w:val="32"/>
          <w:szCs w:val="32"/>
          <w:highlight w:val="none"/>
        </w:rPr>
        <w:t>，其中：授予小微企业合同金额</w:t>
      </w:r>
      <w:r>
        <w:rPr>
          <w:rFonts w:hint="eastAsia" w:ascii="仿宋_GB2312" w:eastAsia="仿宋_GB2312"/>
          <w:sz w:val="32"/>
          <w:szCs w:val="32"/>
          <w:highlight w:val="none"/>
          <w:lang w:val="en-US" w:eastAsia="zh-CN"/>
        </w:rPr>
        <w:t>12.05</w:t>
      </w:r>
      <w:r>
        <w:rPr>
          <w:rFonts w:hint="eastAsia" w:ascii="仿宋_GB2312" w:eastAsia="仿宋_GB2312"/>
          <w:sz w:val="32"/>
          <w:szCs w:val="32"/>
          <w:highlight w:val="none"/>
        </w:rPr>
        <w:t>万元，占政府采购支出总额的</w:t>
      </w:r>
      <w:r>
        <w:rPr>
          <w:rFonts w:hint="eastAsia" w:ascii="仿宋_GB2312" w:eastAsia="仿宋_GB2312"/>
          <w:sz w:val="32"/>
          <w:szCs w:val="32"/>
          <w:highlight w:val="none"/>
          <w:lang w:val="en-US" w:eastAsia="zh-CN"/>
        </w:rPr>
        <w:t>65.88%。</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34" w:name="_Toc4591"/>
      <w:bookmarkStart w:id="35" w:name="_Toc31294"/>
      <w:r>
        <w:rPr>
          <w:rFonts w:hint="eastAsia" w:ascii="黑体" w:hAnsi="黑体" w:eastAsia="黑体"/>
          <w:sz w:val="32"/>
          <w:szCs w:val="32"/>
          <w:highlight w:val="none"/>
          <w:lang w:eastAsia="zh-CN"/>
        </w:rPr>
        <w:t>（三）国有资产占用情况说明</w:t>
      </w:r>
      <w:bookmarkEnd w:id="34"/>
      <w:bookmarkEnd w:id="35"/>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截至</w:t>
      </w:r>
      <w:r>
        <w:rPr>
          <w:rFonts w:hint="eastAsia" w:ascii="仿宋_GB2312" w:eastAsia="仿宋_GB2312"/>
          <w:spacing w:val="0"/>
          <w:sz w:val="32"/>
          <w:szCs w:val="32"/>
          <w:highlight w:val="none"/>
          <w:lang w:val="en-US" w:eastAsia="zh-CN"/>
        </w:rPr>
        <w:t>2024</w:t>
      </w:r>
      <w:r>
        <w:rPr>
          <w:rFonts w:hint="eastAsia" w:ascii="仿宋_GB2312" w:eastAsia="仿宋_GB2312"/>
          <w:spacing w:val="0"/>
          <w:sz w:val="32"/>
          <w:szCs w:val="32"/>
          <w:highlight w:val="none"/>
          <w:lang w:eastAsia="zh-CN"/>
        </w:rPr>
        <w:t>年</w:t>
      </w:r>
      <w:r>
        <w:rPr>
          <w:rFonts w:hint="eastAsia" w:ascii="仿宋_GB2312" w:eastAsia="仿宋_GB2312"/>
          <w:spacing w:val="0"/>
          <w:sz w:val="32"/>
          <w:szCs w:val="32"/>
          <w:highlight w:val="none"/>
          <w:lang w:val="en-US" w:eastAsia="zh-CN"/>
        </w:rPr>
        <w:t>12月31日</w:t>
      </w:r>
      <w:r>
        <w:rPr>
          <w:rFonts w:hint="eastAsia" w:ascii="仿宋_GB2312" w:eastAsia="仿宋_GB2312"/>
          <w:spacing w:val="0"/>
          <w:sz w:val="32"/>
          <w:szCs w:val="32"/>
          <w:highlight w:val="none"/>
          <w:lang w:eastAsia="zh-CN"/>
        </w:rPr>
        <w:t>，</w:t>
      </w:r>
      <w:r>
        <w:rPr>
          <w:rFonts w:hint="eastAsia" w:ascii="仿宋_GB2312" w:eastAsia="仿宋_GB2312"/>
          <w:sz w:val="32"/>
          <w:szCs w:val="32"/>
          <w:highlight w:val="none"/>
          <w:lang w:val="en-US" w:eastAsia="zh-CN"/>
        </w:rPr>
        <w:t>房</w:t>
      </w:r>
      <w:r>
        <w:rPr>
          <w:rFonts w:hint="eastAsia" w:ascii="仿宋_GB2312" w:eastAsia="仿宋_GB2312"/>
          <w:sz w:val="32"/>
          <w:szCs w:val="32"/>
          <w:highlight w:val="none"/>
        </w:rPr>
        <w:t>屋</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平方米</w:t>
      </w:r>
      <w:r>
        <w:rPr>
          <w:rFonts w:hint="eastAsia" w:ascii="仿宋_GB2312" w:eastAsia="仿宋_GB2312"/>
          <w:sz w:val="32"/>
          <w:szCs w:val="32"/>
          <w:highlight w:val="none"/>
          <w:lang w:eastAsia="zh-CN"/>
        </w:rPr>
        <w:t>，价值</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车辆</w:t>
      </w:r>
      <w:r>
        <w:rPr>
          <w:rFonts w:hint="eastAsia" w:ascii="仿宋_GB2312" w:eastAsia="仿宋_GB2312"/>
          <w:sz w:val="32"/>
          <w:szCs w:val="32"/>
          <w:highlight w:val="none"/>
          <w:lang w:val="en-US" w:eastAsia="zh-CN"/>
        </w:rPr>
        <w:t>14</w:t>
      </w:r>
      <w:r>
        <w:rPr>
          <w:rFonts w:hint="eastAsia" w:ascii="仿宋_GB2312" w:eastAsia="仿宋_GB2312"/>
          <w:sz w:val="32"/>
          <w:szCs w:val="32"/>
          <w:highlight w:val="none"/>
        </w:rPr>
        <w:t>辆，价值</w:t>
      </w:r>
      <w:r>
        <w:rPr>
          <w:rFonts w:hint="eastAsia" w:ascii="仿宋_GB2312" w:eastAsia="仿宋_GB2312"/>
          <w:sz w:val="32"/>
          <w:szCs w:val="32"/>
          <w:highlight w:val="none"/>
          <w:lang w:val="en-US" w:eastAsia="zh-CN"/>
        </w:rPr>
        <w:t>166.23</w:t>
      </w:r>
      <w:r>
        <w:rPr>
          <w:rFonts w:hint="eastAsia" w:ascii="仿宋_GB2312" w:eastAsia="仿宋_GB2312"/>
          <w:sz w:val="32"/>
          <w:szCs w:val="32"/>
          <w:highlight w:val="none"/>
        </w:rPr>
        <w:t>万元，其中：副部（省）级及以上领导用车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辆、主要</w:t>
      </w:r>
      <w:r>
        <w:rPr>
          <w:rFonts w:hint="eastAsia" w:ascii="仿宋_GB2312" w:eastAsia="仿宋_GB2312"/>
          <w:sz w:val="32"/>
          <w:szCs w:val="32"/>
          <w:highlight w:val="none"/>
          <w:lang w:val="en-US" w:eastAsia="zh-CN"/>
        </w:rPr>
        <w:t>负责人</w:t>
      </w:r>
      <w:r>
        <w:rPr>
          <w:rFonts w:hint="eastAsia" w:ascii="仿宋_GB2312" w:eastAsia="仿宋_GB2312"/>
          <w:sz w:val="32"/>
          <w:szCs w:val="32"/>
          <w:highlight w:val="none"/>
        </w:rPr>
        <w:t>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辆、机要通信用车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辆、应急保障用车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辆、执法执勤用车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辆、特种专业技术用车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辆、离退休干部</w:t>
      </w:r>
      <w:r>
        <w:rPr>
          <w:rFonts w:hint="eastAsia" w:ascii="仿宋_GB2312" w:eastAsia="仿宋_GB2312"/>
          <w:sz w:val="32"/>
          <w:szCs w:val="32"/>
          <w:highlight w:val="none"/>
          <w:lang w:val="en-US" w:eastAsia="zh-CN"/>
        </w:rPr>
        <w:t>服务</w:t>
      </w:r>
      <w:r>
        <w:rPr>
          <w:rFonts w:hint="eastAsia" w:ascii="仿宋_GB2312" w:eastAsia="仿宋_GB2312"/>
          <w:sz w:val="32"/>
          <w:szCs w:val="32"/>
          <w:highlight w:val="none"/>
        </w:rPr>
        <w:t>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辆、其他用车</w:t>
      </w:r>
      <w:r>
        <w:rPr>
          <w:rFonts w:hint="eastAsia" w:ascii="仿宋_GB2312" w:eastAsia="仿宋_GB2312"/>
          <w:sz w:val="32"/>
          <w:szCs w:val="32"/>
          <w:highlight w:val="none"/>
          <w:lang w:val="en-US" w:eastAsia="zh-CN"/>
        </w:rPr>
        <w:t>14</w:t>
      </w:r>
      <w:r>
        <w:rPr>
          <w:rFonts w:hint="eastAsia" w:ascii="仿宋_GB2312" w:eastAsia="仿宋_GB2312"/>
          <w:sz w:val="32"/>
          <w:szCs w:val="32"/>
          <w:highlight w:val="none"/>
        </w:rPr>
        <w:t>辆，其他用车主要是：</w:t>
      </w:r>
      <w:r>
        <w:rPr>
          <w:rFonts w:hint="eastAsia" w:ascii="Times New Roman" w:hAnsi="Times New Roman" w:eastAsia="方正仿宋_GBK" w:cs="Times New Roman"/>
          <w:color w:val="auto"/>
          <w:sz w:val="31"/>
          <w:szCs w:val="31"/>
          <w:highlight w:val="none"/>
          <w:lang w:val="en-US" w:eastAsia="zh-CN"/>
        </w:rPr>
        <w:t>小轿车</w:t>
      </w:r>
      <w:r>
        <w:rPr>
          <w:rFonts w:hint="eastAsia" w:eastAsia="方正仿宋_GBK" w:cs="Times New Roman"/>
          <w:color w:val="auto"/>
          <w:sz w:val="31"/>
          <w:szCs w:val="31"/>
          <w:highlight w:val="none"/>
          <w:lang w:val="en-US" w:eastAsia="zh-CN"/>
        </w:rPr>
        <w:t>8</w:t>
      </w:r>
      <w:r>
        <w:rPr>
          <w:rFonts w:hint="eastAsia" w:ascii="Times New Roman" w:hAnsi="Times New Roman" w:eastAsia="方正仿宋_GBK" w:cs="Times New Roman"/>
          <w:color w:val="auto"/>
          <w:sz w:val="31"/>
          <w:szCs w:val="31"/>
          <w:highlight w:val="none"/>
          <w:lang w:val="en-US" w:eastAsia="zh-CN"/>
        </w:rPr>
        <w:t>辆、越野车1辆，小型客车5辆，全部为业务用车</w:t>
      </w:r>
      <w:r>
        <w:rPr>
          <w:rFonts w:hint="eastAsia" w:ascii="仿宋_GB2312" w:eastAsia="仿宋_GB2312"/>
          <w:sz w:val="32"/>
          <w:szCs w:val="32"/>
          <w:highlight w:val="none"/>
        </w:rPr>
        <w:t>；单价100万元（含）以上设备（不含车辆）</w:t>
      </w:r>
      <w:r>
        <w:rPr>
          <w:rFonts w:hint="eastAsia" w:ascii="仿宋_GB2312" w:eastAsia="仿宋_GB2312"/>
          <w:sz w:val="32"/>
          <w:szCs w:val="32"/>
          <w:highlight w:val="none"/>
          <w:lang w:val="en-US" w:eastAsia="zh-CN"/>
        </w:rPr>
        <w:t>0台（</w:t>
      </w:r>
      <w:r>
        <w:rPr>
          <w:rFonts w:hint="eastAsia" w:ascii="仿宋_GB2312" w:eastAsia="仿宋_GB2312"/>
          <w:sz w:val="32"/>
          <w:szCs w:val="32"/>
          <w:highlight w:val="none"/>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36" w:name="_Toc435"/>
      <w:bookmarkStart w:id="37" w:name="_Toc17664"/>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一</w:t>
      </w:r>
      <w:r>
        <w:rPr>
          <w:rFonts w:hint="eastAsia" w:ascii="黑体" w:hAnsi="黑体" w:eastAsia="黑体" w:cs="宋体"/>
          <w:bCs/>
          <w:kern w:val="0"/>
          <w:sz w:val="32"/>
          <w:szCs w:val="32"/>
          <w:highlight w:val="none"/>
          <w:lang w:eastAsia="zh-CN"/>
        </w:rPr>
        <w:t>、预算绩效的情况说明</w:t>
      </w:r>
      <w:bookmarkEnd w:id="36"/>
      <w:bookmarkEnd w:id="37"/>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s="宋体"/>
          <w:bCs/>
          <w:color w:val="auto"/>
          <w:kern w:val="0"/>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个，全年预算数</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万元，全年执行数</w:t>
      </w:r>
      <w:r>
        <w:rPr>
          <w:rFonts w:hint="eastAsia" w:ascii="仿宋_GB2312" w:eastAsia="仿宋_GB2312"/>
          <w:color w:val="auto"/>
          <w:sz w:val="32"/>
          <w:szCs w:val="32"/>
          <w:highlight w:val="none"/>
          <w:lang w:val="en-US" w:eastAsia="zh-CN"/>
        </w:rPr>
        <w:t xml:space="preserve"> 0.47</w:t>
      </w:r>
      <w:r>
        <w:rPr>
          <w:rFonts w:hint="eastAsia" w:ascii="仿宋_GB2312" w:eastAsia="仿宋_GB2312"/>
          <w:color w:val="auto"/>
          <w:sz w:val="32"/>
          <w:szCs w:val="32"/>
          <w:highlight w:val="none"/>
          <w:lang w:eastAsia="zh-CN"/>
        </w:rPr>
        <w:t>万元。预算绩效管理取得的成效：</w:t>
      </w:r>
      <w:r>
        <w:rPr>
          <w:rFonts w:hint="default" w:ascii="Times New Roman" w:hAnsi="Times New Roman" w:eastAsia="方正仿宋_GBK" w:cs="Times New Roman"/>
          <w:color w:val="auto"/>
          <w:sz w:val="31"/>
          <w:szCs w:val="31"/>
          <w:highlight w:val="none"/>
          <w:lang w:val="en-US" w:eastAsia="zh-CN"/>
        </w:rPr>
        <w:t>一是建立了</w:t>
      </w:r>
      <w:r>
        <w:rPr>
          <w:rFonts w:hint="eastAsia" w:ascii="Times New Roman" w:hAnsi="Times New Roman" w:eastAsia="方正仿宋_GBK" w:cs="Times New Roman"/>
          <w:color w:val="auto"/>
          <w:sz w:val="31"/>
          <w:szCs w:val="31"/>
          <w:highlight w:val="none"/>
          <w:lang w:val="en-US" w:eastAsia="zh-CN"/>
        </w:rPr>
        <w:t>“</w:t>
      </w:r>
      <w:r>
        <w:rPr>
          <w:rFonts w:hint="default" w:ascii="Times New Roman" w:hAnsi="Times New Roman" w:eastAsia="方正仿宋_GBK" w:cs="Times New Roman"/>
          <w:color w:val="auto"/>
          <w:sz w:val="31"/>
          <w:szCs w:val="31"/>
          <w:highlight w:val="none"/>
          <w:lang w:val="en-US" w:eastAsia="zh-CN"/>
        </w:rPr>
        <w:t>全方位、全过程、全覆盖</w:t>
      </w:r>
      <w:r>
        <w:rPr>
          <w:rFonts w:hint="eastAsia" w:ascii="Times New Roman" w:hAnsi="Times New Roman" w:eastAsia="方正仿宋_GBK" w:cs="Times New Roman"/>
          <w:color w:val="auto"/>
          <w:sz w:val="31"/>
          <w:szCs w:val="31"/>
          <w:highlight w:val="none"/>
          <w:lang w:val="en-US" w:eastAsia="zh-CN"/>
        </w:rPr>
        <w:t>”</w:t>
      </w:r>
      <w:r>
        <w:rPr>
          <w:rFonts w:hint="default" w:ascii="Times New Roman" w:hAnsi="Times New Roman" w:eastAsia="方正仿宋_GBK" w:cs="Times New Roman"/>
          <w:color w:val="auto"/>
          <w:sz w:val="31"/>
          <w:szCs w:val="31"/>
          <w:highlight w:val="none"/>
          <w:lang w:val="en-US" w:eastAsia="zh-CN"/>
        </w:rPr>
        <w:t>的预算绩效管理体系</w:t>
      </w:r>
      <w:r>
        <w:rPr>
          <w:rFonts w:hint="eastAsia" w:ascii="Times New Roman" w:hAnsi="Times New Roman" w:eastAsia="方正仿宋_GBK" w:cs="Times New Roman"/>
          <w:color w:val="auto"/>
          <w:sz w:val="31"/>
          <w:szCs w:val="31"/>
          <w:highlight w:val="none"/>
          <w:lang w:val="en-US" w:eastAsia="zh-CN"/>
        </w:rPr>
        <w:t>；</w:t>
      </w:r>
      <w:r>
        <w:rPr>
          <w:rFonts w:hint="default" w:ascii="Times New Roman" w:hAnsi="Times New Roman" w:eastAsia="方正仿宋_GBK" w:cs="Times New Roman"/>
          <w:color w:val="auto"/>
          <w:sz w:val="31"/>
          <w:szCs w:val="31"/>
          <w:highlight w:val="none"/>
          <w:lang w:val="en-US" w:eastAsia="zh-CN"/>
        </w:rPr>
        <w:t>二是形成了预算编制有目标、预算执行有监控、预算完成有评价、评价结果有反馈、反馈结果有应用的预算绩效管理机制</w:t>
      </w:r>
      <w:r>
        <w:rPr>
          <w:rFonts w:hint="eastAsia" w:ascii="仿宋_GB2312" w:eastAsia="仿宋_GB2312"/>
          <w:sz w:val="32"/>
          <w:szCs w:val="32"/>
          <w:highlight w:val="none"/>
          <w:lang w:eastAsia="zh-CN"/>
        </w:rPr>
        <w:t>。发现的问题及原因：</w:t>
      </w:r>
      <w:r>
        <w:rPr>
          <w:rFonts w:hint="default" w:ascii="Times New Roman" w:hAnsi="Times New Roman" w:eastAsia="方正仿宋_GBK" w:cs="Times New Roman"/>
          <w:color w:val="auto"/>
          <w:sz w:val="31"/>
          <w:szCs w:val="31"/>
          <w:highlight w:val="none"/>
          <w:lang w:val="en-US" w:eastAsia="zh-CN"/>
        </w:rPr>
        <w:t>一是预算指标下达不能和绩效完全同步，资金滞后情况较明显；二是预算执行与预算编制存在较大差异。由于财政部门与预算部门之间的职能和分工不同，财政部门掌握信息与预算单位存在不对称，财政部门难以准确掌握各预算单位的职责，对单位自编项目不能提出很好的建议，而是采用一刀切，按上年的预算数编制</w:t>
      </w:r>
      <w:r>
        <w:rPr>
          <w:rFonts w:hint="eastAsia" w:ascii="Times New Roman" w:hAnsi="Times New Roman" w:eastAsia="方正仿宋_GBK" w:cs="Times New Roman"/>
          <w:color w:val="auto"/>
          <w:sz w:val="31"/>
          <w:szCs w:val="31"/>
          <w:highlight w:val="none"/>
          <w:lang w:val="en-US" w:eastAsia="zh-CN"/>
        </w:rPr>
        <w:t>。</w:t>
      </w:r>
      <w:r>
        <w:rPr>
          <w:rFonts w:hint="eastAsia" w:ascii="仿宋_GB2312" w:eastAsia="仿宋_GB2312"/>
          <w:sz w:val="32"/>
          <w:szCs w:val="32"/>
          <w:highlight w:val="none"/>
          <w:lang w:eastAsia="zh-CN"/>
        </w:rPr>
        <w:t>下一步改进措施：</w:t>
      </w:r>
      <w:r>
        <w:rPr>
          <w:rFonts w:hint="default" w:ascii="Times New Roman" w:hAnsi="Times New Roman" w:eastAsia="方正仿宋_GBK" w:cs="Times New Roman"/>
          <w:color w:val="auto"/>
          <w:sz w:val="31"/>
          <w:szCs w:val="31"/>
          <w:highlight w:val="none"/>
          <w:lang w:val="en-US" w:eastAsia="zh-CN"/>
        </w:rPr>
        <w:t>一是加强预算编制管理，夯实预算执行基础；二是部门预算须遵循量入为出、收支平衡的原则，稳妥可靠，采取有效的程序和方法合理安排各项资金，达到综合预算、不偏不漏</w:t>
      </w:r>
      <w:r>
        <w:rPr>
          <w:rFonts w:hint="eastAsia" w:ascii="Times New Roman" w:hAnsi="Times New Roman" w:eastAsia="方正仿宋_GBK" w:cs="Times New Roman"/>
          <w:color w:val="auto"/>
          <w:sz w:val="31"/>
          <w:szCs w:val="31"/>
          <w:highlight w:val="none"/>
          <w:lang w:val="en-US" w:eastAsia="zh-CN"/>
        </w:rPr>
        <w:t>。具体项目自评情况附绩效自评表及自评报告。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二</w:t>
      </w:r>
      <w:r>
        <w:rPr>
          <w:rFonts w:hint="eastAsia" w:ascii="黑体" w:hAnsi="黑体" w:eastAsia="黑体" w:cs="宋体"/>
          <w:bCs/>
          <w:kern w:val="0"/>
          <w:sz w:val="32"/>
          <w:szCs w:val="32"/>
          <w:highlight w:val="none"/>
          <w:lang w:eastAsia="zh-CN"/>
        </w:rPr>
        <w:t>、其他需说明的事项</w:t>
      </w:r>
    </w:p>
    <w:p>
      <w:pPr>
        <w:numPr>
          <w:ilvl w:val="0"/>
          <w:numId w:val="0"/>
        </w:numPr>
        <w:ind w:firstLine="640" w:firstLineChars="200"/>
        <w:jc w:val="left"/>
        <w:rPr>
          <w:rFonts w:hint="default" w:ascii="仿宋_GB2312" w:hAnsi="仿宋_GB2312" w:eastAsia="仿宋_GB2312" w:cs="仿宋_GB2312"/>
          <w:kern w:val="0"/>
          <w:sz w:val="32"/>
          <w:szCs w:val="32"/>
          <w:lang w:val="en-US" w:eastAsia="zh-CN"/>
        </w:rPr>
      </w:pPr>
      <w:bookmarkStart w:id="38" w:name="_Toc30038"/>
      <w:bookmarkStart w:id="39" w:name="_Toc24143"/>
      <w:r>
        <w:rPr>
          <w:rFonts w:hint="eastAsia" w:ascii="仿宋_GB2312" w:eastAsia="仿宋_GB2312"/>
          <w:sz w:val="32"/>
          <w:szCs w:val="32"/>
        </w:rPr>
        <w:t>根据预算绩效管理要求，我</w:t>
      </w:r>
      <w:r>
        <w:rPr>
          <w:rFonts w:hint="eastAsia" w:ascii="仿宋_GB2312" w:eastAsia="仿宋_GB2312"/>
          <w:sz w:val="32"/>
          <w:szCs w:val="32"/>
          <w:lang w:val="en-US" w:eastAsia="zh-CN"/>
        </w:rPr>
        <w:t>部门</w:t>
      </w: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年度</w:t>
      </w:r>
      <w:r>
        <w:rPr>
          <w:rFonts w:hint="eastAsia" w:ascii="仿宋_GB2312" w:hAnsi="仿宋_GB2312" w:eastAsia="仿宋_GB2312" w:cs="仿宋_GB2312"/>
          <w:kern w:val="0"/>
          <w:sz w:val="32"/>
          <w:szCs w:val="32"/>
        </w:rPr>
        <w:t>预算绩效管理整体支出绩效自评表</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hint="eastAsia" w:ascii="仿宋_GB2312" w:eastAsia="仿宋_GB2312"/>
          <w:sz w:val="32"/>
          <w:szCs w:val="32"/>
          <w:lang w:val="en-US" w:eastAsia="zh-CN"/>
        </w:rPr>
        <w:t>0</w:t>
      </w:r>
      <w:r>
        <w:rPr>
          <w:rFonts w:hint="eastAsia" w:ascii="仿宋_GB2312" w:eastAsia="仿宋_GB2312"/>
          <w:sz w:val="32"/>
          <w:szCs w:val="32"/>
        </w:rPr>
        <w:t>万元，实际执行总额</w:t>
      </w:r>
      <w:r>
        <w:rPr>
          <w:rFonts w:hint="eastAsia" w:ascii="仿宋" w:hAnsi="仿宋" w:eastAsia="仿宋" w:cs="仿宋"/>
          <w:sz w:val="32"/>
          <w:szCs w:val="32"/>
          <w:lang w:val="en-US" w:eastAsia="zh-CN"/>
        </w:rPr>
        <w:t>0</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我部门整体绩效自评表，由各单位自行编制并公开。</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三</w:t>
      </w:r>
      <w:r>
        <w:rPr>
          <w:rFonts w:hint="eastAsia" w:ascii="黑体" w:hAnsi="黑体" w:eastAsia="黑体"/>
          <w:sz w:val="32"/>
          <w:szCs w:val="32"/>
          <w:highlight w:val="none"/>
        </w:rPr>
        <w:t>部分 专业名词解释</w:t>
      </w:r>
      <w:bookmarkEnd w:id="38"/>
      <w:bookmarkEnd w:id="39"/>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一、</w:t>
      </w:r>
      <w:r>
        <w:rPr>
          <w:rFonts w:hint="eastAsia" w:ascii="仿宋_GB2312" w:eastAsia="仿宋_GB2312"/>
          <w:b/>
          <w:bCs/>
          <w:sz w:val="32"/>
          <w:szCs w:val="32"/>
          <w:highlight w:val="none"/>
        </w:rPr>
        <w:t>财政拨款收入：</w:t>
      </w:r>
      <w:r>
        <w:rPr>
          <w:rFonts w:hint="eastAsia" w:ascii="仿宋_GB2312" w:eastAsia="仿宋_GB2312"/>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二、</w:t>
      </w:r>
      <w:r>
        <w:rPr>
          <w:rFonts w:hint="eastAsia" w:ascii="仿宋_GB2312" w:eastAsia="仿宋_GB2312"/>
          <w:b/>
          <w:bCs/>
          <w:sz w:val="32"/>
          <w:szCs w:val="32"/>
          <w:highlight w:val="none"/>
        </w:rPr>
        <w:t>上级补助收入：</w:t>
      </w:r>
      <w:r>
        <w:rPr>
          <w:rFonts w:hint="eastAsia" w:ascii="仿宋_GB2312" w:eastAsia="仿宋_GB2312"/>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三、</w:t>
      </w:r>
      <w:r>
        <w:rPr>
          <w:rFonts w:hint="eastAsia" w:ascii="仿宋_GB2312" w:eastAsia="仿宋_GB2312"/>
          <w:b/>
          <w:bCs/>
          <w:sz w:val="32"/>
          <w:szCs w:val="32"/>
          <w:highlight w:val="none"/>
        </w:rPr>
        <w:t>事业收入：</w:t>
      </w:r>
      <w:r>
        <w:rPr>
          <w:rFonts w:hint="eastAsia" w:ascii="仿宋_GB2312" w:eastAsia="仿宋_GB2312"/>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四、</w:t>
      </w:r>
      <w:r>
        <w:rPr>
          <w:rFonts w:hint="eastAsia" w:ascii="仿宋_GB2312" w:eastAsia="仿宋_GB2312"/>
          <w:b/>
          <w:bCs/>
          <w:sz w:val="32"/>
          <w:szCs w:val="32"/>
          <w:highlight w:val="none"/>
        </w:rPr>
        <w:t>经营收入：</w:t>
      </w:r>
      <w:r>
        <w:rPr>
          <w:rFonts w:hint="eastAsia" w:ascii="仿宋_GB2312" w:eastAsia="仿宋_GB2312"/>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五、</w:t>
      </w:r>
      <w:r>
        <w:rPr>
          <w:rFonts w:hint="eastAsia" w:ascii="仿宋_GB2312" w:eastAsia="仿宋_GB2312"/>
          <w:b/>
          <w:bCs/>
          <w:sz w:val="32"/>
          <w:szCs w:val="32"/>
          <w:highlight w:val="none"/>
        </w:rPr>
        <w:t>附属单位上缴收入：</w:t>
      </w:r>
      <w:r>
        <w:rPr>
          <w:rFonts w:hint="eastAsia" w:ascii="仿宋_GB2312" w:eastAsia="仿宋_GB2312"/>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六、</w:t>
      </w:r>
      <w:r>
        <w:rPr>
          <w:rFonts w:hint="eastAsia" w:ascii="仿宋_GB2312" w:eastAsia="仿宋_GB2312"/>
          <w:b/>
          <w:bCs/>
          <w:sz w:val="32"/>
          <w:szCs w:val="32"/>
          <w:highlight w:val="none"/>
        </w:rPr>
        <w:t>其他收入：</w:t>
      </w:r>
      <w:r>
        <w:rPr>
          <w:rFonts w:hint="eastAsia" w:ascii="仿宋_GB2312" w:eastAsia="仿宋_GB2312"/>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七、</w:t>
      </w:r>
      <w:r>
        <w:rPr>
          <w:rFonts w:hint="eastAsia" w:ascii="仿宋_GB2312" w:eastAsia="仿宋_GB2312"/>
          <w:b/>
          <w:bCs/>
          <w:sz w:val="32"/>
          <w:szCs w:val="32"/>
          <w:highlight w:val="none"/>
          <w:lang w:eastAsia="zh-CN"/>
        </w:rPr>
        <w:t>年初</w:t>
      </w:r>
      <w:r>
        <w:rPr>
          <w:rFonts w:hint="eastAsia" w:ascii="仿宋_GB2312" w:eastAsia="仿宋_GB2312"/>
          <w:b/>
          <w:bCs/>
          <w:sz w:val="32"/>
          <w:szCs w:val="32"/>
          <w:highlight w:val="none"/>
        </w:rPr>
        <w:t>结转和结余：</w:t>
      </w:r>
      <w:r>
        <w:rPr>
          <w:rFonts w:hint="eastAsia" w:ascii="仿宋_GB2312" w:eastAsia="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八、</w:t>
      </w:r>
      <w:r>
        <w:rPr>
          <w:rFonts w:hint="eastAsia" w:ascii="仿宋_GB2312" w:eastAsia="仿宋_GB2312"/>
          <w:b/>
          <w:bCs/>
          <w:sz w:val="32"/>
          <w:szCs w:val="32"/>
          <w:highlight w:val="none"/>
        </w:rPr>
        <w:t>年末结转和结余：</w:t>
      </w:r>
      <w:r>
        <w:rPr>
          <w:rFonts w:hint="eastAsia" w:ascii="仿宋_GB2312" w:eastAsia="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九、</w:t>
      </w:r>
      <w:r>
        <w:rPr>
          <w:rFonts w:hint="eastAsia" w:ascii="仿宋_GB2312" w:eastAsia="仿宋_GB2312"/>
          <w:b/>
          <w:bCs/>
          <w:sz w:val="32"/>
          <w:szCs w:val="32"/>
          <w:highlight w:val="none"/>
        </w:rPr>
        <w:t>基本支出：</w:t>
      </w:r>
      <w:r>
        <w:rPr>
          <w:rFonts w:hint="eastAsia" w:ascii="仿宋_GB2312" w:eastAsia="仿宋_GB2312"/>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w:t>
      </w:r>
      <w:r>
        <w:rPr>
          <w:rFonts w:hint="eastAsia" w:ascii="仿宋_GB2312" w:eastAsia="仿宋_GB2312"/>
          <w:b/>
          <w:bCs/>
          <w:sz w:val="32"/>
          <w:szCs w:val="32"/>
          <w:highlight w:val="none"/>
        </w:rPr>
        <w:t>项目支出：</w:t>
      </w:r>
      <w:r>
        <w:rPr>
          <w:rFonts w:hint="eastAsia" w:ascii="仿宋_GB2312" w:eastAsia="仿宋_GB2312"/>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十一、</w:t>
      </w:r>
      <w:r>
        <w:rPr>
          <w:rFonts w:hint="eastAsia" w:ascii="仿宋_GB2312" w:eastAsia="仿宋_GB2312"/>
          <w:b/>
          <w:bCs/>
          <w:sz w:val="32"/>
          <w:szCs w:val="32"/>
          <w:highlight w:val="none"/>
        </w:rPr>
        <w:t>经营支出：</w:t>
      </w:r>
      <w:r>
        <w:rPr>
          <w:rFonts w:hint="eastAsia" w:ascii="仿宋_GB2312" w:eastAsia="仿宋_GB2312"/>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十二、</w:t>
      </w:r>
      <w:r>
        <w:rPr>
          <w:rFonts w:hint="eastAsia" w:ascii="仿宋_GB2312" w:eastAsia="仿宋_GB2312"/>
          <w:b/>
          <w:bCs/>
          <w:sz w:val="32"/>
          <w:szCs w:val="32"/>
          <w:highlight w:val="none"/>
        </w:rPr>
        <w:t>对附属单位补助支出：</w:t>
      </w:r>
      <w:r>
        <w:rPr>
          <w:rFonts w:hint="eastAsia" w:ascii="仿宋_GB2312" w:eastAsia="仿宋_GB2312"/>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lang w:val="en-US" w:eastAsia="zh-CN"/>
        </w:rPr>
        <w:t>十三、</w:t>
      </w:r>
      <w:r>
        <w:rPr>
          <w:rFonts w:hint="eastAsia" w:ascii="仿宋_GB2312" w:eastAsia="仿宋_GB2312"/>
          <w:b/>
          <w:bCs/>
          <w:sz w:val="32"/>
          <w:szCs w:val="32"/>
          <w:highlight w:val="none"/>
        </w:rPr>
        <w:t>“三公”经费：</w:t>
      </w:r>
      <w:r>
        <w:rPr>
          <w:rFonts w:hint="eastAsia" w:ascii="仿宋_GB2312" w:eastAsia="仿宋_GB2312"/>
          <w:sz w:val="32"/>
          <w:szCs w:val="32"/>
          <w:highlight w:val="none"/>
        </w:rPr>
        <w:t>指用财政拨款安排的因公出国（境）费、公务用车购置及运行费和公务接待费。其中，因公出国（境）费反映单位公务出国（境）的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十四、</w:t>
      </w:r>
      <w:r>
        <w:rPr>
          <w:rFonts w:hint="eastAsia" w:ascii="仿宋_GB2312" w:eastAsia="仿宋_GB2312"/>
          <w:b/>
          <w:bCs/>
          <w:sz w:val="32"/>
          <w:szCs w:val="32"/>
          <w:highlight w:val="none"/>
        </w:rPr>
        <w:t>机关运行经费：</w:t>
      </w:r>
      <w:r>
        <w:rPr>
          <w:rFonts w:hint="eastAsia" w:ascii="仿宋_GB2312" w:eastAsia="仿宋_GB2312"/>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r>
        <w:rPr>
          <w:rFonts w:hint="eastAsia" w:ascii="仿宋_GB2312" w:eastAsia="仿宋_GB2312"/>
          <w:sz w:val="32"/>
          <w:szCs w:val="32"/>
          <w:highlight w:val="none"/>
        </w:rPr>
        <w:br w:type="page"/>
      </w:r>
      <w:bookmarkStart w:id="40" w:name="_Toc6831"/>
      <w:r>
        <w:rPr>
          <w:rFonts w:hint="eastAsia" w:ascii="黑体" w:hAnsi="黑体" w:eastAsia="黑体"/>
          <w:sz w:val="32"/>
          <w:szCs w:val="32"/>
          <w:highlight w:val="none"/>
        </w:rPr>
        <w:t>第四部分 部门决算报表（见附表）</w:t>
      </w:r>
      <w:bookmarkEnd w:id="4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1" w:name="_Toc6062"/>
      <w:bookmarkStart w:id="42" w:name="_Toc3845"/>
      <w:r>
        <w:rPr>
          <w:rFonts w:hint="eastAsia" w:ascii="仿宋_GB2312" w:hAnsi="仿宋_GB2312" w:eastAsia="仿宋_GB2312" w:cs="仿宋_GB2312"/>
          <w:bCs/>
          <w:kern w:val="0"/>
          <w:sz w:val="32"/>
          <w:szCs w:val="32"/>
          <w:highlight w:val="none"/>
        </w:rPr>
        <w:t>一、《收入支出决算总表》</w:t>
      </w:r>
      <w:bookmarkEnd w:id="41"/>
      <w:bookmarkEnd w:id="4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3" w:name="_Toc30364"/>
      <w:bookmarkStart w:id="44" w:name="_Toc11927"/>
      <w:r>
        <w:rPr>
          <w:rFonts w:hint="eastAsia" w:ascii="仿宋_GB2312" w:hAnsi="仿宋_GB2312" w:eastAsia="仿宋_GB2312" w:cs="仿宋_GB2312"/>
          <w:bCs/>
          <w:kern w:val="0"/>
          <w:sz w:val="32"/>
          <w:szCs w:val="32"/>
          <w:highlight w:val="none"/>
        </w:rPr>
        <w:t>二、《收入决算表》</w:t>
      </w:r>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5" w:name="_Toc21304"/>
      <w:bookmarkStart w:id="46" w:name="_Toc7443"/>
      <w:r>
        <w:rPr>
          <w:rFonts w:hint="eastAsia" w:ascii="仿宋_GB2312" w:hAnsi="仿宋_GB2312" w:eastAsia="仿宋_GB2312" w:cs="仿宋_GB2312"/>
          <w:bCs/>
          <w:kern w:val="0"/>
          <w:sz w:val="32"/>
          <w:szCs w:val="32"/>
          <w:highlight w:val="none"/>
        </w:rPr>
        <w:t>三、《支出决算表》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7" w:name="_Toc14238"/>
      <w:bookmarkStart w:id="48" w:name="_Toc24884"/>
      <w:r>
        <w:rPr>
          <w:rFonts w:hint="eastAsia" w:ascii="仿宋_GB2312" w:hAnsi="仿宋_GB2312" w:eastAsia="仿宋_GB2312" w:cs="仿宋_GB2312"/>
          <w:bCs/>
          <w:kern w:val="0"/>
          <w:sz w:val="32"/>
          <w:szCs w:val="32"/>
          <w:highlight w:val="none"/>
        </w:rPr>
        <w:t>四、《财政拨款收入支出决算总表》</w:t>
      </w:r>
      <w:bookmarkEnd w:id="47"/>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9" w:name="_Toc16518"/>
      <w:bookmarkStart w:id="50" w:name="_Toc10347"/>
      <w:r>
        <w:rPr>
          <w:rFonts w:hint="eastAsia" w:ascii="仿宋_GB2312" w:hAnsi="仿宋_GB2312" w:eastAsia="仿宋_GB2312" w:cs="仿宋_GB2312"/>
          <w:bCs/>
          <w:kern w:val="0"/>
          <w:sz w:val="32"/>
          <w:szCs w:val="32"/>
          <w:highlight w:val="none"/>
        </w:rPr>
        <w:t>五、《一般公共预算财政拨款支出决算表》</w:t>
      </w:r>
      <w:bookmarkEnd w:id="49"/>
      <w:bookmarkEnd w:id="5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1" w:name="_Toc5626"/>
      <w:bookmarkStart w:id="52" w:name="_Toc20514"/>
      <w:r>
        <w:rPr>
          <w:rFonts w:hint="eastAsia" w:ascii="仿宋_GB2312" w:hAnsi="仿宋_GB2312" w:eastAsia="仿宋_GB2312" w:cs="仿宋_GB2312"/>
          <w:bCs/>
          <w:kern w:val="0"/>
          <w:sz w:val="32"/>
          <w:szCs w:val="32"/>
          <w:highlight w:val="none"/>
        </w:rPr>
        <w:t>六、《一般公共预算财政拨款基本支出决算表》</w:t>
      </w:r>
      <w:bookmarkEnd w:id="51"/>
      <w:bookmarkEnd w:id="5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3" w:name="_Toc18055"/>
      <w:bookmarkStart w:id="54" w:name="_Toc5453"/>
      <w:r>
        <w:rPr>
          <w:rFonts w:hint="eastAsia" w:ascii="仿宋_GB2312" w:hAnsi="仿宋_GB2312" w:eastAsia="仿宋_GB2312" w:cs="仿宋_GB2312"/>
          <w:bCs/>
          <w:kern w:val="0"/>
          <w:sz w:val="32"/>
          <w:szCs w:val="32"/>
          <w:highlight w:val="none"/>
        </w:rPr>
        <w:t>七、《政府性基金预算财政拨款收入支出决算表》</w:t>
      </w:r>
      <w:bookmarkEnd w:id="53"/>
      <w:bookmarkEnd w:id="5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5" w:name="_Toc10719"/>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bookmarkEnd w:id="5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6" w:name="_Toc32663"/>
      <w:bookmarkStart w:id="57" w:name="_Toc18861"/>
      <w:bookmarkStart w:id="58" w:name="_Toc29106"/>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bookmarkEnd w:id="56"/>
      <w:bookmarkEnd w:id="57"/>
      <w:bookmarkEnd w:id="58"/>
    </w:p>
    <w:p>
      <w:pPr>
        <w:pStyle w:val="2"/>
        <w:rPr>
          <w:rFonts w:hint="eastAsia" w:ascii="仿宋_GB2312" w:hAnsi="仿宋_GB2312" w:eastAsia="仿宋_GB2312" w:cs="仿宋_GB2312"/>
          <w:bCs/>
          <w:kern w:val="0"/>
          <w:sz w:val="32"/>
          <w:szCs w:val="32"/>
          <w:highlight w:val="none"/>
        </w:rPr>
      </w:pPr>
    </w:p>
    <w:p>
      <w:pPr>
        <w:rPr>
          <w:rFonts w:hint="eastAsia" w:ascii="仿宋_GB2312" w:hAnsi="仿宋_GB2312" w:eastAsia="仿宋_GB2312" w:cs="仿宋_GB2312"/>
          <w:bCs/>
          <w:kern w:val="0"/>
          <w:sz w:val="32"/>
          <w:szCs w:val="32"/>
          <w:highlight w:val="none"/>
        </w:rPr>
      </w:pPr>
    </w:p>
    <w:p>
      <w:pPr>
        <w:pStyle w:val="2"/>
        <w:rPr>
          <w:rFonts w:hint="eastAsia" w:ascii="仿宋_GB2312" w:hAnsi="仿宋_GB2312" w:eastAsia="仿宋_GB2312" w:cs="仿宋_GB2312"/>
          <w:bCs/>
          <w:kern w:val="0"/>
          <w:sz w:val="32"/>
          <w:szCs w:val="32"/>
          <w:highlight w:val="none"/>
        </w:rPr>
      </w:pPr>
    </w:p>
    <w:p>
      <w:pPr>
        <w:rPr>
          <w:rFonts w:hint="eastAsia" w:ascii="仿宋_GB2312" w:hAnsi="仿宋_GB2312" w:eastAsia="仿宋_GB2312" w:cs="仿宋_GB2312"/>
          <w:bCs/>
          <w:kern w:val="0"/>
          <w:sz w:val="32"/>
          <w:szCs w:val="32"/>
          <w:highlight w:val="none"/>
        </w:rPr>
      </w:pPr>
    </w:p>
    <w:p>
      <w:pPr>
        <w:pStyle w:val="2"/>
        <w:rPr>
          <w:rFonts w:hint="eastAsia" w:ascii="仿宋_GB2312" w:hAnsi="仿宋_GB2312" w:eastAsia="仿宋_GB2312" w:cs="仿宋_GB2312"/>
          <w:bCs/>
          <w:kern w:val="0"/>
          <w:sz w:val="32"/>
          <w:szCs w:val="32"/>
          <w:highlight w:val="none"/>
        </w:rPr>
      </w:pPr>
    </w:p>
    <w:p>
      <w:pPr>
        <w:rPr>
          <w:rFonts w:hint="eastAsia" w:ascii="仿宋_GB2312" w:hAnsi="仿宋_GB2312" w:eastAsia="仿宋_GB2312" w:cs="仿宋_GB2312"/>
          <w:bCs/>
          <w:kern w:val="0"/>
          <w:sz w:val="32"/>
          <w:szCs w:val="32"/>
          <w:highlight w:val="none"/>
        </w:rPr>
      </w:pPr>
    </w:p>
    <w:p>
      <w:pPr>
        <w:pStyle w:val="2"/>
        <w:rPr>
          <w:rFonts w:hint="eastAsia" w:ascii="仿宋_GB2312" w:hAnsi="仿宋_GB2312" w:eastAsia="仿宋_GB2312" w:cs="仿宋_GB2312"/>
          <w:bCs/>
          <w:kern w:val="0"/>
          <w:sz w:val="32"/>
          <w:szCs w:val="32"/>
          <w:highlight w:val="none"/>
        </w:rPr>
      </w:pPr>
    </w:p>
    <w:p>
      <w:pPr>
        <w:rPr>
          <w:rFonts w:hint="eastAsia" w:ascii="仿宋_GB2312" w:hAnsi="仿宋_GB2312" w:eastAsia="仿宋_GB2312" w:cs="仿宋_GB2312"/>
          <w:bCs/>
          <w:kern w:val="0"/>
          <w:sz w:val="32"/>
          <w:szCs w:val="32"/>
          <w:highlight w:val="none"/>
        </w:rPr>
      </w:pPr>
    </w:p>
    <w:p>
      <w:pPr>
        <w:rPr>
          <w:rFonts w:hint="eastAsia"/>
          <w:lang w:val="en-US" w:eastAsia="zh-CN"/>
        </w:rPr>
      </w:pPr>
      <w:r>
        <w:rPr>
          <w:rFonts w:hint="eastAsia"/>
          <w:lang w:val="en-US" w:eastAsia="zh-CN"/>
        </w:rPr>
        <w:t xml:space="preserve">  </w:t>
      </w:r>
    </w:p>
    <w:p>
      <w:pPr>
        <w:rPr>
          <w:rFonts w:hint="eastAsia"/>
          <w:lang w:val="en-US" w:eastAsia="zh-CN"/>
        </w:rPr>
      </w:pPr>
    </w:p>
    <w:p>
      <w:pPr>
        <w:rPr>
          <w:rFonts w:hint="eastAsia"/>
          <w:lang w:val="en-US" w:eastAsia="zh-CN"/>
        </w:rPr>
      </w:pPr>
      <w:r>
        <w:rPr>
          <w:rFonts w:hint="eastAsia"/>
          <w:lang w:val="en-US" w:eastAsia="zh-CN"/>
        </w:rPr>
        <w:t xml:space="preserve"> </w:t>
      </w:r>
      <w:r>
        <w:drawing>
          <wp:inline distT="0" distB="0" distL="114300" distR="114300">
            <wp:extent cx="5270500" cy="4608830"/>
            <wp:effectExtent l="0" t="0" r="6350"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270500" cy="4608830"/>
                    </a:xfrm>
                    <a:prstGeom prst="rect">
                      <a:avLst/>
                    </a:prstGeom>
                    <a:noFill/>
                    <a:ln>
                      <a:noFill/>
                    </a:ln>
                  </pic:spPr>
                </pic:pic>
              </a:graphicData>
            </a:graphic>
          </wp:inline>
        </w:drawing>
      </w: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ind w:left="0" w:leftChars="0" w:firstLine="0" w:firstLineChars="0"/>
        <w:jc w:val="both"/>
        <w:rPr>
          <w:rFonts w:hint="default"/>
          <w:lang w:val="en-US" w:eastAsia="zh-CN"/>
        </w:rPr>
      </w:pPr>
    </w:p>
    <w:p>
      <w:pPr>
        <w:pStyle w:val="2"/>
        <w:ind w:left="0" w:leftChars="0" w:firstLine="0" w:firstLineChars="0"/>
        <w:jc w:val="both"/>
        <w:rPr>
          <w:rFonts w:hint="default"/>
          <w:lang w:val="en-US" w:eastAsia="zh-CN"/>
        </w:rPr>
      </w:pPr>
    </w:p>
    <w:p>
      <w:pPr>
        <w:rPr>
          <w:rFonts w:hint="default"/>
          <w:lang w:val="en-US" w:eastAsia="zh-CN"/>
        </w:rPr>
      </w:pPr>
    </w:p>
    <w:p>
      <w:pPr>
        <w:pStyle w:val="2"/>
        <w:ind w:left="0" w:leftChars="0" w:firstLine="0" w:firstLineChars="0"/>
        <w:jc w:val="both"/>
        <w:rPr>
          <w:rFonts w:hint="default"/>
          <w:lang w:val="en-US" w:eastAsia="zh-CN"/>
        </w:rPr>
      </w:pPr>
    </w:p>
    <w:p>
      <w:pPr>
        <w:rPr>
          <w:rFonts w:hint="default"/>
          <w:lang w:val="en-US" w:eastAsia="zh-CN"/>
        </w:rPr>
      </w:pPr>
      <w:r>
        <w:drawing>
          <wp:inline distT="0" distB="0" distL="114300" distR="114300">
            <wp:extent cx="5267325" cy="3632835"/>
            <wp:effectExtent l="0" t="0" r="9525" b="571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5267325" cy="3632835"/>
                    </a:xfrm>
                    <a:prstGeom prst="rect">
                      <a:avLst/>
                    </a:prstGeom>
                    <a:noFill/>
                    <a:ln>
                      <a:noFill/>
                    </a:ln>
                  </pic:spPr>
                </pic:pic>
              </a:graphicData>
            </a:graphic>
          </wp:inline>
        </w:drawing>
      </w:r>
    </w:p>
    <w:p>
      <w:pPr>
        <w:pStyle w:val="2"/>
        <w:ind w:left="0" w:leftChars="0" w:firstLine="0" w:firstLineChars="0"/>
        <w:jc w:val="both"/>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
      <w:pPr>
        <w:pStyle w:val="2"/>
      </w:pPr>
    </w:p>
    <w:p/>
    <w:p>
      <w:pPr>
        <w:pStyle w:val="2"/>
      </w:pPr>
    </w:p>
    <w:p/>
    <w:p>
      <w:pPr>
        <w:pStyle w:val="2"/>
        <w:ind w:left="0" w:leftChars="0" w:firstLine="0" w:firstLineChars="0"/>
        <w:jc w:val="both"/>
      </w:pPr>
      <w:r>
        <w:drawing>
          <wp:inline distT="0" distB="0" distL="114300" distR="114300">
            <wp:extent cx="5264785" cy="4394835"/>
            <wp:effectExtent l="0" t="0" r="12065" b="571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5264785" cy="4394835"/>
                    </a:xfrm>
                    <a:prstGeom prst="rect">
                      <a:avLst/>
                    </a:prstGeom>
                    <a:noFill/>
                    <a:ln>
                      <a:noFill/>
                    </a:ln>
                  </pic:spPr>
                </pic:pic>
              </a:graphicData>
            </a:graphic>
          </wp:inline>
        </w:drawing>
      </w:r>
    </w:p>
    <w:p/>
    <w:p>
      <w:pPr>
        <w:pStyle w:val="2"/>
      </w:pPr>
    </w:p>
    <w:p/>
    <w:p>
      <w:pPr>
        <w:pStyle w:val="2"/>
      </w:pPr>
    </w:p>
    <w:p/>
    <w:p>
      <w:pPr>
        <w:pStyle w:val="2"/>
      </w:pPr>
    </w:p>
    <w:p/>
    <w:p>
      <w:pPr>
        <w:pStyle w:val="2"/>
      </w:pPr>
    </w:p>
    <w:p/>
    <w:p>
      <w:pPr>
        <w:pStyle w:val="2"/>
      </w:pPr>
    </w:p>
    <w:p/>
    <w:p>
      <w:pPr>
        <w:pStyle w:val="2"/>
        <w:ind w:left="0" w:leftChars="0" w:firstLine="0" w:firstLineChars="0"/>
        <w:jc w:val="both"/>
      </w:pPr>
      <w:r>
        <w:drawing>
          <wp:inline distT="0" distB="0" distL="114300" distR="114300">
            <wp:extent cx="5266055" cy="3611880"/>
            <wp:effectExtent l="0" t="0" r="10795" b="762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266055" cy="3611880"/>
                    </a:xfrm>
                    <a:prstGeom prst="rect">
                      <a:avLst/>
                    </a:prstGeom>
                    <a:noFill/>
                    <a:ln>
                      <a:noFill/>
                    </a:ln>
                  </pic:spPr>
                </pic:pic>
              </a:graphicData>
            </a:graphic>
          </wp:inline>
        </w:drawing>
      </w:r>
    </w:p>
    <w:p/>
    <w:p>
      <w:pPr>
        <w:pStyle w:val="2"/>
        <w:jc w:val="both"/>
      </w:pPr>
    </w:p>
    <w:p/>
    <w:p/>
    <w:p>
      <w:pPr>
        <w:pStyle w:val="2"/>
      </w:pPr>
    </w:p>
    <w:p/>
    <w:p>
      <w:pPr>
        <w:pStyle w:val="2"/>
      </w:pPr>
    </w:p>
    <w:p/>
    <w:p>
      <w:pPr>
        <w:pStyle w:val="2"/>
      </w:pPr>
    </w:p>
    <w:p/>
    <w:p>
      <w:pPr>
        <w:pStyle w:val="2"/>
      </w:pPr>
    </w:p>
    <w:p/>
    <w:p>
      <w:pPr>
        <w:pStyle w:val="2"/>
      </w:pPr>
    </w:p>
    <w:p/>
    <w:p>
      <w:pPr>
        <w:pStyle w:val="2"/>
        <w:ind w:left="0" w:leftChars="0" w:firstLine="0" w:firstLineChars="0"/>
        <w:jc w:val="both"/>
      </w:pPr>
    </w:p>
    <w:p>
      <w:r>
        <w:drawing>
          <wp:inline distT="0" distB="0" distL="114300" distR="114300">
            <wp:extent cx="5273040" cy="4840605"/>
            <wp:effectExtent l="0" t="0" r="3810" b="1714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5273040" cy="4840605"/>
                    </a:xfrm>
                    <a:prstGeom prst="rect">
                      <a:avLst/>
                    </a:prstGeom>
                    <a:noFill/>
                    <a:ln>
                      <a:noFill/>
                    </a:ln>
                  </pic:spPr>
                </pic:pic>
              </a:graphicData>
            </a:graphic>
          </wp:inline>
        </w:drawing>
      </w:r>
    </w:p>
    <w:p/>
    <w:p>
      <w:pPr>
        <w:pStyle w:val="2"/>
        <w:ind w:left="0" w:leftChars="0" w:firstLine="0" w:firstLineChars="0"/>
        <w:jc w:val="both"/>
      </w:pPr>
    </w:p>
    <w:p/>
    <w:p/>
    <w:p>
      <w:pPr>
        <w:pStyle w:val="2"/>
      </w:pPr>
    </w:p>
    <w:p/>
    <w:p>
      <w:pPr>
        <w:pStyle w:val="2"/>
        <w:jc w:val="both"/>
        <w:rPr>
          <w:rFonts w:hint="eastAsia"/>
          <w:lang w:val="en-US" w:eastAsia="zh-CN"/>
        </w:rPr>
      </w:pPr>
      <w:r>
        <w:rPr>
          <w:rFonts w:hint="eastAsia"/>
          <w:lang w:val="en-US" w:eastAsia="zh-CN"/>
        </w:rPr>
        <w:t xml:space="preserve"> </w:t>
      </w:r>
    </w:p>
    <w:p>
      <w:pPr>
        <w:rPr>
          <w:rFonts w:hint="eastAsia"/>
          <w:lang w:val="en-US" w:eastAsia="zh-CN"/>
        </w:rPr>
      </w:pPr>
    </w:p>
    <w:p>
      <w:pPr>
        <w:pStyle w:val="2"/>
        <w:rPr>
          <w:rFonts w:hint="eastAsia"/>
          <w:lang w:val="en-US" w:eastAsia="zh-CN"/>
        </w:rPr>
      </w:pPr>
    </w:p>
    <w:p>
      <w:pPr>
        <w:rPr>
          <w:rFonts w:hint="eastAsia"/>
          <w:lang w:val="en-US" w:eastAsia="zh-CN"/>
        </w:rPr>
      </w:pPr>
    </w:p>
    <w:p>
      <w:pPr>
        <w:pStyle w:val="2"/>
        <w:ind w:left="0" w:leftChars="0" w:firstLine="0" w:firstLineChars="0"/>
        <w:jc w:val="both"/>
        <w:rPr>
          <w:rFonts w:hint="eastAsia"/>
          <w:lang w:val="en-US" w:eastAsia="zh-CN"/>
        </w:rPr>
      </w:pPr>
      <w:r>
        <w:drawing>
          <wp:inline distT="0" distB="0" distL="114300" distR="114300">
            <wp:extent cx="5263515" cy="4459605"/>
            <wp:effectExtent l="0" t="0" r="13335" b="1714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0"/>
                    <a:stretch>
                      <a:fillRect/>
                    </a:stretch>
                  </pic:blipFill>
                  <pic:spPr>
                    <a:xfrm>
                      <a:off x="0" y="0"/>
                      <a:ext cx="5263515" cy="4459605"/>
                    </a:xfrm>
                    <a:prstGeom prst="rect">
                      <a:avLst/>
                    </a:prstGeom>
                    <a:noFill/>
                    <a:ln>
                      <a:noFill/>
                    </a:ln>
                  </pic:spPr>
                </pic:pic>
              </a:graphicData>
            </a:graphic>
          </wp:inline>
        </w:drawing>
      </w:r>
    </w:p>
    <w:p>
      <w:pPr>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jc w:val="both"/>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pStyle w:val="2"/>
        <w:rPr>
          <w:rFonts w:hint="eastAsia"/>
          <w:lang w:val="en-US" w:eastAsia="zh-CN"/>
        </w:rPr>
      </w:pPr>
    </w:p>
    <w:p>
      <w:pPr>
        <w:rPr>
          <w:rFonts w:hint="eastAsia"/>
          <w:lang w:val="en-US" w:eastAsia="zh-CN"/>
        </w:rPr>
      </w:pPr>
    </w:p>
    <w:p>
      <w:pPr>
        <w:pStyle w:val="2"/>
        <w:ind w:left="0" w:leftChars="0" w:firstLine="0" w:firstLineChars="0"/>
        <w:jc w:val="both"/>
        <w:rPr>
          <w:rFonts w:hint="eastAsia"/>
          <w:lang w:val="en-US" w:eastAsia="zh-CN"/>
        </w:rPr>
      </w:pPr>
      <w:r>
        <w:drawing>
          <wp:inline distT="0" distB="0" distL="114300" distR="114300">
            <wp:extent cx="5268595" cy="1835785"/>
            <wp:effectExtent l="0" t="0" r="8255" b="1206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5268595" cy="1835785"/>
                    </a:xfrm>
                    <a:prstGeom prst="rect">
                      <a:avLst/>
                    </a:prstGeom>
                    <a:noFill/>
                    <a:ln>
                      <a:noFill/>
                    </a:ln>
                  </pic:spPr>
                </pic:pic>
              </a:graphicData>
            </a:graphic>
          </wp:inline>
        </w:drawing>
      </w:r>
    </w:p>
    <w:p>
      <w:pPr>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ind w:left="0" w:leftChars="0" w:firstLine="0" w:firstLineChars="0"/>
        <w:jc w:val="both"/>
        <w:rPr>
          <w:rFonts w:hint="eastAsia"/>
          <w:lang w:val="en-US" w:eastAsia="zh-CN"/>
        </w:rPr>
      </w:pPr>
    </w:p>
    <w:p>
      <w:pPr>
        <w:pStyle w:val="2"/>
        <w:ind w:left="0" w:leftChars="0" w:firstLine="0" w:firstLineChars="0"/>
        <w:jc w:val="both"/>
        <w:rPr>
          <w:rFonts w:hint="eastAsia"/>
          <w:lang w:val="en-US" w:eastAsia="zh-CN"/>
        </w:rPr>
      </w:pPr>
      <w:r>
        <w:rPr>
          <w:rFonts w:hint="eastAsia"/>
          <w:lang w:val="en-US" w:eastAsia="zh-CN"/>
        </w:rPr>
        <w:t xml:space="preserve"> </w:t>
      </w:r>
    </w:p>
    <w:p>
      <w:pPr>
        <w:rPr>
          <w:rFonts w:hint="eastAsia"/>
          <w:lang w:val="en-US" w:eastAsia="zh-CN"/>
        </w:rPr>
      </w:pPr>
    </w:p>
    <w:p>
      <w:pPr>
        <w:pStyle w:val="2"/>
        <w:ind w:left="0" w:leftChars="0" w:firstLine="0" w:firstLineChars="0"/>
        <w:jc w:val="both"/>
        <w:rPr>
          <w:rFonts w:hint="eastAsia"/>
          <w:lang w:val="en-US" w:eastAsia="zh-CN"/>
        </w:rPr>
      </w:pPr>
      <w:r>
        <w:drawing>
          <wp:inline distT="0" distB="0" distL="114300" distR="114300">
            <wp:extent cx="5266690" cy="1633855"/>
            <wp:effectExtent l="0" t="0" r="10160" b="444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5266690" cy="1633855"/>
                    </a:xfrm>
                    <a:prstGeom prst="rect">
                      <a:avLst/>
                    </a:prstGeom>
                    <a:noFill/>
                    <a:ln>
                      <a:noFill/>
                    </a:ln>
                  </pic:spPr>
                </pic:pic>
              </a:graphicData>
            </a:graphic>
          </wp:inline>
        </w:drawing>
      </w: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ind w:left="0" w:leftChars="0" w:firstLine="0" w:firstLineChars="0"/>
        <w:jc w:val="both"/>
        <w:rPr>
          <w:rFonts w:hint="eastAsia"/>
          <w:lang w:val="en-US" w:eastAsia="zh-CN"/>
        </w:rPr>
      </w:pPr>
      <w:r>
        <w:drawing>
          <wp:inline distT="0" distB="0" distL="114300" distR="114300">
            <wp:extent cx="5260340" cy="837565"/>
            <wp:effectExtent l="0" t="0" r="16510" b="63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5260340" cy="837565"/>
                    </a:xfrm>
                    <a:prstGeom prst="rect">
                      <a:avLst/>
                    </a:prstGeom>
                    <a:noFill/>
                    <a:ln>
                      <a:noFill/>
                    </a:ln>
                  </pic:spPr>
                </pic:pic>
              </a:graphicData>
            </a:graphic>
          </wp:inline>
        </w:drawing>
      </w:r>
      <w:bookmarkStart w:id="59" w:name="_GoBack"/>
      <w:bookmarkEnd w:id="59"/>
    </w:p>
    <w:p>
      <w:pPr>
        <w:rPr>
          <w:rFonts w:hint="eastAsia"/>
          <w:lang w:val="en-US" w:eastAsia="zh-CN"/>
        </w:rPr>
      </w:pPr>
    </w:p>
    <w:p>
      <w:pPr>
        <w:rPr>
          <w:rFonts w:hint="eastAsia"/>
          <w:lang w:val="en-US"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4357F91-B74B-492C-AFE2-B61681B0B83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1392227B-C410-4D87-8E75-CC5E3D06C936}"/>
  </w:font>
  <w:font w:name="仿宋_GB2312">
    <w:panose1 w:val="02010609030101010101"/>
    <w:charset w:val="86"/>
    <w:family w:val="modern"/>
    <w:pitch w:val="default"/>
    <w:sig w:usb0="00000000" w:usb1="00000000" w:usb2="00000000" w:usb3="00000000" w:csb0="00000000" w:csb1="00000000"/>
    <w:embedRegular r:id="rId3" w:fontKey="{7CAAB5A3-5505-41BF-9063-A5218CB3C118}"/>
  </w:font>
  <w:font w:name="方正仿宋_GBK">
    <w:panose1 w:val="03000509000000000000"/>
    <w:charset w:val="86"/>
    <w:family w:val="script"/>
    <w:pitch w:val="default"/>
    <w:sig w:usb0="00000001" w:usb1="080E0000" w:usb2="00000000" w:usb3="00000000" w:csb0="00040000" w:csb1="00000000"/>
    <w:embedRegular r:id="rId4" w:fontKey="{C9139E32-B33E-45C5-949A-0082051CB44E}"/>
  </w:font>
  <w:font w:name="仿宋">
    <w:panose1 w:val="02010609060101010101"/>
    <w:charset w:val="86"/>
    <w:family w:val="modern"/>
    <w:pitch w:val="default"/>
    <w:sig w:usb0="800002BF" w:usb1="38CF7CFA" w:usb2="00000016" w:usb3="00000000" w:csb0="00040001" w:csb1="00000000"/>
    <w:embedRegular r:id="rId5" w:fontKey="{EE440268-064D-42A3-9334-E8940E09D13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043DE8"/>
    <w:rsid w:val="02F73D26"/>
    <w:rsid w:val="034D4FEF"/>
    <w:rsid w:val="03DE0026"/>
    <w:rsid w:val="043E5B56"/>
    <w:rsid w:val="04742429"/>
    <w:rsid w:val="058D0CDC"/>
    <w:rsid w:val="06792773"/>
    <w:rsid w:val="09A729D8"/>
    <w:rsid w:val="0A41652A"/>
    <w:rsid w:val="0A7B4867"/>
    <w:rsid w:val="0ACE3209"/>
    <w:rsid w:val="0B8828FC"/>
    <w:rsid w:val="0B8C3ECC"/>
    <w:rsid w:val="0BD021BF"/>
    <w:rsid w:val="0C130F17"/>
    <w:rsid w:val="0C2148AA"/>
    <w:rsid w:val="0C3613A3"/>
    <w:rsid w:val="0C6831DB"/>
    <w:rsid w:val="0C7227A7"/>
    <w:rsid w:val="0DCA6EF7"/>
    <w:rsid w:val="0DE02B31"/>
    <w:rsid w:val="0E4B1576"/>
    <w:rsid w:val="0F515A3F"/>
    <w:rsid w:val="0F7043FC"/>
    <w:rsid w:val="10714879"/>
    <w:rsid w:val="11E15093"/>
    <w:rsid w:val="1201435F"/>
    <w:rsid w:val="120E0809"/>
    <w:rsid w:val="13130BEC"/>
    <w:rsid w:val="134A58F6"/>
    <w:rsid w:val="16253BDC"/>
    <w:rsid w:val="17397A15"/>
    <w:rsid w:val="17562BEB"/>
    <w:rsid w:val="17C31462"/>
    <w:rsid w:val="1875698D"/>
    <w:rsid w:val="19071D6C"/>
    <w:rsid w:val="1A0402F0"/>
    <w:rsid w:val="1A321764"/>
    <w:rsid w:val="1BB23343"/>
    <w:rsid w:val="1BD92F15"/>
    <w:rsid w:val="1C317E4F"/>
    <w:rsid w:val="1C472464"/>
    <w:rsid w:val="1CA110FA"/>
    <w:rsid w:val="1D56232D"/>
    <w:rsid w:val="1DAF458D"/>
    <w:rsid w:val="1E086ACE"/>
    <w:rsid w:val="1EAA4A5F"/>
    <w:rsid w:val="1F212DA8"/>
    <w:rsid w:val="1F587A0B"/>
    <w:rsid w:val="1FC26D96"/>
    <w:rsid w:val="205C4F02"/>
    <w:rsid w:val="2064678E"/>
    <w:rsid w:val="20DD6197"/>
    <w:rsid w:val="213C4CB1"/>
    <w:rsid w:val="216A379C"/>
    <w:rsid w:val="21F317F2"/>
    <w:rsid w:val="222D2440"/>
    <w:rsid w:val="2241392C"/>
    <w:rsid w:val="228F12E0"/>
    <w:rsid w:val="23BC04D2"/>
    <w:rsid w:val="25275618"/>
    <w:rsid w:val="25505063"/>
    <w:rsid w:val="255613B0"/>
    <w:rsid w:val="26396007"/>
    <w:rsid w:val="27CF2642"/>
    <w:rsid w:val="282459E2"/>
    <w:rsid w:val="28FD47AF"/>
    <w:rsid w:val="29384276"/>
    <w:rsid w:val="2A053397"/>
    <w:rsid w:val="2A444FB1"/>
    <w:rsid w:val="2A6064E2"/>
    <w:rsid w:val="2BA9200B"/>
    <w:rsid w:val="2D1136DF"/>
    <w:rsid w:val="2D2F4BDE"/>
    <w:rsid w:val="2DAE0E44"/>
    <w:rsid w:val="2F177617"/>
    <w:rsid w:val="2FAD56F1"/>
    <w:rsid w:val="2FD27414"/>
    <w:rsid w:val="30F50121"/>
    <w:rsid w:val="313F1D52"/>
    <w:rsid w:val="318029AB"/>
    <w:rsid w:val="31C63837"/>
    <w:rsid w:val="322A1453"/>
    <w:rsid w:val="326F0A17"/>
    <w:rsid w:val="32E31AE6"/>
    <w:rsid w:val="36971514"/>
    <w:rsid w:val="3795424D"/>
    <w:rsid w:val="387D0762"/>
    <w:rsid w:val="3914510A"/>
    <w:rsid w:val="3965725A"/>
    <w:rsid w:val="398B1511"/>
    <w:rsid w:val="39DF7DFD"/>
    <w:rsid w:val="3A8F1806"/>
    <w:rsid w:val="3A8F566F"/>
    <w:rsid w:val="3AD45039"/>
    <w:rsid w:val="3AE55365"/>
    <w:rsid w:val="3AE56855"/>
    <w:rsid w:val="3B1220C9"/>
    <w:rsid w:val="3B5A1C64"/>
    <w:rsid w:val="3B6705D1"/>
    <w:rsid w:val="3D5275AC"/>
    <w:rsid w:val="3EA7725F"/>
    <w:rsid w:val="400C6165"/>
    <w:rsid w:val="403F258E"/>
    <w:rsid w:val="40834692"/>
    <w:rsid w:val="40FC7F33"/>
    <w:rsid w:val="423A32B2"/>
    <w:rsid w:val="43783270"/>
    <w:rsid w:val="43B25EBB"/>
    <w:rsid w:val="44513EBA"/>
    <w:rsid w:val="44545BD0"/>
    <w:rsid w:val="460266D3"/>
    <w:rsid w:val="464B7E04"/>
    <w:rsid w:val="46901EEE"/>
    <w:rsid w:val="469C74D2"/>
    <w:rsid w:val="47445515"/>
    <w:rsid w:val="48A318C3"/>
    <w:rsid w:val="48D0687A"/>
    <w:rsid w:val="49545D4F"/>
    <w:rsid w:val="4AE51416"/>
    <w:rsid w:val="4B1B1D2C"/>
    <w:rsid w:val="4B4C0111"/>
    <w:rsid w:val="4BE23BB2"/>
    <w:rsid w:val="4C594AD5"/>
    <w:rsid w:val="4CE93907"/>
    <w:rsid w:val="4D730311"/>
    <w:rsid w:val="4DD86B79"/>
    <w:rsid w:val="50DB5F45"/>
    <w:rsid w:val="51D3642E"/>
    <w:rsid w:val="52F92565"/>
    <w:rsid w:val="53461952"/>
    <w:rsid w:val="55B45D3A"/>
    <w:rsid w:val="55B908E3"/>
    <w:rsid w:val="55DA564E"/>
    <w:rsid w:val="56E07045"/>
    <w:rsid w:val="583059FA"/>
    <w:rsid w:val="5875365A"/>
    <w:rsid w:val="587E6212"/>
    <w:rsid w:val="588669D3"/>
    <w:rsid w:val="59B92BBE"/>
    <w:rsid w:val="5AFC6609"/>
    <w:rsid w:val="5B29086E"/>
    <w:rsid w:val="5C5209B4"/>
    <w:rsid w:val="5CAF045A"/>
    <w:rsid w:val="5CED38C1"/>
    <w:rsid w:val="5D9D16F5"/>
    <w:rsid w:val="5E492F9E"/>
    <w:rsid w:val="5EDE59F8"/>
    <w:rsid w:val="5FA17648"/>
    <w:rsid w:val="605C61EC"/>
    <w:rsid w:val="613409CB"/>
    <w:rsid w:val="61A46A97"/>
    <w:rsid w:val="62460357"/>
    <w:rsid w:val="62DD7D21"/>
    <w:rsid w:val="63735F59"/>
    <w:rsid w:val="63B739A6"/>
    <w:rsid w:val="64C00764"/>
    <w:rsid w:val="65073453"/>
    <w:rsid w:val="65105FBB"/>
    <w:rsid w:val="65D97752"/>
    <w:rsid w:val="664C500C"/>
    <w:rsid w:val="6773145F"/>
    <w:rsid w:val="67DC0CF0"/>
    <w:rsid w:val="682C095B"/>
    <w:rsid w:val="68D0752D"/>
    <w:rsid w:val="68DB0208"/>
    <w:rsid w:val="69846A0E"/>
    <w:rsid w:val="69AD798C"/>
    <w:rsid w:val="69FB4F13"/>
    <w:rsid w:val="6A8C7D02"/>
    <w:rsid w:val="6B68175F"/>
    <w:rsid w:val="6B8B5C99"/>
    <w:rsid w:val="6CD43C09"/>
    <w:rsid w:val="6CDD7207"/>
    <w:rsid w:val="6E0F7A08"/>
    <w:rsid w:val="6E801ABC"/>
    <w:rsid w:val="71140714"/>
    <w:rsid w:val="713727E5"/>
    <w:rsid w:val="71473612"/>
    <w:rsid w:val="718F7F65"/>
    <w:rsid w:val="71D303FE"/>
    <w:rsid w:val="73044996"/>
    <w:rsid w:val="73181357"/>
    <w:rsid w:val="73423603"/>
    <w:rsid w:val="7386368D"/>
    <w:rsid w:val="73DE4104"/>
    <w:rsid w:val="73FB6630"/>
    <w:rsid w:val="74CE04EC"/>
    <w:rsid w:val="74E76DCD"/>
    <w:rsid w:val="74EE7C99"/>
    <w:rsid w:val="765228C7"/>
    <w:rsid w:val="76660D7C"/>
    <w:rsid w:val="770D7C9C"/>
    <w:rsid w:val="7780631D"/>
    <w:rsid w:val="778B52A7"/>
    <w:rsid w:val="77BD05A5"/>
    <w:rsid w:val="77ED6F44"/>
    <w:rsid w:val="78D67875"/>
    <w:rsid w:val="78FC6EB5"/>
    <w:rsid w:val="795A0A34"/>
    <w:rsid w:val="79FB30B5"/>
    <w:rsid w:val="7A0D3BC7"/>
    <w:rsid w:val="7A3A3CDB"/>
    <w:rsid w:val="7A743442"/>
    <w:rsid w:val="7D7A0831"/>
    <w:rsid w:val="7DE40172"/>
    <w:rsid w:val="7DE919B0"/>
    <w:rsid w:val="7EE746EF"/>
    <w:rsid w:val="7F242963"/>
    <w:rsid w:val="7FC434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9"/>
    <w:pPr>
      <w:keepNext/>
      <w:keepLines/>
      <w:widowControl w:val="0"/>
      <w:spacing w:before="260" w:after="260"/>
      <w:ind w:firstLine="200" w:firstLineChars="200"/>
      <w:jc w:val="center"/>
      <w:outlineLvl w:val="2"/>
    </w:pPr>
    <w:rPr>
      <w:rFonts w:ascii="Calibri" w:hAnsi="Calibri" w:eastAsia="黑体" w:cs="Times New Roman"/>
      <w:bCs/>
      <w:kern w:val="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6514</Words>
  <Characters>6595</Characters>
  <Lines>0</Lines>
  <Paragraphs>0</Paragraphs>
  <TotalTime>4</TotalTime>
  <ScaleCrop>false</ScaleCrop>
  <LinksUpToDate>false</LinksUpToDate>
  <CharactersWithSpaces>6606</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2025-08-19T12:31:59Z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ICV">
    <vt:lpwstr>3B3CB53E43D349399417C043CC8A2498</vt:lpwstr>
  </property>
  <property fmtid="{D5CDD505-2E9C-101B-9397-08002B2CF9AE}" pid="4" name="KSOTemplateDocerSaveRecord">
    <vt:lpwstr>eyJoZGlkIjoiMDAwYmRmZTlkODBlYWI2MWEzOGMyNWRlOTFmY2QzMTQiLCJ1c2VySWQiOiI3MDk1OTYwNjkifQ==</vt:lpwstr>
  </property>
</Properties>
</file>