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库尔勒市融媒体中心</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坚持党管意识形态、党管宣传、党管媒体，负责落实中央、自治区、自治州及市党委关于宣传思想文化工作的方针政策和决策部署，把握正确的舆论导向，提高新闻舆论传播力、引导力、影响力，巩固壮大主流思想舆论，不断提高媒体宣传质量，发挥好党和政府联系人民群众的桥梁、纽带作用，引导群众、服务群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（2）负责全市广播、电视、政府网站、手机 APP、微信公众平台、微博、抖音、今日头条等媒体平台的规划、建设、发展和管理工作，发布权威信息，关注民生民情，加强舆论引导，做好推广运营。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（3）负责打造“媒体+政务+服务”于一体的融媒体平台，为群众提供信息服务、政务服务和便民服务。负责全媒体的舆论宣传策划、采集、编辑、发布、播出及收集、归类、保存等工作。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（4）负责转播中央、区、州广播电视节目与网络视听节目，开办具有库尔勒特色的广播、电视和互联网视听节目，拍摄制作宣传库尔勒的视听节目。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（5）负责协助上级媒体单位采访，维护全市新闻舆论安全，做好对外宣传工作，展示我市良好城市形象。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（6）负责建设融媒体队伍，探索舆论宣传、媒体资产管理新机制，发展壮大全市传媒事业，提升舆论宣传引导力和服务性；负责融媒体各平台广告业务的经营、审核和播发。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（7）负责完成市委、市人民政府交办的其他任务。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库尔勒市融媒体中心2024年度，实有人数18人，其中：在职人员18人，较上年无变化；离休人员0人，较上年无变化；退休人员0人，较上年无变化；</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黑体" w:eastAsia="仿宋_GB2312" w:cs="宋体"/>
          <w:bCs/>
          <w:color w:val="auto"/>
          <w:kern w:val="0"/>
          <w:sz w:val="32"/>
          <w:szCs w:val="32"/>
          <w:highlight w:val="none"/>
        </w:rPr>
      </w:pPr>
      <w:r>
        <w:rPr>
          <w:rFonts w:ascii="仿宋_GB2312" w:eastAsia="仿宋_GB2312"/>
          <w:b w:val="0"/>
          <w:sz w:val="32"/>
          <w:szCs w:val="32"/>
        </w:rPr>
        <w:t>库尔勒市融媒体中心无下属预算单位，</w:t>
      </w:r>
      <w:r>
        <w:rPr>
          <w:rFonts w:hint="eastAsia" w:ascii="仿宋_GB2312" w:hAnsi="黑体" w:eastAsia="仿宋_GB2312" w:cs="宋体"/>
          <w:bCs/>
          <w:color w:val="auto"/>
          <w:kern w:val="0"/>
          <w:sz w:val="32"/>
          <w:szCs w:val="32"/>
          <w:highlight w:val="none"/>
        </w:rPr>
        <w:t>下设 5 个处室，分别是：综合办公室、新闻信息采集中心、编发部、总编策划部、技术中心。</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黑体" w:eastAsia="仿宋_GB2312" w:cs="宋体"/>
          <w:bCs/>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p>
    <w:p>
      <w:pPr>
        <w:widowControl/>
      </w:pP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2024年度收入总计764.05万元，其中：本年收入合计764.05万元，使用非财政拨款结余（含专用结余）0.00万元，年初结转和结余0.00万元。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2024年度支出总计764.05万元，其中：本年支出合计764.05万元，结余分配0.00万元，年末结转和结余0.00万元。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收入支出总体与上年相比，减少573.62万元，下降42.88%，主要原因是：</w:t>
      </w:r>
      <w:r>
        <w:rPr>
          <w:rFonts w:hint="eastAsia" w:ascii="仿宋_GB2312" w:eastAsia="仿宋_GB2312"/>
          <w:b w:val="0"/>
          <w:sz w:val="32"/>
          <w:szCs w:val="32"/>
        </w:rPr>
        <w:t>本年度未支付隐形债务工程款，本年收入减少</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本年收入764.05万元，其中：财政拨款收入747.32万元,占97.81%；上级补助收入0.00万元,占0.00%；事业收入0.00万元，占0.00%；经营收入0.00万元,占0.00%；附属单位上缴收入0.00万元，占0.00%；其他收入16.73万元，占2.19%。</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本年支出764.05万元，其中：基本支出648.71万元，占84.90%；项目支出115.34万元，占15.10%；上缴上级支出0.00万元，占0.00%；经营支出0.00万元，占0.00%；对附属单位补助支出0.00万元，占0.00%。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2024年度财政拨款收入总计747.32万元，其中：年初财政拨款结转和结余0.00万元，本年财政拨款收入747.32万元。财政拨款支出总计747.32万元，其中：年末财政拨款结转和结余0.00万元，本年财政拨款支出747.32万元。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财政拨款收入支出总体与上年相比，减少590.35万元，下降44.13%，主要原因是：</w:t>
      </w:r>
      <w:r>
        <w:rPr>
          <w:rFonts w:hint="eastAsia" w:ascii="仿宋_GB2312" w:eastAsia="仿宋_GB2312"/>
          <w:b w:val="0"/>
          <w:sz w:val="32"/>
          <w:szCs w:val="32"/>
        </w:rPr>
        <w:t>本年度未支付隐形债务工程款，本年收入减少</w:t>
      </w:r>
      <w:r>
        <w:rPr>
          <w:rFonts w:ascii="仿宋_GB2312" w:eastAsia="仿宋_GB2312"/>
          <w:b w:val="0"/>
          <w:sz w:val="32"/>
          <w:szCs w:val="32"/>
        </w:rPr>
        <w:t>。与年初预算相比，年初预算数766.10万元，决算数747.32万元，预决算差异率-2.45%，主要原因是：</w:t>
      </w:r>
      <w:r>
        <w:rPr>
          <w:rFonts w:hint="eastAsia" w:ascii="仿宋_GB2312" w:eastAsia="仿宋_GB2312"/>
          <w:b w:val="0"/>
          <w:sz w:val="32"/>
          <w:szCs w:val="32"/>
        </w:rPr>
        <w:t>本年度未支付隐形债务工程款，本年支出减少</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lang w:eastAsia="zh-CN"/>
        </w:rPr>
      </w:pPr>
      <w:r>
        <w:rPr>
          <w:rFonts w:ascii="仿宋_GB2312" w:eastAsia="仿宋_GB2312"/>
          <w:b w:val="0"/>
          <w:sz w:val="32"/>
          <w:szCs w:val="32"/>
        </w:rPr>
        <w:t>2024年度一般公共预算财政拨款支出747.32万元，占本年支出合计的97.81%。与上年相比，增加21.07万元，增长2.90%，主要原因是：</w:t>
      </w:r>
      <w:r>
        <w:rPr>
          <w:rFonts w:hint="eastAsia" w:ascii="仿宋_GB2312" w:eastAsia="仿宋_GB2312"/>
          <w:b w:val="0"/>
          <w:sz w:val="32"/>
          <w:szCs w:val="32"/>
          <w:lang w:val="en-US" w:eastAsia="zh-CN"/>
        </w:rPr>
        <w:t>本年度人员工资调整，社保基数及公积金基数上调，同时增加了代理记账费用</w:t>
      </w:r>
      <w:r>
        <w:rPr>
          <w:rFonts w:ascii="仿宋_GB2312" w:eastAsia="仿宋_GB2312"/>
          <w:b w:val="0"/>
          <w:sz w:val="32"/>
          <w:szCs w:val="32"/>
        </w:rPr>
        <w:t>。与年初预算相比，年初预算数766.10万元，决算数747.32万元，预决算差异率-2.45%，主要原因是：</w:t>
      </w:r>
      <w:r>
        <w:rPr>
          <w:rFonts w:hint="eastAsia" w:ascii="仿宋_GB2312" w:eastAsia="仿宋_GB2312"/>
          <w:b w:val="0"/>
          <w:sz w:val="32"/>
          <w:szCs w:val="32"/>
        </w:rPr>
        <w:t>本年度未支付隐形债务工程款，本年支出减少</w:t>
      </w:r>
      <w:r>
        <w:rPr>
          <w:rFonts w:hint="eastAsia" w:ascii="仿宋_GB2312" w:eastAsia="仿宋_GB2312"/>
          <w:b w:val="0"/>
          <w:sz w:val="32"/>
          <w:szCs w:val="32"/>
          <w:lang w:eastAsia="zh-CN"/>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文化旅游体育与传媒支出（类）747.32万元，占100.00%。</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文化旅游体育与传媒支出（类）广播电视（款）广播电视事务（项）：支出决算数为747.32万元，比上年决算增加21.07万元，增长2.90%，主要原因是：</w:t>
      </w:r>
      <w:r>
        <w:rPr>
          <w:rFonts w:hint="eastAsia" w:ascii="仿宋_GB2312" w:eastAsia="仿宋_GB2312"/>
          <w:b w:val="0"/>
          <w:sz w:val="32"/>
          <w:szCs w:val="32"/>
          <w:lang w:val="en-US" w:eastAsia="zh-CN"/>
        </w:rPr>
        <w:t>本年度人员工资调整，社保基数及公积金基数上调，同时增加了代理记账费用。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648.71万元，其中：人员经费536.09万元，包括：基本工资、津贴补贴、奖金、机关事业单位基本养老保险缴费、职工基本医疗保险缴费、其他社会保障缴费、住房公积金和其他工资福利支出。</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公用经费112.62万元，包括：办公费、水费、电费、邮电费、取暖费、差旅费、维修（护）费、培训费、劳务费、工会经费、福利费、公务用车运行维护费和其他交通费用。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2024年度财政拨款“三公”经费支出1.75万元，比上年减少0.01万元，下降0.57%，主要原因是：</w:t>
      </w:r>
      <w:r>
        <w:rPr>
          <w:rFonts w:hint="eastAsia" w:ascii="仿宋_GB2312" w:eastAsia="仿宋_GB2312"/>
          <w:color w:val="auto"/>
          <w:sz w:val="32"/>
          <w:szCs w:val="32"/>
          <w:highlight w:val="none"/>
          <w:lang w:val="zh-CN" w:eastAsia="zh-CN"/>
        </w:rPr>
        <w:t>严格控制三公经费，厉行节约</w:t>
      </w:r>
      <w:r>
        <w:rPr>
          <w:rFonts w:ascii="仿宋_GB2312" w:eastAsia="仿宋_GB2312"/>
          <w:b w:val="0"/>
          <w:sz w:val="32"/>
          <w:szCs w:val="32"/>
        </w:rPr>
        <w:t>。其中：因公出国（境）费支出0.00万元,占0.00%，与上年相比无变化，主要原因是：</w:t>
      </w:r>
      <w:r>
        <w:rPr>
          <w:rFonts w:hint="eastAsia" w:ascii="仿宋_GB2312" w:eastAsia="仿宋_GB2312"/>
          <w:color w:val="auto"/>
          <w:sz w:val="32"/>
          <w:szCs w:val="32"/>
          <w:highlight w:val="none"/>
          <w:lang w:val="zh-CN" w:eastAsia="zh-CN"/>
        </w:rPr>
        <w:t>我单位无因公出国（境）费</w:t>
      </w:r>
      <w:r>
        <w:rPr>
          <w:rFonts w:ascii="仿宋_GB2312" w:eastAsia="仿宋_GB2312"/>
          <w:b w:val="0"/>
          <w:sz w:val="32"/>
          <w:szCs w:val="32"/>
        </w:rPr>
        <w:t>；公务用车购置及运行维护费支出1.75万元，占100.00%，比上年减少0.01万元，下降0.57%，主要原因是：</w:t>
      </w:r>
      <w:r>
        <w:rPr>
          <w:rFonts w:hint="eastAsia" w:ascii="仿宋_GB2312" w:eastAsia="仿宋_GB2312"/>
          <w:b w:val="0"/>
          <w:sz w:val="32"/>
          <w:szCs w:val="32"/>
          <w:lang w:val="en-US" w:eastAsia="zh-CN"/>
        </w:rPr>
        <w:t>我单位严格控制公务用车运行维护费支出</w:t>
      </w:r>
      <w:r>
        <w:rPr>
          <w:rFonts w:ascii="仿宋_GB2312" w:eastAsia="仿宋_GB2312"/>
          <w:b w:val="0"/>
          <w:sz w:val="32"/>
          <w:szCs w:val="32"/>
        </w:rPr>
        <w:t>；公务接待费支出0.00万元，占0.00%，与上年相比无变化，主要原因是：</w:t>
      </w:r>
      <w:r>
        <w:rPr>
          <w:rFonts w:hint="eastAsia" w:ascii="仿宋_GB2312" w:eastAsia="仿宋_GB2312"/>
          <w:color w:val="auto"/>
          <w:sz w:val="32"/>
          <w:szCs w:val="32"/>
          <w:highlight w:val="none"/>
          <w:lang w:val="zh-CN" w:eastAsia="zh-CN"/>
        </w:rPr>
        <w:t>我单位无公务接待费</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w:t>
      </w:r>
      <w:r>
        <w:rPr>
          <w:rFonts w:hint="eastAsia" w:ascii="仿宋_GB2312" w:eastAsia="仿宋_GB2312"/>
          <w:color w:val="auto"/>
          <w:sz w:val="32"/>
          <w:szCs w:val="32"/>
          <w:highlight w:val="none"/>
          <w:lang w:val="zh-CN" w:eastAsia="zh-CN"/>
        </w:rPr>
        <w:t>本年度未安排因公出国（境）费支出，无开支内容</w:t>
      </w:r>
      <w:r>
        <w:rPr>
          <w:rFonts w:ascii="仿宋_GB2312" w:eastAsia="仿宋_GB2312"/>
          <w:b w:val="0"/>
          <w:sz w:val="32"/>
          <w:szCs w:val="32"/>
        </w:rPr>
        <w:t>。单位全年安排的因公出国（境）团组0个，因公出国（境）0人次。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公务用车购置及运行维护费1.75万元，其中：公务用车购置费0.00万元，公务用车运行维护费1.75万元。公务用车运行维护费开支内容包括</w:t>
      </w:r>
      <w:r>
        <w:rPr>
          <w:rFonts w:hint="eastAsia" w:ascii="仿宋_GB2312" w:eastAsia="仿宋_GB2312"/>
          <w:color w:val="auto"/>
          <w:sz w:val="32"/>
          <w:szCs w:val="32"/>
          <w:highlight w:val="none"/>
          <w:lang w:val="zh-CN" w:eastAsia="zh-CN"/>
        </w:rPr>
        <w:t>车辆保险、燃油费、维修费等</w:t>
      </w:r>
      <w:r>
        <w:rPr>
          <w:rFonts w:ascii="仿宋_GB2312" w:eastAsia="仿宋_GB2312"/>
          <w:b w:val="0"/>
          <w:sz w:val="32"/>
          <w:szCs w:val="32"/>
        </w:rPr>
        <w:t>。公务用车购置数0辆，公务用车保有量2辆。国有资产占用情况中固定资产车辆2辆，与公务用车保有量差异原因是：</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保有量无差异</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color w:val="auto"/>
          <w:sz w:val="32"/>
          <w:szCs w:val="32"/>
          <w:highlight w:val="none"/>
          <w:lang w:val="zh-CN" w:eastAsia="zh-CN"/>
        </w:rPr>
        <w:t>本年度未安排公务接待费支出，无开支内容</w:t>
      </w:r>
      <w:r>
        <w:rPr>
          <w:rFonts w:ascii="仿宋_GB2312" w:eastAsia="仿宋_GB2312"/>
          <w:b w:val="0"/>
          <w:sz w:val="32"/>
          <w:szCs w:val="32"/>
        </w:rPr>
        <w:t>。单位全年安排的国内公务接待0批次，0人次。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与全年预算相比，财政拨款“三公”经费支出全年预算数1.75万元，决算数1.75万元，预决算差异率0.00%，主要原因是：</w:t>
      </w:r>
      <w:r>
        <w:rPr>
          <w:rFonts w:hint="eastAsia" w:ascii="仿宋_GB2312" w:eastAsia="仿宋_GB2312"/>
          <w:b w:val="0"/>
          <w:sz w:val="32"/>
          <w:szCs w:val="32"/>
          <w:lang w:val="en-US" w:eastAsia="zh-CN"/>
        </w:rPr>
        <w:t>我单位严格控制公务用车运行维护费支出</w:t>
      </w:r>
      <w:r>
        <w:rPr>
          <w:rFonts w:ascii="仿宋_GB2312" w:eastAsia="仿宋_GB2312"/>
          <w:b w:val="0"/>
          <w:sz w:val="32"/>
          <w:szCs w:val="32"/>
        </w:rPr>
        <w:t>。其中：因公出国（境）费全年预算数0.00万元，决算数0.00万元，预决算差异率0.00%，主要原因是：</w:t>
      </w:r>
      <w:r>
        <w:rPr>
          <w:rFonts w:hint="eastAsia" w:ascii="仿宋_GB2312" w:eastAsia="仿宋_GB2312"/>
          <w:color w:val="auto"/>
          <w:sz w:val="32"/>
          <w:szCs w:val="32"/>
          <w:highlight w:val="none"/>
          <w:lang w:val="zh-CN" w:eastAsia="zh-CN"/>
        </w:rPr>
        <w:t>本年度未安排因公出国（境）费支出</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b w:val="0"/>
          <w:sz w:val="32"/>
          <w:szCs w:val="32"/>
          <w:lang w:val="en-US" w:eastAsia="zh-CN"/>
        </w:rPr>
        <w:t>我单位本年度未安排公务用车购置费</w:t>
      </w:r>
      <w:r>
        <w:rPr>
          <w:rFonts w:ascii="仿宋_GB2312" w:eastAsia="仿宋_GB2312"/>
          <w:b w:val="0"/>
          <w:sz w:val="32"/>
          <w:szCs w:val="32"/>
        </w:rPr>
        <w:t>。公务用车运行维护费全年预算数1.75万元，决算数1.75万元，预决算差异率0.00%，主要原因是：</w:t>
      </w:r>
      <w:r>
        <w:rPr>
          <w:rFonts w:hint="eastAsia" w:ascii="仿宋_GB2312" w:eastAsia="仿宋_GB2312"/>
          <w:b w:val="0"/>
          <w:sz w:val="32"/>
          <w:szCs w:val="32"/>
          <w:lang w:val="en-US" w:eastAsia="zh-CN"/>
        </w:rPr>
        <w:t>我单位严格控制公务用车运行维护费支出</w:t>
      </w:r>
      <w:r>
        <w:rPr>
          <w:rFonts w:ascii="仿宋_GB2312" w:eastAsia="仿宋_GB2312"/>
          <w:b w:val="0"/>
          <w:sz w:val="32"/>
          <w:szCs w:val="32"/>
        </w:rPr>
        <w:t>。公务接待费全年预算数0.00万元，决算数0.00万元，预决算差异率0.00%，主要原因是：</w:t>
      </w:r>
      <w:r>
        <w:rPr>
          <w:rFonts w:hint="eastAsia" w:ascii="仿宋_GB2312" w:eastAsia="仿宋_GB2312"/>
          <w:color w:val="auto"/>
          <w:sz w:val="32"/>
          <w:szCs w:val="32"/>
          <w:highlight w:val="none"/>
          <w:lang w:val="zh-CN" w:eastAsia="zh-CN"/>
        </w:rPr>
        <w:t>我单位无公务接待费</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2024年度公用经费支出112.62万元，比上年减少20.97万元，下降15.70%，主要原因是：</w:t>
      </w:r>
      <w:r>
        <w:rPr>
          <w:rFonts w:hint="eastAsia" w:ascii="仿宋_GB2312" w:eastAsia="仿宋_GB2312"/>
          <w:b w:val="0"/>
          <w:sz w:val="32"/>
          <w:szCs w:val="32"/>
          <w:lang w:val="en-US" w:eastAsia="zh-CN"/>
        </w:rPr>
        <w:t>本年度自聘人员辞职5人</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2024年度政府采购支出总额13.28万元，其中：政府采购货物支出2.39万元、政府采购工程支出0.00万元、政府采购服务支出10.88万元。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授予中小企业合同金额2.83万元，占政府采购支出总额的21.31%，其中：授予小微企业合同金额2.83万元，占政府采购支出总额的21.31%。</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2辆，价值15.68万元，其中：副部（省）级及以上领导用车0辆、主要负责人用车1辆、机要通信用车0辆、应急保障用车0辆、执法执勤用车0辆、特种专业技术用车0辆、离退休干部服务用车0辆、其他用车1辆，其他用车主要是：</w:t>
      </w:r>
      <w:r>
        <w:rPr>
          <w:rFonts w:hint="eastAsia" w:ascii="仿宋_GB2312" w:eastAsia="仿宋_GB2312"/>
          <w:b w:val="0"/>
          <w:sz w:val="32"/>
          <w:szCs w:val="32"/>
          <w:lang w:val="en-US" w:eastAsia="zh-CN"/>
        </w:rPr>
        <w:t>公务用车</w:t>
      </w:r>
      <w:r>
        <w:rPr>
          <w:rFonts w:ascii="仿宋_GB2312" w:eastAsia="仿宋_GB2312"/>
          <w:b w:val="0"/>
          <w:sz w:val="32"/>
          <w:szCs w:val="32"/>
        </w:rPr>
        <w:t>;单价100万元（含）以上设备（不含车辆）0台（套）。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根据预算绩效管理要求，本单位2024年度预算绩效管理形成整体支出绩效自评表1个，全年预算总额</w:t>
      </w:r>
      <w:r>
        <w:rPr>
          <w:rFonts w:hint="eastAsia" w:ascii="仿宋_GB2312" w:eastAsia="仿宋_GB2312"/>
          <w:b w:val="0"/>
          <w:sz w:val="32"/>
          <w:szCs w:val="32"/>
          <w:lang w:val="en-US" w:eastAsia="zh-CN"/>
        </w:rPr>
        <w:t>764.05</w:t>
      </w:r>
      <w:r>
        <w:rPr>
          <w:rFonts w:ascii="仿宋_GB2312" w:eastAsia="仿宋_GB2312"/>
          <w:b w:val="0"/>
          <w:sz w:val="32"/>
          <w:szCs w:val="32"/>
        </w:rPr>
        <w:t>万元，实际执行总额</w:t>
      </w:r>
      <w:r>
        <w:rPr>
          <w:rFonts w:hint="eastAsia" w:ascii="仿宋_GB2312" w:eastAsia="仿宋_GB2312"/>
          <w:b w:val="0"/>
          <w:sz w:val="32"/>
          <w:szCs w:val="32"/>
          <w:lang w:val="en-US" w:eastAsia="zh-CN"/>
        </w:rPr>
        <w:t>764.05</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1</w:t>
      </w:r>
      <w:r>
        <w:rPr>
          <w:rFonts w:ascii="仿宋_GB2312" w:eastAsia="仿宋_GB2312"/>
          <w:b w:val="0"/>
          <w:sz w:val="32"/>
          <w:szCs w:val="32"/>
        </w:rPr>
        <w:t>个，全年预算数</w:t>
      </w:r>
      <w:r>
        <w:rPr>
          <w:rFonts w:hint="eastAsia" w:ascii="仿宋_GB2312" w:eastAsia="仿宋_GB2312"/>
          <w:b w:val="0"/>
          <w:sz w:val="32"/>
          <w:szCs w:val="32"/>
          <w:lang w:val="en-US" w:eastAsia="zh-CN"/>
        </w:rPr>
        <w:t>100</w:t>
      </w:r>
      <w:r>
        <w:rPr>
          <w:rFonts w:ascii="仿宋_GB2312" w:eastAsia="仿宋_GB2312"/>
          <w:b w:val="0"/>
          <w:sz w:val="32"/>
          <w:szCs w:val="32"/>
        </w:rPr>
        <w:t>万元，全年执行数</w:t>
      </w:r>
      <w:r>
        <w:rPr>
          <w:rFonts w:hint="eastAsia" w:ascii="仿宋_GB2312" w:eastAsia="仿宋_GB2312"/>
          <w:b w:val="0"/>
          <w:sz w:val="32"/>
          <w:szCs w:val="32"/>
          <w:lang w:val="en-US" w:eastAsia="zh-CN"/>
        </w:rPr>
        <w:t>98.61</w:t>
      </w:r>
      <w:r>
        <w:rPr>
          <w:rFonts w:ascii="仿宋_GB2312" w:eastAsia="仿宋_GB2312"/>
          <w:b w:val="0"/>
          <w:sz w:val="32"/>
          <w:szCs w:val="32"/>
        </w:rPr>
        <w:t>万元。预算绩效管理取得的成效：</w:t>
      </w:r>
      <w:r>
        <w:rPr>
          <w:rFonts w:hint="eastAsia" w:ascii="仿宋_GB2312" w:eastAsia="仿宋_GB2312"/>
          <w:color w:val="auto"/>
          <w:sz w:val="32"/>
          <w:szCs w:val="32"/>
          <w:highlight w:val="none"/>
          <w:lang w:eastAsia="zh-CN"/>
        </w:rPr>
        <w:t>一是通过加强预算收支管理、不断建立健全内部管理制度、梳理内部管理流程，部门整体支出管理情况得到提升；二是严格履行政府采购程序，规范政府采购行为，加强对政府采购全流程活动的规范管理，推动政府采购相关制度贯彻落实</w:t>
      </w:r>
      <w:r>
        <w:rPr>
          <w:rFonts w:ascii="仿宋_GB2312" w:eastAsia="仿宋_GB2312"/>
          <w:b w:val="0"/>
          <w:sz w:val="32"/>
          <w:szCs w:val="32"/>
        </w:rPr>
        <w:t>。发现的问题及原因：</w:t>
      </w:r>
      <w:r>
        <w:rPr>
          <w:rFonts w:hint="eastAsia" w:ascii="仿宋_GB2312" w:eastAsia="仿宋_GB2312"/>
          <w:color w:val="auto"/>
          <w:sz w:val="32"/>
          <w:szCs w:val="32"/>
          <w:highlight w:val="none"/>
          <w:lang w:eastAsia="zh-CN"/>
        </w:rPr>
        <w:t>一是目前的预算管理在编制和实施中还存在编制不细、预算调整较多、追加预算比重较大等现象,因此项目预算执行的准确性还有待加强；二是经办机构存在工作经费紧缺，信息化建设滞后的情况</w:t>
      </w:r>
      <w:r>
        <w:rPr>
          <w:rFonts w:ascii="仿宋_GB2312" w:eastAsia="仿宋_GB2312"/>
          <w:b w:val="0"/>
          <w:sz w:val="32"/>
          <w:szCs w:val="32"/>
        </w:rPr>
        <w:t>。下一步改进措施：</w:t>
      </w:r>
      <w:r>
        <w:rPr>
          <w:rFonts w:hint="eastAsia" w:ascii="仿宋_GB2312" w:eastAsia="仿宋_GB2312"/>
          <w:color w:val="auto"/>
          <w:sz w:val="32"/>
          <w:szCs w:val="32"/>
          <w:highlight w:val="none"/>
          <w:lang w:eastAsia="zh-CN"/>
        </w:rPr>
        <w:t>一是全面编制预算项目，优先保障固定的、相对刚性的费用支出项目；二是加强与财政部门的紧密配合,开展好整体支出及项目资金绩效管理工作,运用好绩效评价的结果,不断提升预算管理水平。</w:t>
      </w:r>
      <w:r>
        <w:rPr>
          <w:rFonts w:ascii="仿宋_GB2312" w:eastAsia="仿宋_GB2312"/>
          <w:b w:val="0"/>
          <w:sz w:val="32"/>
          <w:szCs w:val="32"/>
        </w:rPr>
        <w:t>。具体附部门整体支出绩效自评表，项目支出绩效自评表和部门评价报告。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sectPr>
          <w:pgSz w:w="12240" w:h="15840"/>
          <w:pgMar w:top="1440" w:right="1800" w:bottom="1440" w:left="1800" w:header="720" w:footer="720" w:gutter="0"/>
        </w:sectPr>
      </w:pPr>
      <w:r>
        <w:rPr>
          <w:rFonts w:ascii="仿宋_GB2312" w:eastAsia="仿宋_GB2312"/>
          <w:b w:val="0"/>
          <w:sz w:val="32"/>
          <w:szCs w:val="32"/>
        </w:rPr>
        <w:t>九、《财政拨款“三公”经费支出决算表》</w:t>
      </w: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sectPr>
          <w:pgSz w:w="12240" w:h="15840"/>
          <w:pgMar w:top="1440" w:right="1800" w:bottom="1440" w:left="1800" w:header="720" w:footer="720" w:gutter="0"/>
        </w:sectPr>
      </w:pPr>
      <w:r>
        <w:drawing>
          <wp:anchor distT="0" distB="0" distL="114300" distR="114300" simplePos="0" relativeHeight="251660288" behindDoc="0" locked="0" layoutInCell="1" allowOverlap="1">
            <wp:simplePos x="0" y="0"/>
            <wp:positionH relativeFrom="column">
              <wp:posOffset>-216535</wp:posOffset>
            </wp:positionH>
            <wp:positionV relativeFrom="paragraph">
              <wp:posOffset>262255</wp:posOffset>
            </wp:positionV>
            <wp:extent cx="6031230" cy="6751320"/>
            <wp:effectExtent l="0" t="0" r="7620" b="11430"/>
            <wp:wrapSquare wrapText="bothSides"/>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5"/>
                    <a:stretch>
                      <a:fillRect/>
                    </a:stretch>
                  </pic:blipFill>
                  <pic:spPr>
                    <a:xfrm>
                      <a:off x="0" y="0"/>
                      <a:ext cx="6031230" cy="675132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sectPr>
          <w:pgSz w:w="12240" w:h="15840"/>
          <w:pgMar w:top="1440" w:right="1800" w:bottom="1440" w:left="1800" w:header="720" w:footer="720" w:gutter="0"/>
        </w:sectPr>
      </w:pPr>
      <w:r>
        <w:drawing>
          <wp:anchor distT="0" distB="0" distL="114300" distR="114300" simplePos="0" relativeHeight="251661312" behindDoc="0" locked="0" layoutInCell="1" allowOverlap="1">
            <wp:simplePos x="0" y="0"/>
            <wp:positionH relativeFrom="column">
              <wp:posOffset>-272415</wp:posOffset>
            </wp:positionH>
            <wp:positionV relativeFrom="paragraph">
              <wp:posOffset>442595</wp:posOffset>
            </wp:positionV>
            <wp:extent cx="6195060" cy="4216400"/>
            <wp:effectExtent l="0" t="0" r="15240" b="12700"/>
            <wp:wrapSquare wrapText="bothSides"/>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6"/>
                    <a:stretch>
                      <a:fillRect/>
                    </a:stretch>
                  </pic:blipFill>
                  <pic:spPr>
                    <a:xfrm>
                      <a:off x="0" y="0"/>
                      <a:ext cx="6195060" cy="421640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sectPr>
          <w:pgSz w:w="12240" w:h="15840"/>
          <w:pgMar w:top="1440" w:right="1800" w:bottom="1440" w:left="1800" w:header="720" w:footer="720" w:gutter="0"/>
        </w:sectPr>
      </w:pPr>
      <w:r>
        <w:drawing>
          <wp:anchor distT="0" distB="0" distL="114300" distR="114300" simplePos="0" relativeHeight="251662336" behindDoc="0" locked="0" layoutInCell="1" allowOverlap="1">
            <wp:simplePos x="0" y="0"/>
            <wp:positionH relativeFrom="column">
              <wp:posOffset>-50165</wp:posOffset>
            </wp:positionH>
            <wp:positionV relativeFrom="paragraph">
              <wp:posOffset>304165</wp:posOffset>
            </wp:positionV>
            <wp:extent cx="5716270" cy="4237990"/>
            <wp:effectExtent l="0" t="0" r="17780" b="10160"/>
            <wp:wrapSquare wrapText="bothSides"/>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7"/>
                    <a:stretch>
                      <a:fillRect/>
                    </a:stretch>
                  </pic:blipFill>
                  <pic:spPr>
                    <a:xfrm>
                      <a:off x="0" y="0"/>
                      <a:ext cx="5716270" cy="423799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sectPr>
          <w:pgSz w:w="12240" w:h="15840"/>
          <w:pgMar w:top="1440" w:right="1800" w:bottom="1440" w:left="1800" w:header="720" w:footer="720" w:gutter="0"/>
        </w:sectPr>
      </w:pPr>
      <w:r>
        <w:drawing>
          <wp:anchor distT="0" distB="0" distL="114300" distR="114300" simplePos="0" relativeHeight="251663360" behindDoc="0" locked="0" layoutInCell="1" allowOverlap="1">
            <wp:simplePos x="0" y="0"/>
            <wp:positionH relativeFrom="column">
              <wp:posOffset>-91440</wp:posOffset>
            </wp:positionH>
            <wp:positionV relativeFrom="paragraph">
              <wp:posOffset>331470</wp:posOffset>
            </wp:positionV>
            <wp:extent cx="5925820" cy="6302375"/>
            <wp:effectExtent l="0" t="0" r="17780" b="3175"/>
            <wp:wrapSquare wrapText="bothSides"/>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pic:cNvPicPr>
                  </pic:nvPicPr>
                  <pic:blipFill>
                    <a:blip r:embed="rId8"/>
                    <a:stretch>
                      <a:fillRect/>
                    </a:stretch>
                  </pic:blipFill>
                  <pic:spPr>
                    <a:xfrm>
                      <a:off x="0" y="0"/>
                      <a:ext cx="5925820" cy="6302375"/>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sectPr>
          <w:pgSz w:w="12240" w:h="15840"/>
          <w:pgMar w:top="1440" w:right="1800" w:bottom="1440" w:left="1800" w:header="720" w:footer="720" w:gutter="0"/>
        </w:sectPr>
      </w:pPr>
      <w:r>
        <w:drawing>
          <wp:anchor distT="0" distB="0" distL="114300" distR="114300" simplePos="0" relativeHeight="251664384" behindDoc="0" locked="0" layoutInCell="1" allowOverlap="1">
            <wp:simplePos x="0" y="0"/>
            <wp:positionH relativeFrom="column">
              <wp:posOffset>-188595</wp:posOffset>
            </wp:positionH>
            <wp:positionV relativeFrom="paragraph">
              <wp:posOffset>316865</wp:posOffset>
            </wp:positionV>
            <wp:extent cx="5940425" cy="4605655"/>
            <wp:effectExtent l="0" t="0" r="3175" b="4445"/>
            <wp:wrapSquare wrapText="bothSides"/>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pic:cNvPicPr>
                      <a:picLocks noChangeAspect="1"/>
                    </pic:cNvPicPr>
                  </pic:nvPicPr>
                  <pic:blipFill>
                    <a:blip r:embed="rId9"/>
                    <a:stretch>
                      <a:fillRect/>
                    </a:stretch>
                  </pic:blipFill>
                  <pic:spPr>
                    <a:xfrm>
                      <a:off x="0" y="0"/>
                      <a:ext cx="5940425" cy="4605655"/>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sectPr>
          <w:pgSz w:w="12240" w:h="15840"/>
          <w:pgMar w:top="1440" w:right="1800" w:bottom="1440" w:left="1800" w:header="720" w:footer="720" w:gutter="0"/>
        </w:sectPr>
      </w:pPr>
      <w:r>
        <w:drawing>
          <wp:anchor distT="0" distB="0" distL="114300" distR="114300" simplePos="0" relativeHeight="251665408" behindDoc="0" locked="0" layoutInCell="1" allowOverlap="1">
            <wp:simplePos x="0" y="0"/>
            <wp:positionH relativeFrom="column">
              <wp:posOffset>-202565</wp:posOffset>
            </wp:positionH>
            <wp:positionV relativeFrom="paragraph">
              <wp:posOffset>496570</wp:posOffset>
            </wp:positionV>
            <wp:extent cx="6144260" cy="6492875"/>
            <wp:effectExtent l="0" t="0" r="8890" b="3175"/>
            <wp:wrapSquare wrapText="bothSides"/>
            <wp:docPr id="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
                    <pic:cNvPicPr>
                      <a:picLocks noChangeAspect="1"/>
                    </pic:cNvPicPr>
                  </pic:nvPicPr>
                  <pic:blipFill>
                    <a:blip r:embed="rId10"/>
                    <a:stretch>
                      <a:fillRect/>
                    </a:stretch>
                  </pic:blipFill>
                  <pic:spPr>
                    <a:xfrm>
                      <a:off x="0" y="0"/>
                      <a:ext cx="6144260" cy="6492875"/>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sectPr>
          <w:pgSz w:w="12240" w:h="15840"/>
          <w:pgMar w:top="1440" w:right="1800" w:bottom="1440" w:left="1800" w:header="720" w:footer="720" w:gutter="0"/>
        </w:sectPr>
      </w:pPr>
      <w:r>
        <w:drawing>
          <wp:anchor distT="0" distB="0" distL="114300" distR="114300" simplePos="0" relativeHeight="251666432" behindDoc="0" locked="0" layoutInCell="1" allowOverlap="1">
            <wp:simplePos x="0" y="0"/>
            <wp:positionH relativeFrom="column">
              <wp:posOffset>-133985</wp:posOffset>
            </wp:positionH>
            <wp:positionV relativeFrom="paragraph">
              <wp:posOffset>593725</wp:posOffset>
            </wp:positionV>
            <wp:extent cx="5842000" cy="3843655"/>
            <wp:effectExtent l="0" t="0" r="6350" b="4445"/>
            <wp:wrapSquare wrapText="bothSides"/>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
                    <pic:cNvPicPr>
                      <a:picLocks noChangeAspect="1"/>
                    </pic:cNvPicPr>
                  </pic:nvPicPr>
                  <pic:blipFill>
                    <a:blip r:embed="rId11"/>
                    <a:stretch>
                      <a:fillRect/>
                    </a:stretch>
                  </pic:blipFill>
                  <pic:spPr>
                    <a:xfrm>
                      <a:off x="0" y="0"/>
                      <a:ext cx="5842000" cy="3843655"/>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sectPr>
          <w:pgSz w:w="12240" w:h="15840"/>
          <w:pgMar w:top="1440" w:right="1800" w:bottom="1440" w:left="1800" w:header="720" w:footer="720" w:gutter="0"/>
        </w:sectPr>
      </w:pPr>
      <w:r>
        <w:drawing>
          <wp:anchor distT="0" distB="0" distL="114300" distR="114300" simplePos="0" relativeHeight="251667456" behindDoc="0" locked="0" layoutInCell="1" allowOverlap="1">
            <wp:simplePos x="0" y="0"/>
            <wp:positionH relativeFrom="column">
              <wp:posOffset>-201930</wp:posOffset>
            </wp:positionH>
            <wp:positionV relativeFrom="paragraph">
              <wp:posOffset>510540</wp:posOffset>
            </wp:positionV>
            <wp:extent cx="5951855" cy="4191000"/>
            <wp:effectExtent l="0" t="0" r="10795" b="0"/>
            <wp:wrapSquare wrapText="bothSides"/>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8"/>
                    <pic:cNvPicPr>
                      <a:picLocks noChangeAspect="1"/>
                    </pic:cNvPicPr>
                  </pic:nvPicPr>
                  <pic:blipFill>
                    <a:blip r:embed="rId12"/>
                    <a:stretch>
                      <a:fillRect/>
                    </a:stretch>
                  </pic:blipFill>
                  <pic:spPr>
                    <a:xfrm>
                      <a:off x="0" y="0"/>
                      <a:ext cx="5951855" cy="4191000"/>
                    </a:xfrm>
                    <a:prstGeom prst="rect">
                      <a:avLst/>
                    </a:prstGeom>
                    <a:noFill/>
                    <a:ln>
                      <a:noFill/>
                    </a:ln>
                  </pic:spPr>
                </pic:pic>
              </a:graphicData>
            </a:graphic>
          </wp:anchor>
        </w:drawing>
      </w:r>
    </w:p>
    <w:p>
      <w:pPr>
        <w:widowControl/>
        <w:spacing w:before="0" w:beforeLines="0" w:beforeAutospacing="0" w:after="0" w:afterLines="0" w:afterAutospacing="0" w:line="240" w:lineRule="auto"/>
        <w:ind w:firstLine="420" w:firstLineChars="200"/>
        <w:jc w:val="left"/>
        <w:outlineLvl w:val="1"/>
        <w:rPr>
          <w:rFonts w:ascii="仿宋_GB2312" w:eastAsia="仿宋_GB2312"/>
          <w:b w:val="0"/>
          <w:sz w:val="32"/>
          <w:szCs w:val="32"/>
        </w:rPr>
      </w:pPr>
      <w:bookmarkStart w:id="0" w:name="_GoBack"/>
      <w:r>
        <w:drawing>
          <wp:anchor distT="0" distB="0" distL="114300" distR="114300" simplePos="0" relativeHeight="251668480" behindDoc="0" locked="0" layoutInCell="1" allowOverlap="1">
            <wp:simplePos x="0" y="0"/>
            <wp:positionH relativeFrom="column">
              <wp:posOffset>-104140</wp:posOffset>
            </wp:positionH>
            <wp:positionV relativeFrom="paragraph">
              <wp:posOffset>704850</wp:posOffset>
            </wp:positionV>
            <wp:extent cx="5888990" cy="3702050"/>
            <wp:effectExtent l="0" t="0" r="16510" b="12700"/>
            <wp:wrapSquare wrapText="bothSides"/>
            <wp:docPr id="1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
                    <pic:cNvPicPr>
                      <a:picLocks noChangeAspect="1"/>
                    </pic:cNvPicPr>
                  </pic:nvPicPr>
                  <pic:blipFill>
                    <a:blip r:embed="rId13"/>
                    <a:stretch>
                      <a:fillRect/>
                    </a:stretch>
                  </pic:blipFill>
                  <pic:spPr>
                    <a:xfrm>
                      <a:off x="0" y="0"/>
                      <a:ext cx="5888990" cy="3702050"/>
                    </a:xfrm>
                    <a:prstGeom prst="rect">
                      <a:avLst/>
                    </a:prstGeom>
                    <a:noFill/>
                    <a:ln>
                      <a:noFill/>
                    </a:ln>
                  </pic:spPr>
                </pic:pic>
              </a:graphicData>
            </a:graphic>
          </wp:anchor>
        </w:drawing>
      </w:r>
      <w:bookmarkEnd w:id="0"/>
    </w:p>
    <w:sectPr>
      <w:pgSz w:w="12240" w:h="15840"/>
      <w:pgMar w:top="1440" w:right="1800" w:bottom="1440" w:left="180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文本框 1" o:spid="_x0000_s2050"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path/>
          <v:fill on="f" focussize="0,0"/>
          <v:stroke on="f"/>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documentProtection w:enforcement="0"/>
  <w:hdrShapeDefaults>
    <o:shapelayout v:ext="edit">
      <o:idmap v:ext="edit" data="2"/>
    </o:shapelayout>
  </w:hdrShapeDefaults>
  <w:compat>
    <w:useFELayout/>
    <w:splitPgBreakAndParaMark/>
    <w:compatSetting w:name="compatibilityMode" w:uri="http://schemas.microsoft.com/office/word" w:val="12"/>
  </w:compat>
  <w:rsids>
    <w:rsidRoot w:val="00000000"/>
    <w:rsid w:val="16A5484A"/>
    <w:rsid w:val="35181E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5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2025-08-15T03:04:00Z</dcterms:created>
  <dc:creator>Administrator</dc:creator>
  <cp:lastModifiedBy>Administrator</cp:lastModifiedBy>
  <dcterms:modified xsi:type="dcterms:W3CDTF">2025-08-20T04:39:30Z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