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中共库尔勒市委员会宣传部</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rPr>
      </w:pPr>
      <w:r>
        <w:rPr>
          <w:rFonts w:hint="eastAsia" w:ascii="仿宋_GB2312" w:eastAsia="仿宋_GB2312"/>
          <w:sz w:val="32"/>
          <w:szCs w:val="32"/>
        </w:rPr>
        <w:t>1、拟订宣传思想文化工作重大方针政策和事业发展总体规划，按照市党委统一部署，协调宣传思想文化系统各部门之间的工作。</w:t>
      </w:r>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rPr>
      </w:pPr>
      <w:r>
        <w:rPr>
          <w:rFonts w:hint="eastAsia" w:ascii="仿宋_GB2312" w:eastAsia="仿宋_GB2312"/>
          <w:sz w:val="32"/>
          <w:szCs w:val="32"/>
        </w:rPr>
        <w:t>2、统筹指导协调全市理论研究、理论学习、理论宣传工作，组织推动理论武装工作。</w:t>
      </w:r>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rPr>
      </w:pPr>
      <w:r>
        <w:rPr>
          <w:rFonts w:hint="eastAsia" w:ascii="仿宋_GB2312" w:eastAsia="仿宋_GB2312"/>
          <w:sz w:val="32"/>
          <w:szCs w:val="32"/>
        </w:rPr>
        <w:t>3、负责规划组织领导全市思想政治工作和群众性精神文明建设活动；配合市党委组织部做好党员教育工作；会同有关部门研究和改进群众思想教育工作。会同有关部门组织全市国防教育工作。</w:t>
      </w:r>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rPr>
      </w:pPr>
      <w:r>
        <w:rPr>
          <w:rFonts w:hint="eastAsia" w:ascii="仿宋_GB2312" w:eastAsia="仿宋_GB2312"/>
          <w:sz w:val="32"/>
          <w:szCs w:val="32"/>
        </w:rPr>
        <w:t>4、管理新闻出版行政事务，组织协调有关行政审批工作，监督管理出版物内容和质量。组织指导协调全市“扫黄打非”工作。</w:t>
      </w:r>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rPr>
      </w:pPr>
      <w:r>
        <w:rPr>
          <w:rFonts w:hint="eastAsia" w:ascii="仿宋_GB2312" w:eastAsia="仿宋_GB2312"/>
          <w:sz w:val="32"/>
          <w:szCs w:val="32"/>
        </w:rPr>
        <w:t>5、负责组织实施库尔勒市精神文明建设规划、协调、指导、创建工作，负责规划和统筹协调库尔勒市未成年人思想道德建设工作。统筹指导协调推动精神文化产品的创作和生产，协调组织中华优秀传统文化传承发展有关工作，指导协调推动群众文化建设。</w:t>
      </w:r>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rPr>
      </w:pPr>
      <w:r>
        <w:rPr>
          <w:rFonts w:hint="eastAsia" w:ascii="仿宋_GB2312" w:eastAsia="仿宋_GB2312"/>
          <w:sz w:val="32"/>
          <w:szCs w:val="32"/>
        </w:rPr>
        <w:t>6、负责管理电影行政事务，指导监管电影制片、发行放映工作，指导协调全市性重大电影活动。</w:t>
      </w:r>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rPr>
      </w:pPr>
      <w:r>
        <w:rPr>
          <w:rFonts w:hint="eastAsia" w:ascii="仿宋_GB2312" w:eastAsia="仿宋_GB2312"/>
          <w:sz w:val="32"/>
          <w:szCs w:val="32"/>
        </w:rPr>
        <w:t>7、统筹协调对外宣传工作，指导协调有关部门研究拟订对外宣传工作战略、重大方针政策和对外宣传事业发展总体规划。受市党委委托代管库尔勒市社科联、库尔勒市文联。</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sz w:val="32"/>
          <w:szCs w:val="32"/>
        </w:rPr>
        <w:t>8、完成市党委、市人民政府交办的其他任务。</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中共库尔勒市委员会宣传部2024年度，实有人数35人，其中：在职人员23人，减少2人；离休人员0人，较上年无变化；退休人员12人，增加1人。</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中共库尔勒市委员会宣传部无下属预算单位，</w:t>
      </w:r>
      <w:r>
        <w:rPr>
          <w:rFonts w:hint="eastAsia" w:ascii="仿宋_GB2312" w:eastAsia="仿宋_GB2312"/>
          <w:b w:val="0"/>
          <w:sz w:val="32"/>
          <w:szCs w:val="32"/>
        </w:rPr>
        <w:t>下设 4 个处室，分别是：办公室、政策法规和理论研究室、意识形态工作和舆情信息室、公民道德建设和文明创建室（未成年人思想道德建设股）</w:t>
      </w:r>
      <w:r>
        <w:rPr>
          <w:rFonts w:ascii="仿宋_GB2312" w:eastAsia="仿宋_GB2312"/>
          <w:b w:val="0"/>
          <w:sz w:val="32"/>
          <w:szCs w:val="32"/>
        </w:rPr>
        <w:t>。</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2024年度收入总计606.16万元，其中：本年收入合计606.16万元，使用非财政拨款结余（含专用结余）0.00万元，年初结转和结余0.00万元。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2024年度支出总计606.16万元，其中：本年支出合计606.16万元，结余分配0.00万元，年末结转和结余0.00万元。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收入支出总体与上年相比，增加96.43万元，增长18.92%，主要原因是：</w:t>
      </w:r>
      <w:r>
        <w:rPr>
          <w:rFonts w:hint="eastAsia" w:ascii="仿宋_GB2312" w:eastAsia="仿宋_GB2312"/>
          <w:b w:val="0"/>
          <w:sz w:val="32"/>
          <w:szCs w:val="32"/>
          <w:lang w:val="en-US" w:eastAsia="zh-CN"/>
        </w:rPr>
        <w:t>援疆资金项目增加、</w:t>
      </w:r>
      <w:r>
        <w:rPr>
          <w:rFonts w:hint="eastAsia" w:ascii="仿宋_GB2312" w:eastAsia="仿宋_GB2312"/>
          <w:b w:val="0"/>
          <w:sz w:val="32"/>
          <w:szCs w:val="32"/>
        </w:rPr>
        <w:t>人员工资增长，社保、公积金基数调增，人员经费增加</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本年收入606.16万元，其中：财政拨款收入549.48万元,占90.65%；上级补助收入0.00万元,占0.00%；事业收入0.00万元，占0.00%；经营收入0.00万元,占0.00%；附属单位上缴收入0.00万元，占0.00%；其他收入56.68万元，占9.35%。</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本年支出606.16万元，其中：基本支出375.22万元，占61.90%；项目支出230.94万元，占38.10%；上缴上级支出0.00万元，占0.00%；经营支出0.00万元，占0.00%；对附属单位补助支出0.00万元，占0.00%。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2024年度财政拨款收入总计549.48万元，其中：年初财政拨款结转和结余0.00万元，本年财政拨款收入549.48万元。财政拨款支出总计549.48万元，其中：年末财政拨款结转和结余0.00万元，本年财政拨款支出549.48万元。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财政拨款收入支出总体与上年相比，增加58.61万元，增长11.94%，主要原因是：</w:t>
      </w:r>
      <w:r>
        <w:rPr>
          <w:rFonts w:hint="eastAsia" w:ascii="仿宋_GB2312" w:eastAsia="仿宋_GB2312"/>
          <w:b w:val="0"/>
          <w:sz w:val="32"/>
          <w:szCs w:val="32"/>
          <w:lang w:val="en-US" w:eastAsia="zh-CN"/>
        </w:rPr>
        <w:t>援疆资金项目增加、</w:t>
      </w:r>
      <w:r>
        <w:rPr>
          <w:rFonts w:hint="eastAsia" w:ascii="仿宋_GB2312" w:eastAsia="仿宋_GB2312"/>
          <w:b w:val="0"/>
          <w:sz w:val="32"/>
          <w:szCs w:val="32"/>
        </w:rPr>
        <w:t>人员工资增长，社保、公积金基数调增，人员经费增加</w:t>
      </w:r>
      <w:r>
        <w:rPr>
          <w:rFonts w:ascii="仿宋_GB2312" w:eastAsia="仿宋_GB2312"/>
          <w:b w:val="0"/>
          <w:sz w:val="32"/>
          <w:szCs w:val="32"/>
        </w:rPr>
        <w:t>。与年初预算相比，年初预算数523.16万元，决算数549.48万元，预决算差异率5.03%，主要原因是：</w:t>
      </w:r>
      <w:r>
        <w:rPr>
          <w:rFonts w:hint="eastAsia" w:ascii="仿宋_GB2312" w:eastAsia="仿宋_GB2312"/>
          <w:b w:val="0"/>
          <w:sz w:val="32"/>
          <w:szCs w:val="32"/>
          <w:lang w:val="en-US" w:eastAsia="zh-CN"/>
        </w:rPr>
        <w:t>援疆资金项目增加</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2024年度一般公共预算财政拨款支出549.48万元，占本年支出合计的90.65%。与上年相比，增加58.61万元，增长11.94%，主要原因是：</w:t>
      </w:r>
      <w:r>
        <w:rPr>
          <w:rFonts w:hint="eastAsia" w:ascii="仿宋_GB2312" w:eastAsia="仿宋_GB2312"/>
          <w:b w:val="0"/>
          <w:sz w:val="32"/>
          <w:szCs w:val="32"/>
          <w:lang w:val="en-US" w:eastAsia="zh-CN"/>
        </w:rPr>
        <w:t>援疆资金项目增加、</w:t>
      </w:r>
      <w:r>
        <w:rPr>
          <w:rFonts w:hint="eastAsia" w:ascii="仿宋_GB2312" w:eastAsia="仿宋_GB2312"/>
          <w:b w:val="0"/>
          <w:sz w:val="32"/>
          <w:szCs w:val="32"/>
        </w:rPr>
        <w:t>人员工资增长，社保、公积金基数调增，人员经费增加</w:t>
      </w:r>
      <w:r>
        <w:rPr>
          <w:rFonts w:ascii="仿宋_GB2312" w:eastAsia="仿宋_GB2312"/>
          <w:b w:val="0"/>
          <w:sz w:val="32"/>
          <w:szCs w:val="32"/>
        </w:rPr>
        <w:t>。与年初预算相比，年初预算数523.16万元，决算数549.48万元，预决算差异率5.03%，主要原因是：</w:t>
      </w:r>
      <w:r>
        <w:rPr>
          <w:rFonts w:hint="eastAsia" w:ascii="仿宋_GB2312" w:eastAsia="仿宋_GB2312"/>
          <w:b w:val="0"/>
          <w:sz w:val="32"/>
          <w:szCs w:val="32"/>
          <w:lang w:val="en-US" w:eastAsia="zh-CN"/>
        </w:rPr>
        <w:t>援疆资金项目增加</w:t>
      </w:r>
      <w:r>
        <w:rPr>
          <w:rFonts w:ascii="仿宋_GB2312" w:eastAsia="仿宋_GB2312"/>
          <w:b w:val="0"/>
          <w:sz w:val="32"/>
          <w:szCs w:val="32"/>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一般公共服务支出（类）329.78万元，占60.02%。</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教育支出（类）1.73万元，占0.31%。</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文化旅游体育与传媒支出（类）7.56万元，占1.38%。</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社会保障和就业支出（类）44.74万元，占8.14%。</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卫生健康支出（类）21.54万元，占3.92%。</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住房保障支出（类）27.95万元，占5.09%。</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其他支出（类）116.19万元，占21.15%。</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（三）一般公共预算财政拨款支出决算具体情况</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一般公共服务支出（类）宣传事务（款）行政运行（项）：支出决算数为269.39万元，比上年决算减少52.97万元，下降16.43%，主要原因是：</w:t>
      </w:r>
      <w:r>
        <w:rPr>
          <w:rFonts w:hint="eastAsia" w:ascii="仿宋_GB2312" w:eastAsia="仿宋_GB2312"/>
          <w:b w:val="0"/>
          <w:sz w:val="32"/>
          <w:szCs w:val="32"/>
          <w:lang w:val="en-US" w:eastAsia="zh-CN"/>
        </w:rPr>
        <w:t>人员减少，相应经费减少。</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一般公共服务支出（类）宣传事务（款）其他宣传事务支出（项）：支出决算数为60.39万元，比上年决算增加12.45万元，增长25.97%，主要原因是：</w:t>
      </w:r>
      <w:r>
        <w:rPr>
          <w:rFonts w:hint="eastAsia" w:ascii="仿宋_GB2312" w:eastAsia="仿宋_GB2312"/>
          <w:b w:val="0"/>
          <w:sz w:val="32"/>
          <w:szCs w:val="32"/>
          <w:lang w:val="en-US" w:eastAsia="zh-CN"/>
        </w:rPr>
        <w:t>本年援疆资金项目增加。</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教育支出（类）进修及培训（款）培训支出（项）：支出决算数为1.73万元，比上年决算减少0.29万元，下降14.36%，主要原因是：</w:t>
      </w:r>
      <w:r>
        <w:rPr>
          <w:rFonts w:hint="eastAsia" w:ascii="仿宋_GB2312" w:eastAsia="仿宋_GB2312"/>
          <w:b w:val="0"/>
          <w:sz w:val="32"/>
          <w:szCs w:val="32"/>
          <w:lang w:val="en-US" w:eastAsia="zh-CN"/>
        </w:rPr>
        <w:t>本年单位职工外出培训次数减少。</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文化旅游体育与传媒支出（类）其他文化旅游体育与传媒支出（款）其他文化旅游体育与传媒支出（项）：支出决算数为7.56万元，比上年决算减少9.59万元，下降55.92%，主要原因是：</w:t>
      </w:r>
      <w:r>
        <w:rPr>
          <w:rFonts w:hint="eastAsia" w:ascii="仿宋_GB2312" w:eastAsia="仿宋_GB2312"/>
          <w:b w:val="0"/>
          <w:sz w:val="32"/>
          <w:szCs w:val="32"/>
          <w:lang w:val="en-US" w:eastAsia="zh-CN"/>
        </w:rPr>
        <w:t>本年文化安全补助减少。</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社会保障和就业支出（类）行政事业单位养老支出（款）行政单位离退休（项）：支出决算数为9.60万元，比上年决算增加2.59万元，增长36.95%，主要原因是：</w:t>
      </w:r>
      <w:r>
        <w:rPr>
          <w:rFonts w:hint="eastAsia" w:ascii="仿宋_GB2312" w:eastAsia="仿宋_GB2312"/>
          <w:b w:val="0"/>
          <w:sz w:val="32"/>
          <w:szCs w:val="32"/>
          <w:lang w:val="en-US" w:eastAsia="zh-CN"/>
        </w:rPr>
        <w:t>本年退休人员增加，相应退休费增加。</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社会保障和就业支出（类）行政事业单位养老支出（款）机关事业单位基本养老保险缴费支出（项）：支出决算数为35.14万元，比上年决算减少0.71万元，下降1.98%，主要原因是：</w:t>
      </w:r>
      <w:r>
        <w:rPr>
          <w:rFonts w:hint="eastAsia" w:ascii="仿宋_GB2312" w:eastAsia="仿宋_GB2312"/>
          <w:b w:val="0"/>
          <w:sz w:val="32"/>
          <w:szCs w:val="32"/>
          <w:lang w:val="en-US" w:eastAsia="zh-CN"/>
        </w:rPr>
        <w:t>在职人员减少。</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社会保障和就业支出（类）行政事业单位养老支出（款）机关事业单位职业年金缴费支出（项）：支出决算数为0.00万元，比上年决算减少6.62万元，下降100.00%，主要原因是：</w:t>
      </w:r>
      <w:r>
        <w:rPr>
          <w:rFonts w:hint="eastAsia" w:ascii="仿宋_GB2312" w:eastAsia="仿宋_GB2312"/>
          <w:b w:val="0"/>
          <w:sz w:val="32"/>
          <w:szCs w:val="32"/>
          <w:lang w:val="en-US" w:eastAsia="zh-CN"/>
        </w:rPr>
        <w:t>本年列入行政运行科目里。</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卫生健康支出（类）行政事业单位医疗（款）行政单位医疗（项）：支出决算数为16.05万元，比上年决算减少2.93万元，下降15.44%，主要原因是：</w:t>
      </w:r>
      <w:r>
        <w:rPr>
          <w:rFonts w:hint="eastAsia" w:ascii="仿宋_GB2312" w:eastAsia="仿宋_GB2312"/>
          <w:b w:val="0"/>
          <w:sz w:val="32"/>
          <w:szCs w:val="32"/>
          <w:lang w:val="en-US" w:eastAsia="zh-CN"/>
        </w:rPr>
        <w:t>在职人员减少。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卫生健康支出（类）行政事业单位医疗（款）公务员医疗补助（项）：支出决算数为5.49万元，比上年决算减少0.06万元，下降1.08%，主要原因是：</w:t>
      </w:r>
      <w:r>
        <w:rPr>
          <w:rFonts w:hint="eastAsia" w:ascii="仿宋_GB2312" w:eastAsia="仿宋_GB2312"/>
          <w:b w:val="0"/>
          <w:sz w:val="32"/>
          <w:szCs w:val="32"/>
          <w:lang w:val="en-US" w:eastAsia="zh-CN"/>
        </w:rPr>
        <w:t>在职人员减少。</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住房保障支出（类）住房改革支出（款）住房公积金（项）：支出决算数为27.95万元，比上年决算增加0.57万元，增长2.08%，主要原因是：</w:t>
      </w:r>
      <w:r>
        <w:rPr>
          <w:rFonts w:hint="eastAsia" w:ascii="仿宋_GB2312" w:eastAsia="仿宋_GB2312"/>
          <w:b w:val="0"/>
          <w:sz w:val="32"/>
          <w:szCs w:val="32"/>
          <w:lang w:val="en-US" w:eastAsia="zh-CN"/>
        </w:rPr>
        <w:t>公积金基数调增。</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其他支出（类）其他支出（款）其他支出（项）：支出决算数为116.19万元，比上年决算增加116.19万元，增长100.00%，主要原因是：</w:t>
      </w:r>
      <w:r>
        <w:rPr>
          <w:rFonts w:hint="eastAsia" w:ascii="仿宋_GB2312" w:eastAsia="仿宋_GB2312"/>
          <w:b w:val="0"/>
          <w:sz w:val="32"/>
          <w:szCs w:val="32"/>
          <w:lang w:val="en-US" w:eastAsia="zh-CN"/>
        </w:rPr>
        <w:t>本年我单位负责中秋晚会相关开支。</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375.22万元，其中：人员经费349.06万元，包括：基本工资、津贴补贴、奖金、机关事业单位基本养老保险缴费、职工基本医疗保险缴费、公务员医疗补助缴费、其他社会保障缴费、住房公积金和退休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公用经费26.16万元，包括：办公费、差旅费、培训费、委托业务费、工会经费、公务用车运行维护费和其他交通费用。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2024年度财政拨款“三公”经费支出4.69万元，与上年相比无变化，</w:t>
      </w:r>
      <w:r>
        <w:rPr>
          <w:rFonts w:hint="eastAsia" w:ascii="仿宋_GB2312" w:eastAsia="仿宋_GB2312"/>
          <w:b w:val="0"/>
          <w:sz w:val="32"/>
          <w:szCs w:val="32"/>
        </w:rPr>
        <w:t>主要原因是：严格控制三公经费，厉行节约，与上年一致无变化。其中：因公出国（境）费支出0.00万元，占0.00%，比上年增加0.00万元，增长0.00%,主要原因是：我单位无因公出国（境）费；</w:t>
      </w:r>
      <w:r>
        <w:rPr>
          <w:rFonts w:ascii="仿宋_GB2312" w:eastAsia="仿宋_GB2312"/>
          <w:b w:val="0"/>
          <w:sz w:val="32"/>
          <w:szCs w:val="32"/>
        </w:rPr>
        <w:t>公务用车购置及运行维护费支出4.69万元，占100.00%，与上年相比无变化，</w:t>
      </w:r>
      <w:r>
        <w:rPr>
          <w:rFonts w:hint="eastAsia" w:ascii="仿宋_GB2312" w:eastAsia="仿宋_GB2312"/>
          <w:b w:val="0"/>
          <w:sz w:val="32"/>
          <w:szCs w:val="32"/>
        </w:rPr>
        <w:t>主要原因是：严格控制三公经费，厉行节约，与上年一致无变化；公务接待费支出0.00万元，占0.00%，比上年增加0.00万元，增长0.00%,主要原因是：我单位无公务接待费。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4.69万元，其中：公务用车购置费0.00万元，公务用车运行维护费4.69万元。公务用车运行维护费开支内容包括。公务用车购置数0辆，公务用车保有量2辆。国有资产占用情况中固定资产车辆2辆，与公务用车保有量差异原因是：</w:t>
      </w:r>
      <w:r>
        <w:rPr>
          <w:rFonts w:hint="eastAsia" w:ascii="仿宋_GB2312" w:eastAsia="仿宋_GB2312"/>
          <w:b w:val="0"/>
          <w:sz w:val="32"/>
          <w:szCs w:val="32"/>
        </w:rPr>
        <w:t>国有资产占用情况中固定资产车辆与公务用车保有量一致，无差异</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与全年预算相比，财政拨款“三公”经费支出全年预算数4.69万元，决算数4.69万元，预决算差异率0.00%，</w:t>
      </w:r>
      <w:r>
        <w:rPr>
          <w:rFonts w:hint="eastAsia" w:ascii="仿宋_GB2312" w:eastAsia="仿宋_GB2312"/>
          <w:b w:val="0"/>
          <w:sz w:val="32"/>
          <w:szCs w:val="32"/>
        </w:rPr>
        <w:t>主要原因是：严格控制三公经费，厉行节约。其中：因公出国（境）费全年预算数0.00万元，决算数0.00万元，预决算差异率0.00%，主要原因是：我单位无因公出国（境）费；公务用车购置费全年预算数0.00万元，决算数0.00万元，预决算差异率0.00%，主要原因是：我单位无公务用车购置费；</w:t>
      </w:r>
      <w:r>
        <w:rPr>
          <w:rFonts w:ascii="仿宋_GB2312" w:eastAsia="仿宋_GB2312"/>
          <w:b w:val="0"/>
          <w:sz w:val="32"/>
          <w:szCs w:val="32"/>
        </w:rPr>
        <w:t>公务用车运行维护费全年预算数4.69万元，决算数4.69万元，预决算差异率0.00%，</w:t>
      </w:r>
      <w:r>
        <w:rPr>
          <w:rFonts w:hint="eastAsia" w:ascii="仿宋_GB2312" w:eastAsia="仿宋_GB2312"/>
          <w:b w:val="0"/>
          <w:sz w:val="32"/>
          <w:szCs w:val="32"/>
        </w:rPr>
        <w:t>主要原因是：严格控制三公经费，厉行节约；公务接待费全年预算数0.00万元，决算数0.00万元，预决算差异率0.00%，主要原因是：我单位无公务接待费。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2024年度中共库尔勒市委员会宣传部单位机关运行经费支出26.16万元，比上年增加3.79万元，增长16.94%，主要原因是：</w:t>
      </w:r>
      <w:r>
        <w:rPr>
          <w:rFonts w:hint="eastAsia" w:ascii="仿宋_GB2312" w:eastAsia="仿宋_GB2312"/>
          <w:b w:val="0"/>
          <w:sz w:val="32"/>
          <w:szCs w:val="32"/>
        </w:rPr>
        <w:t>人员工资增长，社保、公积金基数调增，人员经费增加</w:t>
      </w:r>
      <w:r>
        <w:rPr>
          <w:rFonts w:ascii="仿宋_GB2312" w:eastAsia="仿宋_GB2312"/>
          <w:b w:val="0"/>
          <w:sz w:val="32"/>
          <w:szCs w:val="32"/>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2024年度政府采购支出总额144.08万元，其中：政府采购货物支出23.85万元、政府采购工程支出0.00万元、政府采购服务支出120.23万元。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授予中小企业合同金额144.08万元，占政府采购支出总额的100.00%，其中：授予小微企业合同金额131.59万元，占政府采购支出总额的91.33%。</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0.00平方米，价值0.00万元。车辆2辆，价值50.75万元，其中：副部（省）级及以上领导用车0辆、主要负责人用车0辆、机要通信用车0辆、应急保障用车0辆、执法执勤用车0辆、特种专业技术用车0辆、离退休干部服务用车0辆、其他用车2辆，其他用车主要是：</w:t>
      </w:r>
      <w:r>
        <w:rPr>
          <w:rFonts w:hint="eastAsia" w:ascii="仿宋_GB2312" w:eastAsia="仿宋_GB2312"/>
          <w:b w:val="0"/>
          <w:sz w:val="32"/>
          <w:szCs w:val="32"/>
          <w:lang w:val="en-US" w:eastAsia="zh-CN"/>
        </w:rPr>
        <w:t>公务用车</w:t>
      </w:r>
      <w:r>
        <w:rPr>
          <w:rFonts w:ascii="仿宋_GB2312" w:eastAsia="仿宋_GB2312"/>
          <w:b w:val="0"/>
          <w:sz w:val="32"/>
          <w:szCs w:val="32"/>
        </w:rPr>
        <w:t>;单价100万元（含）以上设备（不含车辆）2台（套）。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根据预算绩效管理要求，本单位2024年度预算绩效管理形成整体支出绩效自评表1个，全年预算总额</w:t>
      </w:r>
      <w:r>
        <w:rPr>
          <w:rFonts w:hint="eastAsia" w:ascii="仿宋_GB2312" w:eastAsia="仿宋_GB2312"/>
          <w:b w:val="0"/>
          <w:sz w:val="32"/>
          <w:szCs w:val="32"/>
          <w:lang w:val="en-US" w:eastAsia="zh-CN"/>
        </w:rPr>
        <w:t>606.16</w:t>
      </w:r>
      <w:r>
        <w:rPr>
          <w:rFonts w:ascii="仿宋_GB2312" w:eastAsia="仿宋_GB2312"/>
          <w:b w:val="0"/>
          <w:sz w:val="32"/>
          <w:szCs w:val="32"/>
        </w:rPr>
        <w:t>万元，实际执行总额</w:t>
      </w:r>
      <w:r>
        <w:rPr>
          <w:rFonts w:hint="eastAsia" w:ascii="仿宋_GB2312" w:eastAsia="仿宋_GB2312"/>
          <w:b w:val="0"/>
          <w:sz w:val="32"/>
          <w:szCs w:val="32"/>
          <w:lang w:val="en-US" w:eastAsia="zh-CN"/>
        </w:rPr>
        <w:t>606.16</w:t>
      </w:r>
      <w:r>
        <w:rPr>
          <w:rFonts w:ascii="仿宋_GB2312" w:eastAsia="仿宋_GB2312"/>
          <w:b w:val="0"/>
          <w:sz w:val="32"/>
          <w:szCs w:val="32"/>
        </w:rPr>
        <w:t>万元；预算绩效评价项目</w:t>
      </w:r>
      <w:r>
        <w:rPr>
          <w:rFonts w:hint="eastAsia" w:ascii="仿宋_GB2312" w:eastAsia="仿宋_GB2312"/>
          <w:b w:val="0"/>
          <w:sz w:val="32"/>
          <w:szCs w:val="32"/>
          <w:lang w:val="en-US" w:eastAsia="zh-CN"/>
        </w:rPr>
        <w:t>1</w:t>
      </w:r>
      <w:r>
        <w:rPr>
          <w:rFonts w:ascii="仿宋_GB2312" w:eastAsia="仿宋_GB2312"/>
          <w:b w:val="0"/>
          <w:sz w:val="32"/>
          <w:szCs w:val="32"/>
        </w:rPr>
        <w:t>个，全年预算数</w:t>
      </w:r>
      <w:r>
        <w:rPr>
          <w:rFonts w:hint="eastAsia" w:ascii="仿宋_GB2312" w:eastAsia="仿宋_GB2312"/>
          <w:b w:val="0"/>
          <w:sz w:val="32"/>
          <w:szCs w:val="32"/>
          <w:lang w:val="en-US" w:eastAsia="zh-CN"/>
        </w:rPr>
        <w:t>60</w:t>
      </w:r>
      <w:r>
        <w:rPr>
          <w:rFonts w:ascii="仿宋_GB2312" w:eastAsia="仿宋_GB2312"/>
          <w:b w:val="0"/>
          <w:sz w:val="32"/>
          <w:szCs w:val="32"/>
        </w:rPr>
        <w:t>万元，全年执行数</w:t>
      </w:r>
      <w:r>
        <w:rPr>
          <w:rFonts w:hint="eastAsia" w:ascii="仿宋_GB2312" w:eastAsia="仿宋_GB2312"/>
          <w:b w:val="0"/>
          <w:sz w:val="32"/>
          <w:szCs w:val="32"/>
          <w:lang w:val="en-US" w:eastAsia="zh-CN"/>
        </w:rPr>
        <w:t>58.58</w:t>
      </w:r>
      <w:r>
        <w:rPr>
          <w:rFonts w:ascii="仿宋_GB2312" w:eastAsia="仿宋_GB2312"/>
          <w:b w:val="0"/>
          <w:sz w:val="32"/>
          <w:szCs w:val="32"/>
        </w:rPr>
        <w:t>万元。</w:t>
      </w:r>
      <w:r>
        <w:rPr>
          <w:rFonts w:hint="eastAsia" w:ascii="仿宋_GB2312" w:eastAsia="仿宋_GB2312"/>
          <w:b w:val="0"/>
          <w:sz w:val="32"/>
          <w:szCs w:val="32"/>
        </w:rPr>
        <w:t>预算绩效管理取得的成效：一是通过加强预算收支管理、不断建立健全内部管理制度、梳理内部管理流程，部门整体支出管理情况得到提升；二是严格履行政府采购程序，规范政府采购行为，加强对政府采购全流程活动的规范管理，推动政府采购相关制度贯彻落实。发现的问题及原因：一是目前的预算管理在编制和实施中还存在编制不细、预算调整较多、追加预算比重较大等现象,因此项目预算执行的准确性还有待加强；二是经办机构存在工作经费紧缺，信息化建设滞后的情况。下一步改进措施：一是全面编制预算项目，优先保障固定的、相对刚性的费用支出项目；二是加强与财政部门的紧密配合,开展好整体支出及项目资金绩效管理工作,运用好绩效评价的结果,不断提升预算管理水平。</w:t>
      </w:r>
      <w:r>
        <w:rPr>
          <w:rFonts w:ascii="仿宋_GB2312" w:eastAsia="仿宋_GB2312"/>
          <w:b w:val="0"/>
          <w:sz w:val="32"/>
          <w:szCs w:val="32"/>
        </w:rPr>
        <w:t>具体附部门整体支出绩效自评表，项目支出绩效自评表和部门评价报告。</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r>
        <w:rPr>
          <w:rFonts w:ascii="仿宋_GB2312" w:eastAsia="仿宋_GB2312"/>
          <w:b w:val="0"/>
          <w:sz w:val="32"/>
          <w:szCs w:val="32"/>
        </w:rPr>
        <w:t>九、《财政拨款“三公”经费支出决算表》</w:t>
      </w:r>
    </w:p>
    <w:p>
      <w:pPr>
        <w:bidi w:val="0"/>
        <w:rPr>
          <w:sz w:val="21"/>
          <w:szCs w:val="22"/>
        </w:rPr>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tabs>
          <w:tab w:val="left" w:pos="1943"/>
        </w:tabs>
        <w:bidi w:val="0"/>
        <w:jc w:val="left"/>
        <w:rPr>
          <w:rFonts w:hint="eastAsia"/>
          <w:lang w:eastAsia="zh-CN"/>
        </w:rPr>
      </w:pPr>
      <w:r>
        <w:rPr>
          <w:rFonts w:hint="eastAsia"/>
          <w:lang w:eastAsia="zh-CN"/>
        </w:rPr>
        <w:tab/>
      </w:r>
    </w:p>
    <w:p>
      <w:pPr>
        <w:tabs>
          <w:tab w:val="left" w:pos="1943"/>
        </w:tabs>
        <w:bidi w:val="0"/>
        <w:jc w:val="left"/>
        <w:rPr>
          <w:rFonts w:hint="eastAsia"/>
          <w:lang w:eastAsia="zh-CN"/>
        </w:rPr>
      </w:pPr>
    </w:p>
    <w:p>
      <w:pPr>
        <w:tabs>
          <w:tab w:val="left" w:pos="1943"/>
        </w:tabs>
        <w:bidi w:val="0"/>
        <w:jc w:val="left"/>
        <w:rPr>
          <w:rFonts w:hint="eastAsia"/>
          <w:lang w:eastAsia="zh-CN"/>
        </w:rPr>
      </w:pPr>
      <w:r>
        <w:drawing>
          <wp:anchor distT="0" distB="0" distL="114300" distR="114300" simplePos="0" relativeHeight="251659264" behindDoc="0" locked="0" layoutInCell="1" allowOverlap="1">
            <wp:simplePos x="0" y="0"/>
            <wp:positionH relativeFrom="column">
              <wp:posOffset>-381000</wp:posOffset>
            </wp:positionH>
            <wp:positionV relativeFrom="paragraph">
              <wp:posOffset>19050</wp:posOffset>
            </wp:positionV>
            <wp:extent cx="6464935" cy="7990840"/>
            <wp:effectExtent l="0" t="0" r="12065" b="10160"/>
            <wp:wrapNone/>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4"/>
                    <a:stretch>
                      <a:fillRect/>
                    </a:stretch>
                  </pic:blipFill>
                  <pic:spPr>
                    <a:xfrm>
                      <a:off x="0" y="0"/>
                      <a:ext cx="6464935" cy="7990840"/>
                    </a:xfrm>
                    <a:prstGeom prst="rect">
                      <a:avLst/>
                    </a:prstGeom>
                    <a:noFill/>
                    <a:ln>
                      <a:noFill/>
                    </a:ln>
                  </pic:spPr>
                </pic:pic>
              </a:graphicData>
            </a:graphic>
          </wp:anchor>
        </w:drawing>
      </w:r>
    </w:p>
    <w:p>
      <w:pPr>
        <w:tabs>
          <w:tab w:val="left" w:pos="1943"/>
        </w:tabs>
        <w:bidi w:val="0"/>
        <w:jc w:val="left"/>
        <w:rPr>
          <w:rFonts w:hint="eastAsia"/>
          <w:lang w:eastAsia="zh-CN"/>
        </w:rPr>
      </w:pPr>
    </w:p>
    <w:p>
      <w:pPr>
        <w:bidi w:val="0"/>
        <w:rPr>
          <w:rFonts w:hint="eastAsia"/>
          <w:sz w:val="21"/>
          <w:szCs w:val="22"/>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tabs>
          <w:tab w:val="left" w:pos="3593"/>
        </w:tabs>
        <w:bidi w:val="0"/>
        <w:jc w:val="left"/>
        <w:rPr>
          <w:rFonts w:hint="eastAsia"/>
          <w:lang w:eastAsia="zh-CN"/>
        </w:rPr>
      </w:pPr>
      <w:r>
        <w:rPr>
          <w:rFonts w:hint="eastAsia"/>
          <w:lang w:eastAsia="zh-CN"/>
        </w:rPr>
        <w:tab/>
      </w: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r>
        <w:drawing>
          <wp:anchor distT="0" distB="0" distL="114300" distR="114300" simplePos="0" relativeHeight="251660288" behindDoc="0" locked="0" layoutInCell="1" allowOverlap="1">
            <wp:simplePos x="0" y="0"/>
            <wp:positionH relativeFrom="column">
              <wp:posOffset>-466725</wp:posOffset>
            </wp:positionH>
            <wp:positionV relativeFrom="paragraph">
              <wp:posOffset>9525</wp:posOffset>
            </wp:positionV>
            <wp:extent cx="6504305" cy="7042150"/>
            <wp:effectExtent l="0" t="0" r="10795" b="6350"/>
            <wp:wrapNone/>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5"/>
                    <a:stretch>
                      <a:fillRect/>
                    </a:stretch>
                  </pic:blipFill>
                  <pic:spPr>
                    <a:xfrm>
                      <a:off x="0" y="0"/>
                      <a:ext cx="6504305" cy="7042150"/>
                    </a:xfrm>
                    <a:prstGeom prst="rect">
                      <a:avLst/>
                    </a:prstGeom>
                    <a:noFill/>
                    <a:ln>
                      <a:noFill/>
                    </a:ln>
                  </pic:spPr>
                </pic:pic>
              </a:graphicData>
            </a:graphic>
          </wp:anchor>
        </w:drawing>
      </w: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r>
        <w:drawing>
          <wp:anchor distT="0" distB="0" distL="114300" distR="114300" simplePos="0" relativeHeight="251661312" behindDoc="0" locked="0" layoutInCell="1" allowOverlap="1">
            <wp:simplePos x="0" y="0"/>
            <wp:positionH relativeFrom="column">
              <wp:posOffset>-542925</wp:posOffset>
            </wp:positionH>
            <wp:positionV relativeFrom="paragraph">
              <wp:posOffset>19050</wp:posOffset>
            </wp:positionV>
            <wp:extent cx="6490335" cy="7771130"/>
            <wp:effectExtent l="0" t="0" r="5715" b="1270"/>
            <wp:wrapNone/>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pic:cNvPicPr>
                      <a:picLocks noChangeAspect="1"/>
                    </pic:cNvPicPr>
                  </pic:nvPicPr>
                  <pic:blipFill>
                    <a:blip r:embed="rId6"/>
                    <a:stretch>
                      <a:fillRect/>
                    </a:stretch>
                  </pic:blipFill>
                  <pic:spPr>
                    <a:xfrm>
                      <a:off x="0" y="0"/>
                      <a:ext cx="6490335" cy="7771130"/>
                    </a:xfrm>
                    <a:prstGeom prst="rect">
                      <a:avLst/>
                    </a:prstGeom>
                    <a:noFill/>
                    <a:ln>
                      <a:noFill/>
                    </a:ln>
                  </pic:spPr>
                </pic:pic>
              </a:graphicData>
            </a:graphic>
          </wp:anchor>
        </w:drawing>
      </w: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r>
        <w:drawing>
          <wp:anchor distT="0" distB="0" distL="114300" distR="114300" simplePos="0" relativeHeight="251662336" behindDoc="0" locked="0" layoutInCell="1" allowOverlap="1">
            <wp:simplePos x="0" y="0"/>
            <wp:positionH relativeFrom="column">
              <wp:posOffset>-504825</wp:posOffset>
            </wp:positionH>
            <wp:positionV relativeFrom="paragraph">
              <wp:posOffset>-19050</wp:posOffset>
            </wp:positionV>
            <wp:extent cx="6861810" cy="7820025"/>
            <wp:effectExtent l="0" t="0" r="15240" b="9525"/>
            <wp:wrapNone/>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pic:cNvPicPr>
                      <a:picLocks noChangeAspect="1"/>
                    </pic:cNvPicPr>
                  </pic:nvPicPr>
                  <pic:blipFill>
                    <a:blip r:embed="rId7"/>
                    <a:stretch>
                      <a:fillRect/>
                    </a:stretch>
                  </pic:blipFill>
                  <pic:spPr>
                    <a:xfrm>
                      <a:off x="0" y="0"/>
                      <a:ext cx="6861810" cy="7820025"/>
                    </a:xfrm>
                    <a:prstGeom prst="rect">
                      <a:avLst/>
                    </a:prstGeom>
                    <a:noFill/>
                    <a:ln>
                      <a:noFill/>
                    </a:ln>
                  </pic:spPr>
                </pic:pic>
              </a:graphicData>
            </a:graphic>
          </wp:anchor>
        </w:drawing>
      </w: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r>
        <w:drawing>
          <wp:anchor distT="0" distB="0" distL="114300" distR="114300" simplePos="0" relativeHeight="251663360" behindDoc="0" locked="0" layoutInCell="1" allowOverlap="1">
            <wp:simplePos x="0" y="0"/>
            <wp:positionH relativeFrom="column">
              <wp:posOffset>-561975</wp:posOffset>
            </wp:positionH>
            <wp:positionV relativeFrom="paragraph">
              <wp:posOffset>47625</wp:posOffset>
            </wp:positionV>
            <wp:extent cx="6420485" cy="7643495"/>
            <wp:effectExtent l="0" t="0" r="18415" b="14605"/>
            <wp:wrapNone/>
            <wp:docPr id="1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5"/>
                    <pic:cNvPicPr>
                      <a:picLocks noChangeAspect="1"/>
                    </pic:cNvPicPr>
                  </pic:nvPicPr>
                  <pic:blipFill>
                    <a:blip r:embed="rId8"/>
                    <a:stretch>
                      <a:fillRect/>
                    </a:stretch>
                  </pic:blipFill>
                  <pic:spPr>
                    <a:xfrm>
                      <a:off x="0" y="0"/>
                      <a:ext cx="6420485" cy="7643495"/>
                    </a:xfrm>
                    <a:prstGeom prst="rect">
                      <a:avLst/>
                    </a:prstGeom>
                    <a:noFill/>
                    <a:ln>
                      <a:noFill/>
                    </a:ln>
                  </pic:spPr>
                </pic:pic>
              </a:graphicData>
            </a:graphic>
          </wp:anchor>
        </w:drawing>
      </w: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r>
        <w:drawing>
          <wp:anchor distT="0" distB="0" distL="114300" distR="114300" simplePos="0" relativeHeight="251664384" behindDoc="0" locked="0" layoutInCell="1" allowOverlap="1">
            <wp:simplePos x="0" y="0"/>
            <wp:positionH relativeFrom="column">
              <wp:posOffset>-361950</wp:posOffset>
            </wp:positionH>
            <wp:positionV relativeFrom="paragraph">
              <wp:posOffset>0</wp:posOffset>
            </wp:positionV>
            <wp:extent cx="6332855" cy="7127240"/>
            <wp:effectExtent l="0" t="0" r="10795" b="16510"/>
            <wp:wrapNone/>
            <wp:docPr id="1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6"/>
                    <pic:cNvPicPr>
                      <a:picLocks noChangeAspect="1"/>
                    </pic:cNvPicPr>
                  </pic:nvPicPr>
                  <pic:blipFill>
                    <a:blip r:embed="rId9"/>
                    <a:stretch>
                      <a:fillRect/>
                    </a:stretch>
                  </pic:blipFill>
                  <pic:spPr>
                    <a:xfrm>
                      <a:off x="0" y="0"/>
                      <a:ext cx="6332855" cy="7127240"/>
                    </a:xfrm>
                    <a:prstGeom prst="rect">
                      <a:avLst/>
                    </a:prstGeom>
                    <a:noFill/>
                    <a:ln>
                      <a:noFill/>
                    </a:ln>
                  </pic:spPr>
                </pic:pic>
              </a:graphicData>
            </a:graphic>
          </wp:anchor>
        </w:drawing>
      </w: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r>
        <w:drawing>
          <wp:anchor distT="0" distB="0" distL="114300" distR="114300" simplePos="0" relativeHeight="251665408" behindDoc="0" locked="0" layoutInCell="1" allowOverlap="1">
            <wp:simplePos x="0" y="0"/>
            <wp:positionH relativeFrom="column">
              <wp:posOffset>-647700</wp:posOffset>
            </wp:positionH>
            <wp:positionV relativeFrom="paragraph">
              <wp:posOffset>76835</wp:posOffset>
            </wp:positionV>
            <wp:extent cx="6833870" cy="3154045"/>
            <wp:effectExtent l="0" t="0" r="5080" b="8255"/>
            <wp:wrapNone/>
            <wp:docPr id="1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7"/>
                    <pic:cNvPicPr>
                      <a:picLocks noChangeAspect="1"/>
                    </pic:cNvPicPr>
                  </pic:nvPicPr>
                  <pic:blipFill>
                    <a:blip r:embed="rId10"/>
                    <a:stretch>
                      <a:fillRect/>
                    </a:stretch>
                  </pic:blipFill>
                  <pic:spPr>
                    <a:xfrm>
                      <a:off x="0" y="0"/>
                      <a:ext cx="6833870" cy="3154045"/>
                    </a:xfrm>
                    <a:prstGeom prst="rect">
                      <a:avLst/>
                    </a:prstGeom>
                    <a:noFill/>
                    <a:ln>
                      <a:noFill/>
                    </a:ln>
                  </pic:spPr>
                </pic:pic>
              </a:graphicData>
            </a:graphic>
          </wp:anchor>
        </w:drawing>
      </w: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r>
        <w:drawing>
          <wp:anchor distT="0" distB="0" distL="114300" distR="114300" simplePos="0" relativeHeight="251666432" behindDoc="0" locked="0" layoutInCell="1" allowOverlap="1">
            <wp:simplePos x="0" y="0"/>
            <wp:positionH relativeFrom="column">
              <wp:posOffset>-371475</wp:posOffset>
            </wp:positionH>
            <wp:positionV relativeFrom="paragraph">
              <wp:posOffset>152400</wp:posOffset>
            </wp:positionV>
            <wp:extent cx="6673215" cy="4290060"/>
            <wp:effectExtent l="0" t="0" r="13335" b="15240"/>
            <wp:wrapNone/>
            <wp:docPr id="1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8"/>
                    <pic:cNvPicPr>
                      <a:picLocks noChangeAspect="1"/>
                    </pic:cNvPicPr>
                  </pic:nvPicPr>
                  <pic:blipFill>
                    <a:blip r:embed="rId11"/>
                    <a:stretch>
                      <a:fillRect/>
                    </a:stretch>
                  </pic:blipFill>
                  <pic:spPr>
                    <a:xfrm>
                      <a:off x="0" y="0"/>
                      <a:ext cx="6673215" cy="4290060"/>
                    </a:xfrm>
                    <a:prstGeom prst="rect">
                      <a:avLst/>
                    </a:prstGeom>
                    <a:noFill/>
                    <a:ln>
                      <a:noFill/>
                    </a:ln>
                  </pic:spPr>
                </pic:pic>
              </a:graphicData>
            </a:graphic>
          </wp:anchor>
        </w:drawing>
      </w: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tabs>
          <w:tab w:val="left" w:pos="3593"/>
        </w:tabs>
        <w:bidi w:val="0"/>
        <w:jc w:val="left"/>
        <w:rPr>
          <w:rFonts w:hint="eastAsia"/>
          <w:lang w:eastAsia="zh-CN"/>
        </w:rPr>
      </w:pPr>
    </w:p>
    <w:p>
      <w:pPr>
        <w:bidi w:val="0"/>
        <w:rPr>
          <w:rFonts w:hint="eastAsia"/>
          <w:sz w:val="21"/>
          <w:szCs w:val="22"/>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jc w:val="center"/>
        <w:rPr>
          <w:rFonts w:hint="eastAsia"/>
          <w:lang w:eastAsia="zh-CN"/>
        </w:rPr>
      </w:pPr>
    </w:p>
    <w:p>
      <w:pPr>
        <w:bidi w:val="0"/>
        <w:jc w:val="center"/>
        <w:rPr>
          <w:rFonts w:hint="eastAsia"/>
          <w:lang w:eastAsia="zh-CN"/>
        </w:rPr>
      </w:pPr>
    </w:p>
    <w:p>
      <w:pPr>
        <w:bidi w:val="0"/>
        <w:jc w:val="center"/>
        <w:rPr>
          <w:rFonts w:hint="eastAsia"/>
          <w:lang w:eastAsia="zh-CN"/>
        </w:rPr>
      </w:pPr>
    </w:p>
    <w:p>
      <w:pPr>
        <w:bidi w:val="0"/>
        <w:jc w:val="center"/>
        <w:rPr>
          <w:rFonts w:hint="eastAsia"/>
          <w:lang w:eastAsia="zh-CN"/>
        </w:rPr>
      </w:pPr>
    </w:p>
    <w:p>
      <w:pPr>
        <w:bidi w:val="0"/>
        <w:jc w:val="center"/>
        <w:rPr>
          <w:rFonts w:hint="eastAsia"/>
          <w:lang w:eastAsia="zh-CN"/>
        </w:rPr>
      </w:pPr>
    </w:p>
    <w:p>
      <w:pPr>
        <w:bidi w:val="0"/>
        <w:jc w:val="center"/>
        <w:rPr>
          <w:rFonts w:hint="eastAsia"/>
          <w:lang w:eastAsia="zh-CN"/>
        </w:rPr>
      </w:pPr>
    </w:p>
    <w:p>
      <w:pPr>
        <w:bidi w:val="0"/>
        <w:jc w:val="center"/>
        <w:rPr>
          <w:rFonts w:hint="eastAsia"/>
          <w:lang w:eastAsia="zh-CN"/>
        </w:rPr>
      </w:pPr>
      <w:bookmarkStart w:id="0" w:name="_GoBack"/>
      <w:bookmarkEnd w:id="0"/>
      <w:r>
        <w:drawing>
          <wp:anchor distT="0" distB="0" distL="114300" distR="114300" simplePos="0" relativeHeight="251667456" behindDoc="0" locked="0" layoutInCell="1" allowOverlap="1">
            <wp:simplePos x="0" y="0"/>
            <wp:positionH relativeFrom="column">
              <wp:posOffset>-371475</wp:posOffset>
            </wp:positionH>
            <wp:positionV relativeFrom="paragraph">
              <wp:posOffset>9525</wp:posOffset>
            </wp:positionV>
            <wp:extent cx="6595745" cy="3752215"/>
            <wp:effectExtent l="0" t="0" r="14605" b="635"/>
            <wp:wrapNone/>
            <wp:docPr id="1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9"/>
                    <pic:cNvPicPr>
                      <a:picLocks noChangeAspect="1"/>
                    </pic:cNvPicPr>
                  </pic:nvPicPr>
                  <pic:blipFill>
                    <a:blip r:embed="rId12"/>
                    <a:stretch>
                      <a:fillRect/>
                    </a:stretch>
                  </pic:blipFill>
                  <pic:spPr>
                    <a:xfrm>
                      <a:off x="0" y="0"/>
                      <a:ext cx="6595745" cy="3752215"/>
                    </a:xfrm>
                    <a:prstGeom prst="rect">
                      <a:avLst/>
                    </a:prstGeom>
                    <a:noFill/>
                    <a:ln>
                      <a:noFill/>
                    </a:ln>
                  </pic:spPr>
                </pic:pic>
              </a:graphicData>
            </a:graphic>
          </wp:anchor>
        </w:drawing>
      </w:r>
    </w:p>
    <w:sectPr>
      <w:pgSz w:w="12240" w:h="15840"/>
      <w:pgMar w:top="1440" w:right="1800" w:bottom="1440" w:left="180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compat>
    <w:useFELayout/>
    <w:splitPgBreakAndParaMark/>
    <w:compatSetting w:name="compatibilityMode" w:uri="http://schemas.microsoft.com/office/word" w:val="12"/>
  </w:compat>
  <w:rsids>
    <w:rsidRoot w:val="00172A27"/>
    <w:rsid w:val="2B61765A"/>
    <w:rsid w:val="3483493D"/>
    <w:rsid w:val="5EC60137"/>
    <w:rsid w:val="64AD0A91"/>
    <w:rsid w:val="69456C39"/>
    <w:rsid w:val="73221F62"/>
    <w:rsid w:val="77D2229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2025-08-14T11:28:00Z</dcterms:created>
  <dc:creator>Administrator</dc:creator>
  <cp:lastModifiedBy>Administrator</cp:lastModifiedBy>
  <dcterms:modified xsi:type="dcterms:W3CDTF">2025-08-20T04:36:11Z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