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中共库尔勒市委员会宣传部</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1、拟订宣传思想文化工作重大方针政策和事业发展总体规划，按照市党委统一部署，协调宣传思想文化系统各部门之间的工作。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2、统筹指导协调全市理论研究、理论学习、理论宣传工作，组织推动理论武装工作。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3、负责规划组织领导全市思想政治工作和群众性精神文明建设活动；配合市党委组织部做好党员教育工作；会同有关部门研究和改进群众思想教育工作。会同有关部门组织全市国防教育工作。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4、管理新闻出版行政事务，组织协调有关行政审批工作，监督管理出版物内容和质量。组织指导协调全市“扫黄打非”工作。</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5、负责组织实施库尔勒市精神文明建设规划、协调、指导、创建工作，负责规划和统筹协调库尔勒市未成年人思想道德建设工作。统筹指导协调推动精神文化产品的创作和生产，协调组织中华优秀传统文化传承发展有关工作，指导协调推动群众文化建设。</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6、负责管理电影行政事务，指导监管电影制片、发行放映工作，指导协调全市性重大电影活动。</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7、统筹协调对外宣传工作，指导协调有关部门研究拟订对外宣传工作战略、重大方针政策和对外宣传事业发展总体规划。受市党委委托代管库尔勒市社科联、库尔勒市文联。</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8、完成市党委、市人民政府交办的其他任务。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中共库尔勒市委员会宣传部2024年度，实有人数53人，其中：在职人员41人，减少2人；离休人员0人，较上年无变化；退休人员12人，增加1人。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从部门决算单位构成看，中共库尔勒市委员会宣传部（部门）部门决算包括：中共库尔勒市委员会宣传部（单位）本级决算及所属单位决算。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rPr>
        <w:t>中共库尔勒市委员会宣传部（单位）本级下设 4 个处室，分别是：办公室、政策法规和理论研究室、意识形态工作和舆情信息室、公民道德建设和文明创建室（未成年人思想道德建设股）。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纳入中共库尔勒市委员会宣传部2024年度部门决算编制范围的下属预算单位包括：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中共库尔勒市委员会宣传部</w:t>
      </w:r>
      <w:r>
        <w:rPr>
          <w:rFonts w:hint="eastAsia" w:ascii="仿宋_GB2312" w:hAnsi="宋体" w:eastAsia="仿宋_GB2312" w:cs="宋体"/>
          <w:color w:val="auto"/>
          <w:kern w:val="0"/>
          <w:sz w:val="32"/>
          <w:szCs w:val="32"/>
          <w:highlight w:val="none"/>
        </w:rPr>
        <w:t>（</w:t>
      </w:r>
      <w:r>
        <w:rPr>
          <w:rFonts w:hint="eastAsia" w:ascii="仿宋_GB2312" w:eastAsia="仿宋_GB2312"/>
          <w:color w:val="auto"/>
          <w:sz w:val="32"/>
          <w:szCs w:val="32"/>
          <w:highlight w:val="none"/>
          <w:lang w:val="en-US" w:eastAsia="zh-CN"/>
        </w:rPr>
        <w:t>单位</w:t>
      </w:r>
      <w:r>
        <w:rPr>
          <w:rFonts w:hint="eastAsia" w:ascii="仿宋_GB2312" w:hAnsi="宋体" w:eastAsia="仿宋_GB2312" w:cs="宋体"/>
          <w:color w:val="auto"/>
          <w:kern w:val="0"/>
          <w:sz w:val="32"/>
          <w:szCs w:val="32"/>
          <w:highlight w:val="none"/>
        </w:rPr>
        <w:t>）</w:t>
      </w:r>
      <w:r>
        <w:rPr>
          <w:rFonts w:ascii="仿宋_GB2312" w:eastAsia="仿宋_GB2312"/>
          <w:b w:val="0"/>
          <w:sz w:val="32"/>
          <w:szCs w:val="32"/>
        </w:rPr>
        <w:t>，库尔勒市融媒体中心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2024年度收入总计1,370.21万元，其中：本年收入合计1,370.21万元，使用非财政拨款结余（含专用结余）0.00万元，年初结转和结余0.00万元。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2024年度支出总计1,370.21万元，其中：本年支出合计1,370.21万元，结余分配0.00万元，年末结转和结余0.00万元。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收入支出总体与上年相比，减少477.19万元，下降25.83%，主要原因是：</w:t>
      </w:r>
      <w:r>
        <w:rPr>
          <w:rFonts w:hint="eastAsia" w:ascii="仿宋_GB2312" w:eastAsia="仿宋_GB2312"/>
          <w:b w:val="0"/>
          <w:sz w:val="32"/>
          <w:szCs w:val="32"/>
        </w:rPr>
        <w:t>库尔勒融媒体中心本年度未支付隐形债务工程款，导致本年收入减少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本年收入1,370.21万元，其中：财政拨款收入1,296.80万元,占94.64%；上级补助收入0.00万元,占0.00%；事业收入0.00万元，占0.00%；经营收入0.00万元,占0.00%；附属单位上缴收入0.00万元，占0.00%；其他收入73.41万元，占5.36%。</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本年支出1,370.21万元，其中：基本支出1,023.93万元，占74.73%；项目支出346.27万元，占25.27%；上缴上级支出0.00万元，占0.00%；经营支出0.00万元，占0.00%；对附属单位补助支出0.00万元，占0.00%。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1,296.80万元，其中：年初财政拨款结转和结余0.00万元，本年财政拨款收入1,296.80万元。财政拨款支出总计1,296.80万元，其中：年末财政拨款结转和结余0.00万元，本年财政拨款支出1,296.80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财政拨款收入支出总体与上年相比，减少531.74万元，下降29.08%，主要原因是：</w:t>
      </w:r>
      <w:r>
        <w:rPr>
          <w:rFonts w:hint="eastAsia" w:eastAsia="宋体" w:cs="Times New Roman"/>
          <w:color w:val="auto"/>
          <w:sz w:val="32"/>
          <w:szCs w:val="32"/>
          <w:highlight w:val="none"/>
          <w:lang w:val="en-US" w:eastAsia="zh-CN"/>
        </w:rPr>
        <w:t>库尔勒融媒体中心</w:t>
      </w:r>
      <w:r>
        <w:rPr>
          <w:rFonts w:hint="default" w:ascii="Times New Roman" w:hAnsi="Times New Roman" w:eastAsia="宋体" w:cs="Times New Roman"/>
          <w:color w:val="auto"/>
          <w:kern w:val="16"/>
          <w:sz w:val="32"/>
          <w:szCs w:val="32"/>
        </w:rPr>
        <w:t>本年度未支付隐形债务工程款，导致本年收入减少</w:t>
      </w:r>
      <w:r>
        <w:rPr>
          <w:rFonts w:ascii="仿宋_GB2312" w:eastAsia="仿宋_GB2312"/>
          <w:b w:val="0"/>
          <w:sz w:val="32"/>
          <w:szCs w:val="32"/>
        </w:rPr>
        <w:t>。与年初预算相比，年初预算数1,289.26万元，决算数1,296.80万元，预决算差异率0.58%，主要原因是：</w:t>
      </w:r>
      <w:r>
        <w:rPr>
          <w:rFonts w:hint="eastAsia" w:ascii="仿宋_GB2312" w:eastAsia="仿宋_GB2312"/>
          <w:b w:val="0"/>
          <w:sz w:val="32"/>
          <w:szCs w:val="32"/>
          <w:lang w:val="en-US" w:eastAsia="zh-CN"/>
        </w:rPr>
        <w:t>今年宣传部（本级）增加援疆资金项目</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2024年度一般公共预算财政拨款支出1,296.80万元，占本年支出合计的94.64%。与上年相比，增加79.68万元，增长6.55%，主要原因是：</w:t>
      </w:r>
      <w:r>
        <w:rPr>
          <w:rFonts w:hint="eastAsia" w:ascii="仿宋_GB2312" w:eastAsia="仿宋_GB2312"/>
          <w:b w:val="0"/>
          <w:sz w:val="32"/>
          <w:szCs w:val="32"/>
          <w:lang w:val="en-US" w:eastAsia="zh-CN"/>
        </w:rPr>
        <w:t>本年度人员工资调整，社保基数及公积金基数上调，宣传部（本级）增加援疆资金项目</w:t>
      </w:r>
      <w:r>
        <w:rPr>
          <w:rFonts w:ascii="仿宋_GB2312" w:eastAsia="仿宋_GB2312"/>
          <w:b w:val="0"/>
          <w:sz w:val="32"/>
          <w:szCs w:val="32"/>
        </w:rPr>
        <w:t>。与年初预算相比，年初预算数1,289.26万元，决算数1,296.80万元，预决算差异率0.58%，主要原因是：</w:t>
      </w:r>
      <w:r>
        <w:rPr>
          <w:rFonts w:hint="eastAsia" w:ascii="仿宋_GB2312" w:eastAsia="仿宋_GB2312"/>
          <w:b w:val="0"/>
          <w:sz w:val="32"/>
          <w:szCs w:val="32"/>
          <w:lang w:val="en-US" w:eastAsia="zh-CN"/>
        </w:rPr>
        <w:t>今年宣传部（本级）增加援疆资金项目</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一般公共服务支出（类）329.78万元，占25.43%。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教育支出（类）1.73万元，占0.13%。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文化旅游体育与传媒支出（类）754.88万元，占58.21%。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社会保障和就业支出（类）44.74万元，占3.45%。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卫生健康支出（类）21.54万元，占1.66%。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住房保障支出（类）27.95万元，占2.16%。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其他支出（类）116.19万元，占8.96%。</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一般公共服务支出（类）宣传事务（款）行政运行（项）：支出决算数为269.39万元，比上年决算减少52.97万元，下降16.43%，主要原因是：</w:t>
      </w:r>
      <w:r>
        <w:rPr>
          <w:rFonts w:hint="eastAsia" w:ascii="仿宋_GB2312" w:eastAsia="仿宋_GB2312"/>
          <w:b w:val="0"/>
          <w:sz w:val="32"/>
          <w:szCs w:val="32"/>
          <w:lang w:val="en-US" w:eastAsia="zh-CN"/>
        </w:rPr>
        <w:t>宣传部（本级）在职人员减少，相应人员经费减少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一般公共服务支出（类）宣传事务（款）其他宣传事务支出（项）：支出决算数为60.39万元，比上年决算增加12.45万元，增长25.97%，主要原因是：</w:t>
      </w:r>
      <w:r>
        <w:rPr>
          <w:rFonts w:hint="eastAsia" w:ascii="仿宋_GB2312" w:eastAsia="仿宋_GB2312"/>
          <w:b w:val="0"/>
          <w:sz w:val="32"/>
          <w:szCs w:val="32"/>
          <w:lang w:val="en-US" w:eastAsia="zh-CN"/>
        </w:rPr>
        <w:t>今年宣传部（本级）增加援疆资金项目</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教育支出（类）进修及培训（款）培训支出（项）：支出决算数为1.73万元，比上年决算减少0.29万元，下降14.36%，主要原因是：</w:t>
      </w:r>
      <w:r>
        <w:rPr>
          <w:rFonts w:hint="eastAsia" w:ascii="仿宋_GB2312" w:eastAsia="仿宋_GB2312"/>
          <w:b w:val="0"/>
          <w:sz w:val="32"/>
          <w:szCs w:val="32"/>
          <w:lang w:val="en-US" w:eastAsia="zh-CN"/>
        </w:rPr>
        <w:t>本年单位职工外出培训次数减少。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文化旅游体育与传媒支出（类）广播电视（款）广播电视事务（项）：支出决算数为747.32万元，比上年决算增加21.07万元，增长2.90%，主要原因是：</w:t>
      </w:r>
      <w:r>
        <w:rPr>
          <w:rFonts w:hint="eastAsia" w:ascii="仿宋_GB2312" w:eastAsia="仿宋_GB2312"/>
          <w:b w:val="0"/>
          <w:sz w:val="32"/>
          <w:szCs w:val="32"/>
          <w:lang w:val="en-US" w:eastAsia="zh-CN"/>
        </w:rPr>
        <w:t>本年度人员工资调整，社保基数及公积金基数上调。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文化旅游体育与传媒支出（类）其他文化旅游体育与传媒支出（款）其他文化旅游体育与传媒支出（项）：支出决算数为7.56万元，比上年决算减少9.59万元，下降55.92%，主要原因是：</w:t>
      </w:r>
      <w:r>
        <w:rPr>
          <w:rFonts w:hint="eastAsia" w:ascii="仿宋_GB2312" w:eastAsia="仿宋_GB2312"/>
          <w:b w:val="0"/>
          <w:sz w:val="32"/>
          <w:szCs w:val="32"/>
          <w:lang w:val="en-US" w:eastAsia="zh-CN"/>
        </w:rPr>
        <w:t>本年宣传部（本级）文化安全补助减少。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社会保障和就业支出（类）行政事业单位养老支出（款）行政单位离退休（项）：支出决算数为9.60万元，比上年决算增加2.59万元，增长36.95%，主要原因是：</w:t>
      </w:r>
      <w:r>
        <w:rPr>
          <w:rFonts w:hint="eastAsia" w:ascii="仿宋_GB2312" w:eastAsia="仿宋_GB2312"/>
          <w:b w:val="0"/>
          <w:sz w:val="32"/>
          <w:szCs w:val="32"/>
          <w:lang w:val="en-US" w:eastAsia="zh-CN"/>
        </w:rPr>
        <w:t>本年宣传部（本级）退休人员增加，相应退休费增加。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社会保障和就业支出（类）行政事业单位养老支出（款）机关事业单位基本养老保险缴费支出（项）：支出决算数为35.14万元，比上年决算减少0.71万元，下降1.98%，主要原因是：</w:t>
      </w:r>
      <w:r>
        <w:rPr>
          <w:rFonts w:hint="eastAsia" w:ascii="仿宋_GB2312" w:eastAsia="仿宋_GB2312"/>
          <w:b w:val="0"/>
          <w:sz w:val="32"/>
          <w:szCs w:val="32"/>
          <w:lang w:val="en-US" w:eastAsia="zh-CN"/>
        </w:rPr>
        <w:t>宣传部（本级）在职人员减少。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社会保障和就业支出（类）行政事业单位养老支出（款）机关事业单位职业年金缴费支出（项）：支出决算数为0.00万元，比上年决算减少6.62万元，下降100.00%，主要原因是：</w:t>
      </w:r>
      <w:r>
        <w:rPr>
          <w:rFonts w:hint="eastAsia" w:ascii="仿宋_GB2312" w:eastAsia="仿宋_GB2312"/>
          <w:b w:val="0"/>
          <w:sz w:val="32"/>
          <w:szCs w:val="32"/>
          <w:lang w:val="en-US" w:eastAsia="zh-CN"/>
        </w:rPr>
        <w:t>本年列入行政运行科目里。</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卫生健康支出（类）行政事业单位医疗（款）行政单位医疗（项）：支出决算数为16.05万元，比上年决算减少2.93万元，下降15.44%，主要原因是：</w:t>
      </w:r>
      <w:r>
        <w:rPr>
          <w:rFonts w:hint="eastAsia" w:ascii="仿宋_GB2312" w:eastAsia="仿宋_GB2312"/>
          <w:b w:val="0"/>
          <w:sz w:val="32"/>
          <w:szCs w:val="32"/>
          <w:lang w:val="en-US" w:eastAsia="zh-CN"/>
        </w:rPr>
        <w:t>宣传部（本级）在职人员减少。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卫生健康支出（类）行政事业单位医疗（款）公务员医疗补助（项）：支出决算数为5.49万元，比上年决算减少0.06万元，下降1.08%，主要原因是：</w:t>
      </w:r>
      <w:r>
        <w:rPr>
          <w:rFonts w:hint="eastAsia" w:ascii="仿宋_GB2312" w:eastAsia="仿宋_GB2312"/>
          <w:b w:val="0"/>
          <w:sz w:val="32"/>
          <w:szCs w:val="32"/>
          <w:lang w:val="en-US" w:eastAsia="zh-CN"/>
        </w:rPr>
        <w:t>宣传部（本级）在职人员减少。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住房保障支出（类）住房改革支出（款）住房公积金（项）：支出决算数为27.95万元，比上年决算增加0.57万元，增长2.08%，主要原因是：</w:t>
      </w:r>
      <w:r>
        <w:rPr>
          <w:rFonts w:hint="eastAsia" w:ascii="仿宋_GB2312" w:eastAsia="仿宋_GB2312"/>
          <w:b w:val="0"/>
          <w:sz w:val="32"/>
          <w:szCs w:val="32"/>
          <w:lang w:val="en-US" w:eastAsia="zh-CN"/>
        </w:rPr>
        <w:t>本年度人员工资调整，公积金基数上调。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其他支出（类）其他支出（款）其他支出（项）：支出决算数为116.19万元，比上年决算增加116.19万元，增长100.00%，主要原因是：</w:t>
      </w:r>
      <w:r>
        <w:rPr>
          <w:rFonts w:hint="eastAsia" w:ascii="仿宋_GB2312" w:eastAsia="仿宋_GB2312"/>
          <w:b w:val="0"/>
          <w:sz w:val="32"/>
          <w:szCs w:val="32"/>
          <w:lang w:val="en-US" w:eastAsia="zh-CN"/>
        </w:rPr>
        <w:t>本年宣传部（本级）负责中秋晚会相关开支。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1,023.93万元，其中：人员经费885.15万元，包括：基本工资、津贴补贴、奖金、机关事业单位基本养老保险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公用经费138.78万元，包括：办公费、水费、电费、邮电费、取暖费、差旅费、维修（护）费、培训费、劳务费、委托业务费、工会经费、福利费、公务用车运行维护费和其他交通费用。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2024年度财政拨款“三公”经费支出6.44万元，比上年减少0.01万元，下降0.16%，</w:t>
      </w:r>
      <w:r>
        <w:rPr>
          <w:rFonts w:hint="eastAsia" w:ascii="仿宋_GB2312" w:eastAsia="仿宋_GB2312"/>
          <w:color w:val="auto"/>
          <w:sz w:val="32"/>
          <w:szCs w:val="32"/>
          <w:highlight w:val="none"/>
          <w:lang w:val="zh-CN" w:eastAsia="zh-CN"/>
        </w:rPr>
        <w:t>严格控制三公经费，厉行节约</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val="zh-CN" w:eastAsia="zh-CN"/>
        </w:rPr>
        <w:t>无因公出国（境）费</w:t>
      </w:r>
      <w:r>
        <w:rPr>
          <w:rFonts w:ascii="仿宋_GB2312" w:eastAsia="仿宋_GB2312"/>
          <w:b w:val="0"/>
          <w:sz w:val="32"/>
          <w:szCs w:val="32"/>
        </w:rPr>
        <w:t>；公务用车购置及运行维护费支出6.44万元，占100.00%，比上年减少0.01万元，下降0.16%，主要原因是：</w:t>
      </w:r>
      <w:r>
        <w:rPr>
          <w:rFonts w:hint="eastAsia" w:ascii="仿宋_GB2312" w:eastAsia="仿宋_GB2312"/>
          <w:b w:val="0"/>
          <w:sz w:val="32"/>
          <w:szCs w:val="32"/>
          <w:lang w:val="en-US" w:eastAsia="zh-CN"/>
        </w:rPr>
        <w:t>我部门严格控制公务用车运行维护费支出</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val="zh-CN" w:eastAsia="zh-CN"/>
        </w:rPr>
        <w:t>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6.44万元，其中：公务用车购置费0.00万元，公务用车运行维护费6.44万元。公务用车运行维护费开支内容包括。公务用车购置数0辆，公务用车保有量4辆。国有资产占用情况中固定资产车辆4辆，与公务用车保有量差异原因是：</w:t>
      </w:r>
      <w:r>
        <w:rPr>
          <w:rFonts w:hint="eastAsia" w:ascii="仿宋_GB2312" w:eastAsia="仿宋_GB2312"/>
          <w:b w:val="0"/>
          <w:sz w:val="32"/>
          <w:szCs w:val="32"/>
        </w:rPr>
        <w:t>国有资产占用情况中固定资产车辆与公务用车保有量一致，无差异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与全年预算相比，财政拨款“三公”经费支出全年预算数6.44万元，决算数6.44万元，预决算差异率0.00%，</w:t>
      </w:r>
      <w:r>
        <w:rPr>
          <w:rFonts w:hint="eastAsia" w:ascii="仿宋_GB2312" w:eastAsia="仿宋_GB2312"/>
          <w:b w:val="0"/>
          <w:sz w:val="32"/>
          <w:szCs w:val="32"/>
        </w:rPr>
        <w:t>主要原因是：严格控制三公经费，厉行节约。其中：因公出国（境）费全年预算数0.00万元，决算数0.00万元，预决算差异率0.00%，主要原因是：我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无因公出国（境）费；公务用车购置费全年预算数0.00万元，决算数0.00万元，预决算差异率0.00%，主要原因是：我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无公务用车购置费；</w:t>
      </w:r>
      <w:r>
        <w:rPr>
          <w:rFonts w:ascii="仿宋_GB2312" w:eastAsia="仿宋_GB2312"/>
          <w:b w:val="0"/>
          <w:sz w:val="32"/>
          <w:szCs w:val="32"/>
        </w:rPr>
        <w:t>公务用车运行维护费全年预算数6.44万元，决算数6.44万元，预决算差异率0.00%，</w:t>
      </w:r>
      <w:r>
        <w:rPr>
          <w:rFonts w:hint="eastAsia" w:ascii="仿宋_GB2312" w:eastAsia="仿宋_GB2312"/>
          <w:b w:val="0"/>
          <w:sz w:val="32"/>
          <w:szCs w:val="32"/>
        </w:rPr>
        <w:t>主要原因是：严格控制三公经费，厉行节约；公务接待费全年预算数0.00万元，决算数0.00万元，预决算差异率0.00%，主要原因是：我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2024年度中共库尔勒市委员会宣传部部门机关运行经费支出26.16万元，比上年增加3.79万元，增长16.94%，主要原因是：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2024年度公用经费支出112.62万元，比上年减少65.71万元，下降49.19%，主要原因是：</w:t>
      </w:r>
      <w:r>
        <w:rPr>
          <w:rFonts w:hint="eastAsia" w:ascii="仿宋_GB2312" w:eastAsia="仿宋_GB2312"/>
          <w:b w:val="0"/>
          <w:sz w:val="32"/>
          <w:szCs w:val="32"/>
          <w:lang w:val="en-US" w:eastAsia="zh-CN"/>
        </w:rPr>
        <w:t>本年度融媒体中心自聘人员辞职5人</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2024年度政府采购支出总额157.36万元，其中：政府采购货物支出26.25万元、政府采购工程支出0.00万元、政府采购服务支出131.11万元。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授予中小企业合同金额146.91万元，占政府采购支出总额的93.36%，其中：授予小微企业合同金额134.42万元，占政府采购支出总额的85.42%。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4辆，价值66.43万元，其中：副部（省）级及以上领导用车0辆、主要负责人用车1辆、机要通信用车0辆、应急保障用车0辆、执法执勤用车0辆、特种专业技术用车0辆、离退休干部服务用车0辆、其他用车3辆，其他用车主要是：</w:t>
      </w:r>
      <w:r>
        <w:rPr>
          <w:rFonts w:hint="eastAsia" w:ascii="Times New Roman" w:hAnsi="Times New Roman" w:eastAsia="仿宋_GB2312" w:cs="Times New Roman"/>
          <w:color w:val="auto"/>
          <w:sz w:val="32"/>
          <w:szCs w:val="32"/>
          <w:highlight w:val="none"/>
          <w:lang w:val="zh-CN" w:eastAsia="zh-CN"/>
        </w:rPr>
        <w:t>公务用车</w:t>
      </w:r>
      <w:r>
        <w:rPr>
          <w:rFonts w:ascii="仿宋_GB2312" w:eastAsia="仿宋_GB2312"/>
          <w:b w:val="0"/>
          <w:sz w:val="32"/>
          <w:szCs w:val="32"/>
        </w:rPr>
        <w:t>;单价100万元（含）以上设备（不含车辆）2台（套）。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w:t>
      </w:r>
      <w:r>
        <w:rPr>
          <w:rFonts w:hint="eastAsia" w:ascii="仿宋_GB2312" w:eastAsia="仿宋_GB2312"/>
          <w:b w:val="0"/>
          <w:sz w:val="32"/>
          <w:szCs w:val="32"/>
          <w:lang w:val="en-US" w:eastAsia="zh-CN"/>
        </w:rPr>
        <w:t>0</w:t>
      </w:r>
      <w:r>
        <w:rPr>
          <w:rFonts w:ascii="仿宋_GB2312" w:eastAsia="仿宋_GB2312"/>
          <w:b w:val="0"/>
          <w:sz w:val="32"/>
          <w:szCs w:val="32"/>
        </w:rPr>
        <w:t>个，全年预算总额</w:t>
      </w:r>
      <w:r>
        <w:rPr>
          <w:rFonts w:hint="eastAsia" w:ascii="仿宋_GB2312" w:eastAsia="仿宋_GB2312"/>
          <w:b w:val="0"/>
          <w:sz w:val="32"/>
          <w:szCs w:val="32"/>
          <w:lang w:val="en-US" w:eastAsia="zh-CN"/>
        </w:rPr>
        <w:t>0</w:t>
      </w:r>
      <w:r>
        <w:rPr>
          <w:rFonts w:ascii="仿宋_GB2312" w:eastAsia="仿宋_GB2312"/>
          <w:b w:val="0"/>
          <w:sz w:val="32"/>
          <w:szCs w:val="32"/>
        </w:rPr>
        <w:t>万元，实际执行总额</w:t>
      </w:r>
      <w:r>
        <w:rPr>
          <w:rFonts w:hint="eastAsia" w:ascii="仿宋_GB2312" w:eastAsia="仿宋_GB2312"/>
          <w:b w:val="0"/>
          <w:sz w:val="32"/>
          <w:szCs w:val="32"/>
          <w:lang w:val="en-US" w:eastAsia="zh-CN"/>
        </w:rPr>
        <w:t>0</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2</w:t>
      </w:r>
      <w:r>
        <w:rPr>
          <w:rFonts w:ascii="仿宋_GB2312" w:eastAsia="仿宋_GB2312"/>
          <w:b w:val="0"/>
          <w:sz w:val="32"/>
          <w:szCs w:val="32"/>
        </w:rPr>
        <w:t>个，全年预算数</w:t>
      </w:r>
      <w:r>
        <w:rPr>
          <w:rFonts w:hint="eastAsia" w:ascii="仿宋_GB2312" w:eastAsia="仿宋_GB2312"/>
          <w:b w:val="0"/>
          <w:sz w:val="32"/>
          <w:szCs w:val="32"/>
          <w:lang w:val="en-US" w:eastAsia="zh-CN"/>
        </w:rPr>
        <w:t>160</w:t>
      </w:r>
      <w:r>
        <w:rPr>
          <w:rFonts w:ascii="仿宋_GB2312" w:eastAsia="仿宋_GB2312"/>
          <w:b w:val="0"/>
          <w:sz w:val="32"/>
          <w:szCs w:val="32"/>
        </w:rPr>
        <w:t>万元，全年执行数</w:t>
      </w:r>
      <w:r>
        <w:rPr>
          <w:rFonts w:hint="eastAsia" w:ascii="仿宋_GB2312" w:eastAsia="仿宋_GB2312"/>
          <w:b w:val="0"/>
          <w:sz w:val="32"/>
          <w:szCs w:val="32"/>
          <w:lang w:val="en-US" w:eastAsia="zh-CN"/>
        </w:rPr>
        <w:t>157.19</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rPr>
        <w:t>根据预算绩效管理要求，我部门2024年度预算绩效管理整体支出绩效自评表0个，全年预算总额0万元，实际执行总额0万元。我部门整体绩效自评表，由各单位自行编制并公开。</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bidi w:val="0"/>
        <w:rPr>
          <w:rFonts w:asciiTheme="minorHAnsi" w:hAnsiTheme="minorHAnsi" w:eastAsiaTheme="minorEastAsia" w:cstheme="minorBidi"/>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1748"/>
        </w:tabs>
        <w:bidi w:val="0"/>
        <w:jc w:val="left"/>
        <w:rPr>
          <w:rFonts w:hint="eastAsia"/>
          <w:lang w:eastAsia="zh-CN"/>
        </w:rPr>
      </w:pPr>
      <w:r>
        <w:rPr>
          <w:rFonts w:hint="eastAsia"/>
          <w:lang w:eastAsia="zh-CN"/>
        </w:rPr>
        <w:tab/>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28575</wp:posOffset>
            </wp:positionV>
            <wp:extent cx="6515100" cy="8044815"/>
            <wp:effectExtent l="0" t="0" r="0" b="133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515100" cy="8044815"/>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r>
        <w:drawing>
          <wp:anchor distT="0" distB="0" distL="114300" distR="114300" simplePos="0" relativeHeight="251660288" behindDoc="0" locked="0" layoutInCell="1" allowOverlap="1">
            <wp:simplePos x="0" y="0"/>
            <wp:positionH relativeFrom="column">
              <wp:posOffset>-542925</wp:posOffset>
            </wp:positionH>
            <wp:positionV relativeFrom="paragraph">
              <wp:posOffset>-18415</wp:posOffset>
            </wp:positionV>
            <wp:extent cx="6377305" cy="8126730"/>
            <wp:effectExtent l="0" t="0" r="4445" b="762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377305" cy="8126730"/>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r>
        <w:drawing>
          <wp:anchor distT="0" distB="0" distL="114300" distR="114300" simplePos="0" relativeHeight="251661312" behindDoc="0" locked="0" layoutInCell="1" allowOverlap="1">
            <wp:simplePos x="0" y="0"/>
            <wp:positionH relativeFrom="column">
              <wp:posOffset>-409575</wp:posOffset>
            </wp:positionH>
            <wp:positionV relativeFrom="paragraph">
              <wp:posOffset>39370</wp:posOffset>
            </wp:positionV>
            <wp:extent cx="6544310" cy="7945755"/>
            <wp:effectExtent l="0" t="0" r="8890" b="1714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544310" cy="7945755"/>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r>
        <w:drawing>
          <wp:anchor distT="0" distB="0" distL="114300" distR="114300" simplePos="0" relativeHeight="251662336" behindDoc="0" locked="0" layoutInCell="1" allowOverlap="1">
            <wp:simplePos x="0" y="0"/>
            <wp:positionH relativeFrom="column">
              <wp:posOffset>-390525</wp:posOffset>
            </wp:positionH>
            <wp:positionV relativeFrom="paragraph">
              <wp:posOffset>28575</wp:posOffset>
            </wp:positionV>
            <wp:extent cx="6441440" cy="8201660"/>
            <wp:effectExtent l="0" t="0" r="16510" b="889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441440" cy="8201660"/>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r>
        <w:drawing>
          <wp:anchor distT="0" distB="0" distL="114300" distR="114300" simplePos="0" relativeHeight="251663360" behindDoc="0" locked="0" layoutInCell="1" allowOverlap="1">
            <wp:simplePos x="0" y="0"/>
            <wp:positionH relativeFrom="column">
              <wp:posOffset>-323850</wp:posOffset>
            </wp:positionH>
            <wp:positionV relativeFrom="paragraph">
              <wp:posOffset>28575</wp:posOffset>
            </wp:positionV>
            <wp:extent cx="6208395" cy="8044180"/>
            <wp:effectExtent l="0" t="0" r="1905" b="1397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208395" cy="8044180"/>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r>
        <w:drawing>
          <wp:anchor distT="0" distB="0" distL="114300" distR="114300" simplePos="0" relativeHeight="251664384" behindDoc="0" locked="0" layoutInCell="1" allowOverlap="1">
            <wp:simplePos x="0" y="0"/>
            <wp:positionH relativeFrom="column">
              <wp:posOffset>-409575</wp:posOffset>
            </wp:positionH>
            <wp:positionV relativeFrom="paragraph">
              <wp:posOffset>10160</wp:posOffset>
            </wp:positionV>
            <wp:extent cx="6448425" cy="7547610"/>
            <wp:effectExtent l="0" t="0" r="9525" b="1524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6448425" cy="7547610"/>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r>
        <w:drawing>
          <wp:anchor distT="0" distB="0" distL="114300" distR="114300" simplePos="0" relativeHeight="251665408" behindDoc="0" locked="0" layoutInCell="1" allowOverlap="1">
            <wp:simplePos x="0" y="0"/>
            <wp:positionH relativeFrom="column">
              <wp:posOffset>-590550</wp:posOffset>
            </wp:positionH>
            <wp:positionV relativeFrom="paragraph">
              <wp:posOffset>-9525</wp:posOffset>
            </wp:positionV>
            <wp:extent cx="6898640" cy="3682365"/>
            <wp:effectExtent l="0" t="0" r="16510" b="1333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898640" cy="3682365"/>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r>
        <w:drawing>
          <wp:anchor distT="0" distB="0" distL="114300" distR="114300" simplePos="0" relativeHeight="251666432" behindDoc="0" locked="0" layoutInCell="1" allowOverlap="1">
            <wp:simplePos x="0" y="0"/>
            <wp:positionH relativeFrom="column">
              <wp:posOffset>-466725</wp:posOffset>
            </wp:positionH>
            <wp:positionV relativeFrom="paragraph">
              <wp:posOffset>28575</wp:posOffset>
            </wp:positionV>
            <wp:extent cx="6773545" cy="3985895"/>
            <wp:effectExtent l="0" t="0" r="8255" b="1460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6773545" cy="3985895"/>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bookmarkStart w:id="0" w:name="_GoBack"/>
      <w:bookmarkEnd w:id="0"/>
      <w:r>
        <w:drawing>
          <wp:anchor distT="0" distB="0" distL="114300" distR="114300" simplePos="0" relativeHeight="251667456" behindDoc="0" locked="0" layoutInCell="1" allowOverlap="1">
            <wp:simplePos x="0" y="0"/>
            <wp:positionH relativeFrom="column">
              <wp:posOffset>-419100</wp:posOffset>
            </wp:positionH>
            <wp:positionV relativeFrom="paragraph">
              <wp:posOffset>0</wp:posOffset>
            </wp:positionV>
            <wp:extent cx="6659880" cy="3888740"/>
            <wp:effectExtent l="0" t="0" r="7620" b="1651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6659880" cy="3888740"/>
                    </a:xfrm>
                    <a:prstGeom prst="rect">
                      <a:avLst/>
                    </a:prstGeom>
                    <a:noFill/>
                    <a:ln>
                      <a:noFill/>
                    </a:ln>
                  </pic:spPr>
                </pic:pic>
              </a:graphicData>
            </a:graphic>
          </wp:anchor>
        </w:drawing>
      </w: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p>
      <w:pPr>
        <w:tabs>
          <w:tab w:val="left" w:pos="1748"/>
        </w:tabs>
        <w:bidi w:val="0"/>
        <w:jc w:val="left"/>
        <w:rPr>
          <w:rFonts w:hint="eastAsia"/>
          <w:lang w:eastAsia="zh-CN"/>
        </w:rPr>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19A82C22"/>
    <w:rsid w:val="23545D62"/>
    <w:rsid w:val="3D586137"/>
    <w:rsid w:val="3E194580"/>
    <w:rsid w:val="687B41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2025-08-15T05:25:00Z</dcterms:created>
  <dc:creator>Administrator</dc:creator>
  <cp:lastModifiedBy>Administrator</cp:lastModifiedBy>
  <dcterms:modified xsi:type="dcterms:W3CDTF">2025-08-20T04:19:16Z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