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库尔勒市科学技术馆</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负责组织举办常设性和临时性的科普活动或展览；组织 科普 专题报告会、讲座、影视等教育活动；组织面向青少年的科学实验 和科技竞技比赛等活动；收集和贮存科普展览的 有关资料及实物， 设计、制作和布置展览，组织并辅导公众参观展览；组织面向公众 的各种类型的科技培训；组织开展青少年科技教育研究活动和宣传 活动；负责上级或其他单位委托的各种工作任务。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库尔勒市科学技术馆2024年度，实有人数5人，其中：在职人员5人，较上年无变化；离休人员0人，较上年无变化；退休人员0人，较上年无变化；</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lang w:eastAsia="zh-CN"/>
        </w:rPr>
        <w:sectPr>
          <w:footerReference r:id="rId3" w:type="default"/>
          <w:pgSz w:w="11906" w:h="16838"/>
          <w:pgMar w:top="1440" w:right="1800" w:bottom="1440" w:left="1800" w:header="851" w:footer="992" w:gutter="0"/>
          <w:cols w:space="720" w:num="1"/>
          <w:docGrid w:type="lines" w:linePitch="312" w:charSpace="0"/>
        </w:sectPr>
      </w:pPr>
      <w:r>
        <w:rPr>
          <w:rFonts w:ascii="仿宋_GB2312" w:eastAsia="仿宋_GB2312"/>
          <w:b w:val="0"/>
          <w:sz w:val="32"/>
          <w:szCs w:val="32"/>
        </w:rPr>
        <w:t>库尔勒市科学技术馆无下属预算单位，</w:t>
      </w:r>
      <w:r>
        <w:rPr>
          <w:rFonts w:hint="eastAsia" w:ascii="仿宋_GB2312" w:hAnsi="黑体" w:eastAsia="仿宋_GB2312" w:cs="宋体"/>
          <w:bCs/>
          <w:color w:val="auto"/>
          <w:kern w:val="0"/>
          <w:sz w:val="32"/>
          <w:szCs w:val="32"/>
          <w:highlight w:val="none"/>
        </w:rPr>
        <w:t>下设 3 个处室，分别是：行政办、展教中心、工程部</w:t>
      </w:r>
      <w:r>
        <w:rPr>
          <w:rFonts w:hint="eastAsia" w:ascii="仿宋_GB2312" w:hAnsi="黑体" w:eastAsia="仿宋_GB2312" w:cs="宋体"/>
          <w:bCs/>
          <w:color w:val="auto"/>
          <w:kern w:val="0"/>
          <w:sz w:val="32"/>
          <w:szCs w:val="32"/>
          <w:highlight w:val="none"/>
          <w:lang w:eastAsia="zh-CN"/>
        </w:rPr>
        <w:t>。</w:t>
      </w:r>
    </w:p>
    <w:p>
      <w:pPr>
        <w:widowControl/>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2024年度收入总计389.81万元，其中：本年收入合计389.81万元，使用非财政拨款结余（含专用结余）0.00万元，年初结转和结余0.00万元。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2024年度支出总计389.81万元，其中：本年支出合计389.81万元，结余分配0.00万元，年末结转和结余0.00万元。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收入支出总体与上年相比，减少31.34万元，下降7.44%，主要原因是：</w:t>
      </w:r>
      <w:r>
        <w:rPr>
          <w:rFonts w:hint="eastAsia" w:ascii="仿宋_GB2312" w:eastAsia="仿宋_GB2312"/>
          <w:b w:val="0"/>
          <w:sz w:val="32"/>
          <w:szCs w:val="32"/>
        </w:rPr>
        <w:t>本年度编外人员辞职2名，同时减少科普流动费用</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本年收入389.81万元，其中：财政拨款收入389.81万元,占100.00%；上级补助收入0.00万元,占0.00%；事业收入0.00万元，占0.00%；经营收入0.00万元,占0.00%；附属单位上缴收入0.00万元，占0.00%；其他收入0.00万元，占0.00%。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本年支出389.81万元，其中：基本支出148.49万元，占38.09%；项目支出241.32万元，占61.91%；上缴上级支出0.00万元，占0.00%；经营支出0.00万元，占0.00%；对附属单位补助支出0.00万元，占0.00%。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2024年度财政拨款收入总计389.81万元，其中：年初财政拨款结转和结余0.00万元，本年财政拨款收入389.81万元。财政拨款支出总计389.81万元，其中：年末财政拨款结转和结余0.00万元，本年财政拨款支出389.81万元。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财政拨款收入支出总体与上年相比，减少31.34万元，下降7.44%，主要原因是：</w:t>
      </w:r>
      <w:r>
        <w:rPr>
          <w:rFonts w:hint="eastAsia" w:ascii="仿宋_GB2312" w:eastAsia="仿宋_GB2312"/>
          <w:b w:val="0"/>
          <w:sz w:val="32"/>
          <w:szCs w:val="32"/>
        </w:rPr>
        <w:t>本年度编外人员辞职2名，同时减少科普流动费用</w:t>
      </w:r>
      <w:r>
        <w:rPr>
          <w:rFonts w:ascii="仿宋_GB2312" w:eastAsia="仿宋_GB2312"/>
          <w:b w:val="0"/>
          <w:sz w:val="32"/>
          <w:szCs w:val="32"/>
        </w:rPr>
        <w:t>。与年初预算相比，年初预算数563.02万元，决算数389.81万元，预决算差异率-30.76%，主要原因是：</w:t>
      </w:r>
      <w:r>
        <w:rPr>
          <w:rFonts w:hint="eastAsia" w:ascii="仿宋_GB2312" w:eastAsia="仿宋_GB2312"/>
          <w:b w:val="0"/>
          <w:sz w:val="32"/>
          <w:szCs w:val="32"/>
        </w:rPr>
        <w:t>本年度编外人员辞职2名，剩余转入外包公司</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减少了办公经费的支出，同时减少了科普活动经费的支出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2024年度一般公共预算财政拨款支出389.81万元，占本年支出合计的100.00%。与上年相比，减少31.34万元，下降7.44%，主要原因是：</w:t>
      </w:r>
      <w:r>
        <w:rPr>
          <w:rFonts w:hint="eastAsia" w:ascii="仿宋_GB2312" w:eastAsia="仿宋_GB2312"/>
          <w:b w:val="0"/>
          <w:sz w:val="32"/>
          <w:szCs w:val="32"/>
        </w:rPr>
        <w:t>本年度编外人员辞职2名，同时减少科普流动费用</w:t>
      </w:r>
      <w:r>
        <w:rPr>
          <w:rFonts w:ascii="仿宋_GB2312" w:eastAsia="仿宋_GB2312"/>
          <w:b w:val="0"/>
          <w:sz w:val="32"/>
          <w:szCs w:val="32"/>
        </w:rPr>
        <w:t>。与年初预算相比，年初预算数563.02万元，决算数389.81万元，预决算差异率-30.76%，主要原因是：</w:t>
      </w:r>
      <w:r>
        <w:rPr>
          <w:rFonts w:hint="eastAsia" w:ascii="仿宋_GB2312" w:eastAsia="仿宋_GB2312"/>
          <w:b w:val="0"/>
          <w:sz w:val="32"/>
          <w:szCs w:val="32"/>
        </w:rPr>
        <w:t>本年度编外人员辞职2名，剩余转入外包公司</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减少了办公经费的支出，同时减少了科普活动经费的支出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科学技术支出（类）389.81万元，占100.00%。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教育支出（类）进修及培训（款）培训支出（项）：支出决算数为0.00万元，比上年决算减少0.21万元，下降100.00%，主要原因是：</w:t>
      </w:r>
      <w:r>
        <w:rPr>
          <w:rFonts w:hint="eastAsia" w:ascii="仿宋_GB2312" w:eastAsia="仿宋_GB2312"/>
          <w:b w:val="0"/>
          <w:sz w:val="32"/>
          <w:szCs w:val="32"/>
          <w:lang w:val="en-US" w:eastAsia="zh-CN"/>
        </w:rPr>
        <w:t>本年度外出培训支出减少。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科学技术支出（类）科学技术普及（款）科技馆站（项）：支出决算数为389.81万元，比上年决算减少31.14万元，下降7.40%，主要原因是：</w:t>
      </w:r>
      <w:r>
        <w:rPr>
          <w:rFonts w:hint="eastAsia" w:ascii="仿宋_GB2312" w:eastAsia="仿宋_GB2312"/>
          <w:b w:val="0"/>
          <w:sz w:val="32"/>
          <w:szCs w:val="32"/>
        </w:rPr>
        <w:t>本年度编外人员辞职2名，剩余转入外包公司</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同时减少科普活动支出。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148.49万元，其中：人员经费146.66万元，包括：基本工资、津贴补贴、奖金、机关事业单位基本养老保险缴费、职工基本医疗保险缴费、其他社会保障缴费、住房公积金和其他工资福利支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公用经费1.83万元，包括：办公费、培训费和工会经费。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color w:val="auto"/>
          <w:spacing w:val="0"/>
          <w:sz w:val="32"/>
          <w:szCs w:val="32"/>
          <w:highlight w:val="none"/>
          <w:lang w:val="en-US" w:eastAsia="zh-CN"/>
        </w:rPr>
        <w:t>本年无三公经费支出</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本年无因公出国（境）费支出</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color w:val="auto"/>
          <w:sz w:val="32"/>
          <w:szCs w:val="32"/>
          <w:highlight w:val="none"/>
          <w:lang w:val="en-US" w:eastAsia="zh-CN"/>
        </w:rPr>
        <w:t>本年无公务用车购置及运行维护费支出</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zh-CN" w:eastAsia="zh-CN"/>
        </w:rPr>
        <w:t>本年无公务接待支出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color w:val="auto"/>
          <w:sz w:val="32"/>
          <w:szCs w:val="32"/>
          <w:highlight w:val="none"/>
          <w:lang w:val="zh-CN" w:eastAsia="zh-CN"/>
        </w:rPr>
        <w:t>本年未安排因公出国（境）费支出，无开支内容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我单位无公务用车运行维护费</w:t>
      </w:r>
      <w:r>
        <w:rPr>
          <w:rFonts w:ascii="仿宋_GB2312" w:eastAsia="仿宋_GB2312"/>
          <w:b w:val="0"/>
          <w:sz w:val="32"/>
          <w:szCs w:val="32"/>
        </w:rPr>
        <w:t>。公务用车购置数0辆，公务用车保有量0辆。国有资产占用情况中固定资产车辆1辆，与公务用车保有量差异原因是：</w:t>
      </w:r>
      <w:r>
        <w:rPr>
          <w:rFonts w:hint="eastAsia" w:ascii="仿宋_GB2312" w:eastAsia="仿宋_GB2312"/>
          <w:color w:val="auto"/>
          <w:sz w:val="32"/>
          <w:szCs w:val="32"/>
          <w:highlight w:val="none"/>
          <w:lang w:val="en-US" w:eastAsia="zh-CN"/>
        </w:rPr>
        <w:t>国有资产占用主要为科普宣传车辆</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color w:val="auto"/>
          <w:sz w:val="32"/>
          <w:szCs w:val="32"/>
          <w:highlight w:val="none"/>
          <w:lang w:val="zh-CN" w:eastAsia="zh-CN"/>
        </w:rPr>
        <w:t>本年未安排公务接待费支出，无开支内容</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color w:val="auto"/>
          <w:spacing w:val="0"/>
          <w:sz w:val="32"/>
          <w:szCs w:val="32"/>
          <w:highlight w:val="none"/>
          <w:lang w:val="en-US" w:eastAsia="zh-CN"/>
        </w:rPr>
        <w:t>本年无三公经费支出</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本年无因公出国（境）费支出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en-US" w:eastAsia="zh-CN"/>
        </w:rPr>
        <w:t>本年无公务用车购置费支出</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color w:val="auto"/>
          <w:sz w:val="32"/>
          <w:szCs w:val="32"/>
          <w:highlight w:val="none"/>
          <w:lang w:val="en-US" w:eastAsia="zh-CN"/>
        </w:rPr>
        <w:t>本年无公务用车运行费支出</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本年无公务接待支出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2024年度公用经费支出1.83万元，比上年减少230.24万元，下降99.21%，主要原因是：</w:t>
      </w:r>
      <w:r>
        <w:rPr>
          <w:rFonts w:hint="eastAsia" w:ascii="仿宋_GB2312" w:eastAsia="仿宋_GB2312"/>
          <w:b w:val="0"/>
          <w:sz w:val="32"/>
          <w:szCs w:val="32"/>
        </w:rPr>
        <w:t>本年度减少科普流动展费用</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2024年度政府采购支出总额217.57万元，其中：政府采购货物支出199.56万元、政府采购工程支出0.00万元、政府采购服务支出18.01万元。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授予中小企业合同金额216.98万元，占政府采购支出总额的99.73%，其中：授予小微企业合同金额65.10万元，占政府采购支出总额的29.92%。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79.62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val="en-US" w:eastAsia="zh-CN"/>
        </w:rPr>
        <w:t>科普宣传用车</w:t>
      </w:r>
      <w:bookmarkStart w:id="0" w:name="_GoBack"/>
      <w:bookmarkEnd w:id="0"/>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389.81</w:t>
      </w:r>
      <w:r>
        <w:rPr>
          <w:rFonts w:ascii="仿宋_GB2312" w:eastAsia="仿宋_GB2312"/>
          <w:b w:val="0"/>
          <w:sz w:val="32"/>
          <w:szCs w:val="32"/>
        </w:rPr>
        <w:t>万元，实际执行总额</w:t>
      </w:r>
      <w:r>
        <w:rPr>
          <w:rFonts w:hint="eastAsia" w:ascii="仿宋_GB2312" w:eastAsia="仿宋_GB2312"/>
          <w:b w:val="0"/>
          <w:sz w:val="32"/>
          <w:szCs w:val="32"/>
          <w:lang w:val="en-US" w:eastAsia="zh-CN"/>
        </w:rPr>
        <w:t>389.81</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5</w:t>
      </w:r>
      <w:r>
        <w:rPr>
          <w:rFonts w:ascii="仿宋_GB2312" w:eastAsia="仿宋_GB2312"/>
          <w:b w:val="0"/>
          <w:sz w:val="32"/>
          <w:szCs w:val="32"/>
        </w:rPr>
        <w:t>个，全年预算数</w:t>
      </w:r>
      <w:r>
        <w:rPr>
          <w:rFonts w:hint="eastAsia" w:ascii="仿宋_GB2312" w:eastAsia="仿宋_GB2312"/>
          <w:b w:val="0"/>
          <w:sz w:val="32"/>
          <w:szCs w:val="32"/>
          <w:lang w:val="en-US" w:eastAsia="zh-CN"/>
        </w:rPr>
        <w:t>375.35</w:t>
      </w:r>
      <w:r>
        <w:rPr>
          <w:rFonts w:ascii="仿宋_GB2312" w:eastAsia="仿宋_GB2312"/>
          <w:b w:val="0"/>
          <w:sz w:val="32"/>
          <w:szCs w:val="32"/>
        </w:rPr>
        <w:t>万元，全年执行数</w:t>
      </w:r>
      <w:r>
        <w:rPr>
          <w:rFonts w:hint="eastAsia" w:ascii="仿宋_GB2312" w:eastAsia="仿宋_GB2312"/>
          <w:b w:val="0"/>
          <w:sz w:val="32"/>
          <w:szCs w:val="32"/>
          <w:lang w:val="en-US" w:eastAsia="zh-CN"/>
        </w:rPr>
        <w:t>250.3</w:t>
      </w:r>
      <w:r>
        <w:rPr>
          <w:rFonts w:ascii="仿宋_GB2312" w:eastAsia="仿宋_GB2312"/>
          <w:b w:val="0"/>
          <w:sz w:val="32"/>
          <w:szCs w:val="32"/>
        </w:rPr>
        <w:t>万元。预算绩效管理取得的成效：</w:t>
      </w: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lang w:eastAsia="zh-CN"/>
        </w:rPr>
        <w:t>是资金拨付审批手续完整。项目资金专款专用，不存在支出依据不合规，序列项目支出，截留，挤占，挪用和超标准支出等现象，使项目资金的运用得到了合理的控制，项目得到了切实的保障。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eastAsia="仿宋_GB2312"/>
          <w:color w:val="auto"/>
          <w:sz w:val="32"/>
          <w:szCs w:val="32"/>
          <w:highlight w:val="none"/>
          <w:lang w:val="en-US" w:eastAsia="zh-CN"/>
        </w:rPr>
        <w:t>二</w:t>
      </w:r>
      <w:r>
        <w:rPr>
          <w:rFonts w:hint="eastAsia" w:ascii="仿宋_GB2312" w:eastAsia="仿宋_GB2312"/>
          <w:color w:val="auto"/>
          <w:sz w:val="32"/>
          <w:szCs w:val="32"/>
          <w:highlight w:val="none"/>
          <w:lang w:eastAsia="zh-CN"/>
        </w:rPr>
        <w:t>是会计信息质量真实。严格执行《会计法》等财经法规，严格按照相关会计制度办理会计业务，进行会计核算，并做好会计记录，真实的反映项目资金管理情况，并接受县财政、审批部门及上级主管部门的检查、监督。</w:t>
      </w:r>
      <w:r>
        <w:rPr>
          <w:rFonts w:hint="eastAsia" w:ascii="仿宋_GB2312" w:eastAsia="仿宋_GB2312"/>
          <w:color w:val="auto"/>
          <w:sz w:val="32"/>
          <w:szCs w:val="32"/>
          <w:highlight w:val="none"/>
          <w:lang w:val="en-US" w:eastAsia="zh-CN"/>
        </w:rPr>
        <w:t>三</w:t>
      </w:r>
      <w:r>
        <w:rPr>
          <w:rFonts w:hint="eastAsia" w:ascii="仿宋_GB2312" w:eastAsia="仿宋_GB2312"/>
          <w:color w:val="auto"/>
          <w:sz w:val="32"/>
          <w:szCs w:val="32"/>
          <w:highlight w:val="none"/>
          <w:lang w:eastAsia="zh-CN"/>
        </w:rPr>
        <w:t>是执行预决算管理。严格按预算管理要求使用资金，严格按进度和合同拨付资金，严格执行政府采购制度；严格执行国库集中支付制度，严防截留、挪用资金，打造专项资金在阳光下运行</w:t>
      </w:r>
      <w:r>
        <w:rPr>
          <w:rFonts w:ascii="仿宋_GB2312" w:eastAsia="仿宋_GB2312"/>
          <w:b w:val="0"/>
          <w:sz w:val="32"/>
          <w:szCs w:val="32"/>
        </w:rPr>
        <w:t>。发现的问题及原因：</w:t>
      </w:r>
      <w:r>
        <w:rPr>
          <w:rFonts w:hint="eastAsia" w:ascii="仿宋_GB2312" w:eastAsia="仿宋_GB2312"/>
          <w:color w:val="auto"/>
          <w:sz w:val="32"/>
          <w:szCs w:val="32"/>
          <w:highlight w:val="none"/>
          <w:lang w:val="en-US" w:eastAsia="zh-CN"/>
        </w:rPr>
        <w:t>一是科技馆人员编制少，聘用人员多，人员流失严重，给场馆的正常开放带来了很大困难；二是场馆参观游客量大，展项损坏率高，缺少专业维护维修团队；三是科普活动经费不足，科技馆的展览内容更新速度相对较慢，难以满足参观者对最新科技进展和应用的需求</w:t>
      </w:r>
      <w:r>
        <w:rPr>
          <w:rFonts w:ascii="仿宋_GB2312" w:eastAsia="仿宋_GB2312"/>
          <w:b w:val="0"/>
          <w:sz w:val="32"/>
          <w:szCs w:val="32"/>
        </w:rPr>
        <w:t>。下一步改进措施：</w:t>
      </w:r>
      <w:r>
        <w:rPr>
          <w:rFonts w:hint="eastAsia" w:ascii="仿宋_GB2312" w:eastAsia="仿宋_GB2312"/>
          <w:color w:val="auto"/>
          <w:sz w:val="32"/>
          <w:szCs w:val="32"/>
          <w:highlight w:val="none"/>
          <w:lang w:eastAsia="zh-CN"/>
        </w:rPr>
        <w:t>是</w:t>
      </w:r>
      <w:r>
        <w:rPr>
          <w:rFonts w:hint="eastAsia" w:ascii="仿宋_GB2312" w:eastAsia="仿宋_GB2312"/>
          <w:color w:val="auto"/>
          <w:sz w:val="32"/>
          <w:szCs w:val="32"/>
          <w:highlight w:val="none"/>
          <w:lang w:val="en-US" w:eastAsia="zh-CN"/>
        </w:rPr>
        <w:t>科技馆将持续做好场馆免费开放工作，以提高全市公众科学素质为己任，开拓创新，真抓实干，加大科普宣传力度，大力弘扬科学精神，传播科学思想，普及科学知识，提高科学方法，在全社会形成学科学、爱科学、用科学的良好氛围，为建设科技强市发挥科技馆应有作用</w:t>
      </w:r>
      <w:r>
        <w:rPr>
          <w:rFonts w:hint="eastAsia" w:ascii="仿宋_GB2312" w:eastAsia="仿宋_GB2312"/>
          <w:color w:val="auto"/>
          <w:sz w:val="32"/>
          <w:szCs w:val="32"/>
          <w:highlight w:val="none"/>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sectPr>
      </w:pPr>
      <w:r>
        <w:rPr>
          <w:rFonts w:ascii="仿宋_GB2312" w:eastAsia="仿宋_GB2312"/>
          <w:b w:val="0"/>
          <w:sz w:val="32"/>
          <w:szCs w:val="32"/>
        </w:rPr>
        <w:t>九、《财政拨款“三公”经费支出决算表》</w:t>
      </w:r>
    </w:p>
    <w:p>
      <w:pPr>
        <w:pStyle w:val="2"/>
        <w:sectPr>
          <w:pgSz w:w="12240" w:h="15840"/>
          <w:pgMar w:top="1440" w:right="1800" w:bottom="1440" w:left="1800" w:header="720" w:footer="720" w:gutter="0"/>
        </w:sectPr>
      </w:pPr>
      <w:r>
        <w:drawing>
          <wp:anchor distT="0" distB="0" distL="114300" distR="114300" simplePos="0" relativeHeight="251660288" behindDoc="0" locked="0" layoutInCell="1" allowOverlap="1">
            <wp:simplePos x="0" y="0"/>
            <wp:positionH relativeFrom="column">
              <wp:posOffset>-159385</wp:posOffset>
            </wp:positionH>
            <wp:positionV relativeFrom="paragraph">
              <wp:posOffset>383540</wp:posOffset>
            </wp:positionV>
            <wp:extent cx="6044565" cy="6627495"/>
            <wp:effectExtent l="0" t="0" r="13335" b="190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044565" cy="6627495"/>
                    </a:xfrm>
                    <a:prstGeom prst="rect">
                      <a:avLst/>
                    </a:prstGeom>
                    <a:noFill/>
                    <a:ln>
                      <a:noFill/>
                    </a:ln>
                  </pic:spPr>
                </pic:pic>
              </a:graphicData>
            </a:graphic>
          </wp:anchor>
        </w:drawing>
      </w:r>
    </w:p>
    <w:p>
      <w:pPr>
        <w:sectPr>
          <w:pgSz w:w="12240" w:h="15840"/>
          <w:pgMar w:top="1440" w:right="1800" w:bottom="1440" w:left="1800" w:header="720" w:footer="720" w:gutter="0"/>
        </w:sectPr>
      </w:pPr>
      <w:r>
        <w:drawing>
          <wp:anchor distT="0" distB="0" distL="114300" distR="114300" simplePos="0" relativeHeight="251661312" behindDoc="0" locked="0" layoutInCell="1" allowOverlap="1">
            <wp:simplePos x="0" y="0"/>
            <wp:positionH relativeFrom="column">
              <wp:posOffset>-207010</wp:posOffset>
            </wp:positionH>
            <wp:positionV relativeFrom="paragraph">
              <wp:posOffset>360045</wp:posOffset>
            </wp:positionV>
            <wp:extent cx="5869305" cy="4041775"/>
            <wp:effectExtent l="0" t="0" r="17145" b="1587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869305" cy="4041775"/>
                    </a:xfrm>
                    <a:prstGeom prst="rect">
                      <a:avLst/>
                    </a:prstGeom>
                    <a:noFill/>
                    <a:ln>
                      <a:noFill/>
                    </a:ln>
                  </pic:spPr>
                </pic:pic>
              </a:graphicData>
            </a:graphic>
          </wp:anchor>
        </w:drawing>
      </w:r>
    </w:p>
    <w:p>
      <w:pPr>
        <w:pStyle w:val="2"/>
        <w:sectPr>
          <w:pgSz w:w="12240" w:h="15840"/>
          <w:pgMar w:top="1440" w:right="1800" w:bottom="1440" w:left="1800" w:header="720" w:footer="720" w:gutter="0"/>
        </w:sectPr>
      </w:pPr>
      <w:r>
        <w:drawing>
          <wp:anchor distT="0" distB="0" distL="114300" distR="114300" simplePos="0" relativeHeight="251662336" behindDoc="0" locked="0" layoutInCell="1" allowOverlap="1">
            <wp:simplePos x="0" y="0"/>
            <wp:positionH relativeFrom="column">
              <wp:posOffset>-131445</wp:posOffset>
            </wp:positionH>
            <wp:positionV relativeFrom="paragraph">
              <wp:posOffset>590550</wp:posOffset>
            </wp:positionV>
            <wp:extent cx="5829935" cy="3821430"/>
            <wp:effectExtent l="0" t="0" r="18415" b="762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829935" cy="3821430"/>
                    </a:xfrm>
                    <a:prstGeom prst="rect">
                      <a:avLst/>
                    </a:prstGeom>
                    <a:noFill/>
                    <a:ln>
                      <a:noFill/>
                    </a:ln>
                  </pic:spPr>
                </pic:pic>
              </a:graphicData>
            </a:graphic>
          </wp:anchor>
        </w:drawing>
      </w:r>
    </w:p>
    <w:p>
      <w:pPr>
        <w:sectPr>
          <w:pgSz w:w="12240" w:h="15840"/>
          <w:pgMar w:top="1440" w:right="1800" w:bottom="1440" w:left="1800" w:header="720" w:footer="720" w:gutter="0"/>
        </w:sectPr>
      </w:pPr>
      <w:r>
        <w:drawing>
          <wp:anchor distT="0" distB="0" distL="114300" distR="114300" simplePos="0" relativeHeight="251663360" behindDoc="0" locked="0" layoutInCell="1" allowOverlap="1">
            <wp:simplePos x="0" y="0"/>
            <wp:positionH relativeFrom="column">
              <wp:posOffset>-83820</wp:posOffset>
            </wp:positionH>
            <wp:positionV relativeFrom="paragraph">
              <wp:posOffset>621665</wp:posOffset>
            </wp:positionV>
            <wp:extent cx="5829935" cy="5984875"/>
            <wp:effectExtent l="0" t="0" r="18415" b="1587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829935" cy="5984875"/>
                    </a:xfrm>
                    <a:prstGeom prst="rect">
                      <a:avLst/>
                    </a:prstGeom>
                    <a:noFill/>
                    <a:ln>
                      <a:noFill/>
                    </a:ln>
                  </pic:spPr>
                </pic:pic>
              </a:graphicData>
            </a:graphic>
          </wp:anchor>
        </w:drawing>
      </w:r>
    </w:p>
    <w:p>
      <w:pPr>
        <w:pStyle w:val="2"/>
        <w:sectPr>
          <w:pgSz w:w="12240" w:h="15840"/>
          <w:pgMar w:top="1440" w:right="1800" w:bottom="1440" w:left="1800" w:header="720" w:footer="720" w:gutter="0"/>
        </w:sectPr>
      </w:pPr>
      <w:r>
        <w:drawing>
          <wp:anchor distT="0" distB="0" distL="114300" distR="114300" simplePos="0" relativeHeight="251664384" behindDoc="0" locked="0" layoutInCell="1" allowOverlap="1">
            <wp:simplePos x="0" y="0"/>
            <wp:positionH relativeFrom="column">
              <wp:posOffset>-76200</wp:posOffset>
            </wp:positionH>
            <wp:positionV relativeFrom="paragraph">
              <wp:posOffset>217805</wp:posOffset>
            </wp:positionV>
            <wp:extent cx="5850255" cy="4741545"/>
            <wp:effectExtent l="0" t="0" r="17145" b="190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850255" cy="4741545"/>
                    </a:xfrm>
                    <a:prstGeom prst="rect">
                      <a:avLst/>
                    </a:prstGeom>
                    <a:noFill/>
                    <a:ln>
                      <a:noFill/>
                    </a:ln>
                  </pic:spPr>
                </pic:pic>
              </a:graphicData>
            </a:graphic>
          </wp:anchor>
        </w:drawing>
      </w:r>
    </w:p>
    <w:p>
      <w:pPr>
        <w:sectPr>
          <w:pgSz w:w="12240" w:h="15840"/>
          <w:pgMar w:top="1440" w:right="1800" w:bottom="1440" w:left="1800" w:header="720" w:footer="720" w:gutter="0"/>
        </w:sectPr>
      </w:pPr>
      <w:r>
        <w:drawing>
          <wp:anchor distT="0" distB="0" distL="114300" distR="114300" simplePos="0" relativeHeight="251665408" behindDoc="0" locked="0" layoutInCell="1" allowOverlap="1">
            <wp:simplePos x="0" y="0"/>
            <wp:positionH relativeFrom="column">
              <wp:posOffset>-219710</wp:posOffset>
            </wp:positionH>
            <wp:positionV relativeFrom="paragraph">
              <wp:posOffset>400050</wp:posOffset>
            </wp:positionV>
            <wp:extent cx="5964555" cy="6494780"/>
            <wp:effectExtent l="0" t="0" r="17145" b="127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964555" cy="6494780"/>
                    </a:xfrm>
                    <a:prstGeom prst="rect">
                      <a:avLst/>
                    </a:prstGeom>
                    <a:noFill/>
                    <a:ln>
                      <a:noFill/>
                    </a:ln>
                  </pic:spPr>
                </pic:pic>
              </a:graphicData>
            </a:graphic>
          </wp:anchor>
        </w:drawing>
      </w:r>
    </w:p>
    <w:p>
      <w:pPr>
        <w:pStyle w:val="2"/>
        <w:sectPr>
          <w:pgSz w:w="12240" w:h="15840"/>
          <w:pgMar w:top="1440" w:right="1800" w:bottom="1440" w:left="1800" w:header="720" w:footer="720" w:gutter="0"/>
        </w:sectPr>
      </w:pPr>
      <w:r>
        <w:drawing>
          <wp:anchor distT="0" distB="0" distL="114300" distR="114300" simplePos="0" relativeHeight="251666432" behindDoc="0" locked="0" layoutInCell="1" allowOverlap="1">
            <wp:simplePos x="0" y="0"/>
            <wp:positionH relativeFrom="column">
              <wp:posOffset>-90170</wp:posOffset>
            </wp:positionH>
            <wp:positionV relativeFrom="paragraph">
              <wp:posOffset>425450</wp:posOffset>
            </wp:positionV>
            <wp:extent cx="5939155" cy="4204970"/>
            <wp:effectExtent l="0" t="0" r="4445" b="508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939155" cy="4204970"/>
                    </a:xfrm>
                    <a:prstGeom prst="rect">
                      <a:avLst/>
                    </a:prstGeom>
                    <a:noFill/>
                    <a:ln>
                      <a:noFill/>
                    </a:ln>
                  </pic:spPr>
                </pic:pic>
              </a:graphicData>
            </a:graphic>
          </wp:anchor>
        </w:drawing>
      </w:r>
    </w:p>
    <w:p>
      <w:pPr>
        <w:sectPr>
          <w:pgSz w:w="12240" w:h="15840"/>
          <w:pgMar w:top="1440" w:right="1800" w:bottom="1440" w:left="1800" w:header="720" w:footer="720" w:gutter="0"/>
        </w:sectPr>
      </w:pPr>
      <w:r>
        <w:drawing>
          <wp:anchor distT="0" distB="0" distL="114300" distR="114300" simplePos="0" relativeHeight="251667456" behindDoc="0" locked="0" layoutInCell="1" allowOverlap="1">
            <wp:simplePos x="0" y="0"/>
            <wp:positionH relativeFrom="column">
              <wp:posOffset>-179705</wp:posOffset>
            </wp:positionH>
            <wp:positionV relativeFrom="paragraph">
              <wp:posOffset>469900</wp:posOffset>
            </wp:positionV>
            <wp:extent cx="5965825" cy="4386580"/>
            <wp:effectExtent l="0" t="0" r="15875" b="1397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5965825" cy="4386580"/>
                    </a:xfrm>
                    <a:prstGeom prst="rect">
                      <a:avLst/>
                    </a:prstGeom>
                    <a:noFill/>
                    <a:ln>
                      <a:noFill/>
                    </a:ln>
                  </pic:spPr>
                </pic:pic>
              </a:graphicData>
            </a:graphic>
          </wp:anchor>
        </w:drawing>
      </w:r>
    </w:p>
    <w:p>
      <w:pPr>
        <w:pStyle w:val="2"/>
      </w:pPr>
      <w:r>
        <w:drawing>
          <wp:anchor distT="0" distB="0" distL="114300" distR="114300" simplePos="0" relativeHeight="251668480" behindDoc="0" locked="0" layoutInCell="1" allowOverlap="1">
            <wp:simplePos x="0" y="0"/>
            <wp:positionH relativeFrom="column">
              <wp:posOffset>-379730</wp:posOffset>
            </wp:positionH>
            <wp:positionV relativeFrom="paragraph">
              <wp:posOffset>395605</wp:posOffset>
            </wp:positionV>
            <wp:extent cx="6096000" cy="3629025"/>
            <wp:effectExtent l="0" t="0" r="0" b="952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6096000" cy="3629025"/>
                    </a:xfrm>
                    <a:prstGeom prst="rect">
                      <a:avLst/>
                    </a:prstGeom>
                    <a:noFill/>
                    <a:ln>
                      <a:noFill/>
                    </a:ln>
                  </pic:spPr>
                </pic:pic>
              </a:graphicData>
            </a:graphic>
          </wp:anchor>
        </w:drawing>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文本框 2"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path/>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09EA2AB3"/>
    <w:rsid w:val="182B75FA"/>
    <w:rsid w:val="641861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next w:val="1"/>
    <w:qFormat/>
    <w:uiPriority w:val="0"/>
    <w:pPr>
      <w:spacing w:line="560" w:lineRule="exact"/>
      <w:ind w:left="0" w:leftChars="0" w:firstLine="420" w:firstLineChars="200"/>
    </w:pPr>
    <w:rPr>
      <w:rFonts w:ascii="Times New Roman" w:hAnsi="Times New Roman" w:eastAsia="方正仿宋_GBK" w:cs="Times New Roman"/>
      <w:sz w:val="32"/>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2025-08-15T04:43:00Z</dcterms:created>
  <dc:creator>Administrator</dc:creator>
  <cp:lastModifiedBy>Administrator</cp:lastModifiedBy>
  <dcterms:modified xsi:type="dcterms:W3CDTF">2025-08-20T04:25:53Z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