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库尔勒市科学技术协会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库尔勒市科学技术协会部门包括本级机关及1个直属事业单位（少数民族科普工作队），机关内设1个室（办公室）。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库尔勒市科学技术协会部门（单位）编制数6，实有人数9人，其中：在职4人，增加0人；退休5人，增加（0人；离休0人，增加0人。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（一）加大对科技工作者的思想教育和政治引领。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认真学习贯彻落实党的二十大精神，切实担负起团结带领广大科技工作者听党话、跟党走的政治任务。及时宣传解读中央和地方重大决策部署特别是科技创新决策部署，引领科技工作者把智慧和力量凝聚到创新发展上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（二）精心组织开展系列科普宣传活动。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开展主题科普宣传。依托市科技馆、乡村科普馆、新时代文明实践站所等各类载体，围绕“科技之冬”、科技“三下乡"等品牌科普活动，在全市积极普及科学知识，弘扬科学精神，激发全市的创新热情和创造活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开展重点人群宣传。认真组织实施《自治区全民科学素质行动规划纲要》以及州科协制定的实施方案，积极组织科技志愿者开展科普“六进”活动，实施好五大人群科学素质提升行动，提高公众全民科学素质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三是开展反邪教系列宣传。动员社会各界力量以防范邪教为主题在各乡镇、街道开展反邪教活动，提高广大群众识别邪教、拒绝邪教的意识和能力。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四是扎实开展青少年活动。认真组织开展流动科技馆巡展、科普大篷车进校园等活动不少于20场，举办科学小实验、3D打印创作、模拟飞行、小小讲解员等各类培训班不少于10期。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五是持续巩固科普示范县（市）创建成果。对照全国科普示范县（市）创建标准，补短板、强弱项、固优势、树典型，不断提升基层科普公共服务能力，持续巩固科普示范县（市）创建成果。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（三）强化科普队伍和阵地建设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加强科普专家团、科普信息员、科普志愿者“三支队伍”建设，组织开展形式多样、贴近生产生活、契合群众需求的科技志愿服务活动。吸纳企业科技人才、研究机构人员等加入科协组织，鼓励更多人成为科普科技志愿者，引领更多科技工作者投身科普工作。积极争取上级补助资金，加强科普基础设施建设，继续完善基层科普教育基地科普服务功能。加强科普基地建设，积极实施“互联网+科普”行动,强化科普信息化建设，提高科普工作的吸引力、感染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（四）做好服务乡村振兴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发挥科普惠农服务站的作用，围绕服务乡村振兴战略面向农村开展科普服务。加大科技培训和咨询服务活动力度，创新活动形式，广泛开展科技培训、科普宣传活动，切实服务乡村振兴，惠及各族群众。</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（五）深入推进“科创中国”试点城市建设工作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提高企业“科创中国”入驻率，完善科技成果信息发布和共享机制，用好“科创中国”系列榜单，推介、转移转化技术成果，推动资源供需有效对接。努力在服务科技人才成长、服务产业技术创新、搭建科技经济融通平台上聚势赋能，助力试点城市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（六）强化科技经济融合发展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围绕园区和企业创新驱动发展，厚植发展动力，着力推进企业科协建设，服务好企业科技人才。加大科技政策宣传力度，营造科技人才创新创业的良好氛围，增强科技企业创新创业活力，鼓励企业技术创新。围绕主导产业，深入企业对接科技需求，积极搭建企业服务平台，深入实施创新驱动助力工程，积极争取上级项目支持，为促进企业技术升级服务，推动创新驱动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（七）拓宽科技工作者服务渠道</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结合开展的大兴调查研究工作，深入乡镇（街道）、村（社区）及企业开展科普工作调研，深入分析问题、查找问题、整改问题，认真撰写调研报告。发挥好“科技工作者之家”作用，增强与科技工作者的工作联系和情感交流，认真听取意见建议和呼声。走访慰问一线科技工作者，帮助他们解决实际困难。推荐、宣传优秀科技工作者。发挥科技工作者的榜样示范作用，选树典型，加大宣传力度，在全社会营造尊重劳动、尊重知识、尊重创造的浓厚氛围。</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科学技术协会年初预算安排68.20万元，其中财政拨款68.20万元，其他资金0万元，主要用于单位人员工资社保、单位正常运行以及深入开展科普宣传活动。年中调整4.25万元，调整后全年预算63.95万元，预算调整率6.23%，调整预算的主要原因为三公经费节俭及项目监控时完成度不高，财政收回部分项目款所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协会按要求及时制定并报批部门预算支出计划，严格落实预算执行定期分析机制，靠前抓好支出执行，坚持严肃财经纪律，硬化预算约束，持续树牢厉行节约理念，严控一般性支出，努力降低三公经费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协会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我协会已按要求在库尔勒市人民政府门户网站公开部门预算信息，同步公开绩效目标表；在库尔勒市人民政府、门户网站公开部门决算信息，同步公开自评表及自评报告。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55.04万元，包括工资福利支出48.20万元，商品和服务支出2.56万元，对个人和家庭的补助4.28万元，资本性支出0万元。其中：“三公”经费支出1.00万元，比上年减少1.34万元，主要原因是业务量减少；会议费支出0万元，比上年增加0万元，主要原因是单位没有该项支出；培训费支出0.20万元，比上年增加0.20万元，主要原因是2024年科普培训较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2024年专项项目支出8.91万元，占总支出的13.93％，主要用于1、开展奖补；2、开展科普宣传活动；3、维护正常办公秩序。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巴财教（2023）55号关于提前下达2024年自治州乡村科普馆运行管理及“基层科普行动计划”奖补资金专项、巴财教【2023】57号关于提前下达2024年自治区“基层科普下达计划”资金专项、部门专项-办公经费工作计划，对项目的工作分工、任务分配、资金落实、完成时限等提出了明确、具体的要求，以确保项目保质、保量、按时完成。截至2024年12月31日，完成专项3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为规范专项资金使用，提高专项资金使用效益，我单位主要采取四项措施。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专项资金管理制度。结合单位实际，经党支部研究制定了《库尔勒市科学技术协会项目资金管理办法》，确保各项资金使用审批流程均按规定办理。涉及“三重一大”内容，严格按照规定提请局党组会审议决定，包括项目资金分配、重大项目确定、大额资金支付等。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（2）制定了专项资金支付办法。经支委会研究通过了《库尔勒市科学技术协会项目资金支付办法》，做到有据可依，有据可查。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（3）制定了项目实施方案。为确保各项目顺利实施，《库尔勒市科学技术协会项目落实管理办法》，项目实施方案，确保3各项目的严格落实。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（4）认真组织项目验收。经党支部讨论，成立了书记凌雁舜为组长、办公室主任渠婧、技术干部李超为成员的项目验收小组，对各项目落实情况进行全面验收，确保各项目落实到位、效果明显。</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2024年库尔勒市科学技术协会总支出63.95万元，预算执行率100%，其中科学技术支出63.95万元。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2024年，库尔勒市科学技术协会基本支出55.04万元，占总支出的86.07％，其中：工资福利支出48.20万元，商品和服务支出2.56万元，对个人和家庭补助支出4.28万元。（公积金支出4.02万元）。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2024年，库尔勒市科学技术协会项目支出8.91万元，占总支出的13.93％。其中：科学技术普及支出8.91万元。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科普宣传下基层次数，指标值：&gt;=2次，年中监控完成值：2次，自评完成值：2次，指标完成率100%，偏差0%。指标成效分析：通过完成科普宣传下基层工作，有效改善了基层群众的科学技术素养，达到了科学技术普及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指标2：科普大篷车下基层次数，指标值：&gt;=10场，年中监控完成值：6场，自评完成值：10场 ，指标完成率100%偏差0%。指标成效分析：通过完成科普大篷车下基层工作，有效提升了科普宣传的效果，达到了推动各族群众尊重科学、崇尚科学的社会风尚。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科普宣传活动场数，指标值：&gt;=5场，年中监控完成值：3场，自评完成值：5场，指标完成率100%，偏差0%。指标成效分析：通过完成科普宣传活动工作，有效提升全市科学素养，达到了促进社会和谐稳定、社会经济有一定发展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农业科技培训次数，指标值：&gt;=4场，年中监控完成值：4场，自评完成值：4场，指标完成率100 %，偏差0%。指标成效分析：通过完成农业科技培训工作，有效满足了农村群众对科学技术知识的渴求，达到推动经济发展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（一）绩效指标设置相对简单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我协会部门绩效指标设置相对简单只突出科普宣传的指标，质量指标更是没有设置等问题，部分项目绩效指标值设定为定性的指标，指标设置的科学性、合理性有待进一步提高。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（二）项目管理不够严谨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单位存在上半年不积极主动作为，下半年突击落实项目的现象；同事存在对合同细节管理不严的问题</w:t>
      </w:r>
      <w:bookmarkStart w:id="1" w:name="_GoBack"/>
      <w:bookmarkEnd w:id="1"/>
      <w:r>
        <w:rPr>
          <w:rFonts w:hint="eastAsia" w:ascii="仿宋_GB2312" w:hAnsi="宋体" w:eastAsia="仿宋_GB2312"/>
          <w:bCs/>
          <w:sz w:val="32"/>
          <w:szCs w:val="32"/>
        </w:rPr>
        <w:t>以及先支付后补会议的问题。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（三）项目监督工作存在薄弱环节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因单位人员较少，存在对项目落实过程中的监督管理不及时不到位的问题。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（一）科学设置部门绩效指标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一是坚持三重一大议事规则。不论是项目指标设置还是部门绩效指标设置都要经过党支部讨论研究，科普设置绩效指标。二是形成齐抓共管的格局。针对单位人员较少的实际，合理分工，人人参与，形成齐抓共管的格局。</w:t>
      </w:r>
      <w:r>
        <w:rPr>
          <w:rFonts w:hint="eastAsia" w:ascii="仿宋_GB2312" w:hAnsi="宋体" w:eastAsia="仿宋_GB2312"/>
          <w:bCs/>
          <w:sz w:val="32"/>
          <w:szCs w:val="32"/>
        </w:rPr>
        <w:br w:type="textWrapping"/>
      </w:r>
      <w:r>
        <w:rPr>
          <w:rFonts w:hint="eastAsia" w:ascii="仿宋_GB2312" w:hAnsi="宋体" w:eastAsia="仿宋_GB2312"/>
          <w:bCs/>
          <w:sz w:val="32"/>
          <w:szCs w:val="32"/>
        </w:rPr>
        <w:t>（二）不等不靠坚持主动作为</w:t>
      </w:r>
      <w:r>
        <w:rPr>
          <w:rFonts w:hint="eastAsia" w:ascii="仿宋_GB2312" w:hAnsi="宋体" w:eastAsia="仿宋_GB2312"/>
          <w:bCs/>
          <w:sz w:val="32"/>
          <w:szCs w:val="32"/>
        </w:rPr>
        <w:br w:type="textWrapping"/>
      </w:r>
      <w:r>
        <w:rPr>
          <w:rFonts w:hint="eastAsia" w:ascii="仿宋_GB2312" w:hAnsi="宋体" w:eastAsia="仿宋_GB2312"/>
          <w:bCs/>
          <w:sz w:val="32"/>
          <w:szCs w:val="32"/>
        </w:rPr>
        <w:t>项目确定之后，就狠抓工作落实。积极与财政部门沟通，及时下达经费。坚决克服不下达经费就不落实项目的弊病。</w:t>
      </w:r>
      <w:r>
        <w:rPr>
          <w:rFonts w:hint="eastAsia" w:ascii="仿宋_GB2312" w:hAnsi="宋体" w:eastAsia="仿宋_GB2312"/>
          <w:bCs/>
          <w:sz w:val="32"/>
          <w:szCs w:val="32"/>
        </w:rPr>
        <w:br w:type="textWrapping"/>
      </w:r>
      <w:r>
        <w:rPr>
          <w:rFonts w:hint="eastAsia" w:ascii="仿宋_GB2312" w:hAnsi="宋体" w:eastAsia="仿宋_GB2312"/>
          <w:bCs/>
          <w:sz w:val="32"/>
          <w:szCs w:val="32"/>
        </w:rPr>
        <w:t>（三）提高项目监管主动性</w:t>
      </w:r>
      <w:r>
        <w:rPr>
          <w:rFonts w:hint="eastAsia" w:ascii="仿宋_GB2312" w:hAnsi="宋体" w:eastAsia="仿宋_GB2312"/>
          <w:bCs/>
          <w:sz w:val="32"/>
          <w:szCs w:val="32"/>
        </w:rPr>
        <w:br w:type="textWrapping"/>
      </w:r>
      <w:r>
        <w:rPr>
          <w:rFonts w:hint="eastAsia" w:ascii="仿宋_GB2312" w:hAnsi="宋体" w:eastAsia="仿宋_GB2312"/>
          <w:bCs/>
          <w:sz w:val="32"/>
          <w:szCs w:val="32"/>
        </w:rPr>
        <w:t>加大对项目的监控力度，建立项目实施情况按月度上报机制，及时督促项目进度，提高对项目的整体把控能力。单位主管应坚持进行抽查和检查，发现问题及时解决问题。</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6AF1EE5"/>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2025-09-02T03:36:07Z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