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hint="eastAsia" w:ascii="Times New Roman" w:hAnsi="Times New Roman" w:eastAsia="华文中宋" w:cs="Times New Roman"/>
          <w:b/>
          <w:kern w:val="0"/>
          <w:sz w:val="52"/>
          <w:szCs w:val="52"/>
          <w:highlight w:val="none"/>
          <w:lang w:eastAsia="zh-CN"/>
        </w:rPr>
      </w:pPr>
    </w:p>
    <w:p>
      <w:pPr>
        <w:spacing w:line="540" w:lineRule="exact"/>
        <w:rPr>
          <w:rFonts w:hint="default" w:ascii="Times New Roman" w:hAnsi="Times New Roman" w:eastAsia="华文中宋" w:cs="Times New Roman"/>
          <w:b/>
          <w:kern w:val="0"/>
          <w:sz w:val="52"/>
          <w:szCs w:val="52"/>
          <w:highlight w:val="none"/>
        </w:rPr>
      </w:pPr>
    </w:p>
    <w:p>
      <w:pPr>
        <w:spacing w:line="540" w:lineRule="exact"/>
        <w:jc w:val="center"/>
        <w:rPr>
          <w:rFonts w:hint="default" w:ascii="Times New Roman" w:hAnsi="Times New Roman" w:eastAsia="华文中宋" w:cs="Times New Roman"/>
          <w:b/>
          <w:kern w:val="0"/>
          <w:sz w:val="52"/>
          <w:szCs w:val="52"/>
          <w:highlight w:val="none"/>
        </w:rPr>
      </w:pPr>
    </w:p>
    <w:p>
      <w:pPr>
        <w:spacing w:line="540" w:lineRule="exact"/>
        <w:jc w:val="center"/>
        <w:rPr>
          <w:rFonts w:hint="default" w:ascii="Times New Roman" w:hAnsi="Times New Roman" w:eastAsia="华文中宋" w:cs="Times New Roman"/>
          <w:b/>
          <w:kern w:val="0"/>
          <w:sz w:val="52"/>
          <w:szCs w:val="52"/>
          <w:highlight w:val="none"/>
        </w:rPr>
      </w:pPr>
    </w:p>
    <w:p>
      <w:pPr>
        <w:spacing w:line="540" w:lineRule="exact"/>
        <w:jc w:val="center"/>
        <w:rPr>
          <w:rFonts w:hint="default" w:ascii="Times New Roman" w:hAnsi="Times New Roman" w:eastAsia="方正小标宋_GBK" w:cs="Times New Roman"/>
          <w:kern w:val="0"/>
          <w:sz w:val="48"/>
          <w:szCs w:val="48"/>
          <w:highlight w:val="none"/>
        </w:rPr>
      </w:pPr>
      <w:r>
        <w:rPr>
          <w:rFonts w:hint="default" w:ascii="Times New Roman" w:hAnsi="Times New Roman" w:eastAsia="方正小标宋_GBK" w:cs="Times New Roman"/>
          <w:kern w:val="0"/>
          <w:sz w:val="48"/>
          <w:szCs w:val="48"/>
          <w:highlight w:val="none"/>
        </w:rPr>
        <w:t>巴财教[2023]46号关于提前下达2024年中央科技馆免费开放补助资金项目支出绩效评价</w:t>
      </w:r>
    </w:p>
    <w:p>
      <w:pPr>
        <w:spacing w:line="540" w:lineRule="exact"/>
        <w:jc w:val="center"/>
        <w:rPr>
          <w:rFonts w:hint="default" w:ascii="Times New Roman" w:hAnsi="Times New Roman" w:eastAsia="方正小标宋_GBK" w:cs="Times New Roman"/>
          <w:kern w:val="0"/>
          <w:sz w:val="48"/>
          <w:szCs w:val="48"/>
          <w:highlight w:val="none"/>
        </w:rPr>
      </w:pPr>
      <w:r>
        <w:rPr>
          <w:rFonts w:hint="default" w:ascii="Times New Roman" w:hAnsi="Times New Roman" w:eastAsia="方正小标宋_GBK" w:cs="Times New Roman"/>
          <w:kern w:val="0"/>
          <w:sz w:val="48"/>
          <w:szCs w:val="48"/>
          <w:highlight w:val="none"/>
        </w:rPr>
        <w:t>报告</w:t>
      </w:r>
    </w:p>
    <w:p>
      <w:pPr>
        <w:spacing w:line="540" w:lineRule="exact"/>
        <w:jc w:val="center"/>
        <w:rPr>
          <w:rFonts w:hint="default" w:ascii="Times New Roman" w:hAnsi="Times New Roman" w:eastAsia="华文中宋" w:cs="Times New Roman"/>
          <w:b/>
          <w:kern w:val="0"/>
          <w:sz w:val="52"/>
          <w:szCs w:val="52"/>
          <w:highlight w:val="none"/>
        </w:rPr>
      </w:pPr>
    </w:p>
    <w:p>
      <w:pPr>
        <w:spacing w:line="540" w:lineRule="exact"/>
        <w:jc w:val="center"/>
        <w:rPr>
          <w:rFonts w:hint="default" w:ascii="Times New Roman" w:hAnsi="Times New Roman" w:eastAsia="仿宋_GB2312" w:cs="Times New Roman"/>
          <w:kern w:val="0"/>
          <w:sz w:val="36"/>
          <w:szCs w:val="36"/>
          <w:highlight w:val="none"/>
        </w:rPr>
      </w:pPr>
      <w:r>
        <w:rPr>
          <w:rFonts w:hint="default" w:ascii="Times New Roman" w:hAnsi="Times New Roman" w:eastAsia="仿宋_GB2312" w:cs="Times New Roman"/>
          <w:kern w:val="0"/>
          <w:sz w:val="36"/>
          <w:szCs w:val="36"/>
          <w:highlight w:val="none"/>
        </w:rPr>
        <w:t>（202</w:t>
      </w:r>
      <w:r>
        <w:rPr>
          <w:rFonts w:hint="default" w:ascii="Times New Roman" w:hAnsi="Times New Roman" w:eastAsia="仿宋_GB2312" w:cs="Times New Roman"/>
          <w:kern w:val="0"/>
          <w:sz w:val="36"/>
          <w:szCs w:val="36"/>
          <w:highlight w:val="none"/>
          <w:lang w:val="en-US" w:eastAsia="zh-CN"/>
        </w:rPr>
        <w:t>4</w:t>
      </w:r>
      <w:r>
        <w:rPr>
          <w:rFonts w:hint="default" w:ascii="Times New Roman" w:hAnsi="Times New Roman" w:eastAsia="仿宋_GB2312" w:cs="Times New Roman"/>
          <w:kern w:val="0"/>
          <w:sz w:val="36"/>
          <w:szCs w:val="36"/>
          <w:highlight w:val="none"/>
        </w:rPr>
        <w:t>年度）</w:t>
      </w:r>
    </w:p>
    <w:p>
      <w:pPr>
        <w:spacing w:line="540" w:lineRule="exact"/>
        <w:jc w:val="center"/>
        <w:rPr>
          <w:rFonts w:hint="default" w:ascii="Times New Roman" w:hAnsi="Times New Roman" w:eastAsia="仿宋_GB2312" w:cs="Times New Roman"/>
          <w:kern w:val="0"/>
          <w:sz w:val="30"/>
          <w:szCs w:val="30"/>
          <w:highlight w:val="none"/>
        </w:rPr>
      </w:pPr>
    </w:p>
    <w:p>
      <w:pPr>
        <w:spacing w:line="540" w:lineRule="exact"/>
        <w:jc w:val="center"/>
        <w:rPr>
          <w:rFonts w:hint="default" w:ascii="Times New Roman" w:hAnsi="Times New Roman" w:eastAsia="仿宋_GB2312" w:cs="Times New Roman"/>
          <w:kern w:val="0"/>
          <w:sz w:val="30"/>
          <w:szCs w:val="30"/>
          <w:highlight w:val="none"/>
        </w:rPr>
      </w:pPr>
    </w:p>
    <w:p>
      <w:pPr>
        <w:spacing w:line="540" w:lineRule="exact"/>
        <w:jc w:val="center"/>
        <w:rPr>
          <w:rFonts w:hint="default" w:ascii="Times New Roman" w:hAnsi="Times New Roman" w:eastAsia="仿宋_GB2312" w:cs="Times New Roman"/>
          <w:kern w:val="0"/>
          <w:sz w:val="30"/>
          <w:szCs w:val="30"/>
          <w:highlight w:val="none"/>
        </w:rPr>
      </w:pPr>
    </w:p>
    <w:p>
      <w:pPr>
        <w:pStyle w:val="10"/>
        <w:rPr>
          <w:rFonts w:hint="default" w:ascii="Times New Roman" w:hAnsi="Times New Roman" w:cs="Times New Roman"/>
          <w:highlight w:val="none"/>
        </w:rPr>
      </w:pPr>
    </w:p>
    <w:p>
      <w:pPr>
        <w:spacing w:line="540" w:lineRule="exact"/>
        <w:jc w:val="center"/>
        <w:rPr>
          <w:rFonts w:hint="default" w:ascii="Times New Roman" w:hAnsi="Times New Roman" w:eastAsia="仿宋_GB2312" w:cs="Times New Roman"/>
          <w:kern w:val="0"/>
          <w:sz w:val="30"/>
          <w:szCs w:val="30"/>
          <w:highlight w:val="none"/>
        </w:rPr>
      </w:pPr>
    </w:p>
    <w:p>
      <w:pPr>
        <w:spacing w:line="540" w:lineRule="exact"/>
        <w:rPr>
          <w:rFonts w:hint="default" w:ascii="Times New Roman" w:hAnsi="Times New Roman" w:eastAsia="仿宋_GB2312" w:cs="Times New Roman"/>
          <w:kern w:val="0"/>
          <w:sz w:val="30"/>
          <w:szCs w:val="30"/>
          <w:highlight w:val="none"/>
        </w:rPr>
      </w:pPr>
    </w:p>
    <w:p>
      <w:pPr>
        <w:spacing w:line="700" w:lineRule="exact"/>
        <w:ind w:firstLine="1440" w:firstLineChars="400"/>
        <w:jc w:val="left"/>
        <w:rPr>
          <w:rFonts w:hint="default" w:ascii="Times New Roman" w:hAnsi="Times New Roman" w:eastAsia="仿宋_GB2312" w:cs="Times New Roman"/>
          <w:kern w:val="0"/>
          <w:sz w:val="36"/>
          <w:szCs w:val="36"/>
          <w:highlight w:val="none"/>
        </w:rPr>
      </w:pPr>
      <w:r>
        <w:rPr>
          <w:rFonts w:hint="default" w:ascii="Times New Roman" w:hAnsi="Times New Roman" w:eastAsia="仿宋_GB2312" w:cs="Times New Roman"/>
          <w:kern w:val="0"/>
          <w:sz w:val="36"/>
          <w:szCs w:val="36"/>
          <w:highlight w:val="none"/>
        </w:rPr>
        <w:t>项目名称：巴财教[2023]46号关于提前下达2024年中央科技馆免费开放补助资金</w:t>
      </w:r>
    </w:p>
    <w:p>
      <w:pPr>
        <w:spacing w:line="700" w:lineRule="exact"/>
        <w:ind w:firstLine="1440" w:firstLineChars="400"/>
        <w:jc w:val="left"/>
        <w:rPr>
          <w:rFonts w:hint="default" w:ascii="Times New Roman" w:hAnsi="Times New Roman" w:eastAsia="仿宋_GB2312" w:cs="Times New Roman"/>
          <w:kern w:val="0"/>
          <w:sz w:val="36"/>
          <w:szCs w:val="36"/>
          <w:highlight w:val="none"/>
          <w:lang w:val="en-US" w:eastAsia="zh-CN"/>
        </w:rPr>
      </w:pPr>
      <w:r>
        <w:rPr>
          <w:rFonts w:hint="default" w:ascii="Times New Roman" w:hAnsi="Times New Roman" w:eastAsia="仿宋_GB2312" w:cs="Times New Roman"/>
          <w:kern w:val="0"/>
          <w:sz w:val="36"/>
          <w:szCs w:val="36"/>
          <w:highlight w:val="none"/>
        </w:rPr>
        <w:t>实施单位（公章）：</w:t>
      </w:r>
      <w:r>
        <w:rPr>
          <w:rFonts w:hint="eastAsia" w:eastAsia="仿宋_GB2312" w:cs="Times New Roman"/>
          <w:kern w:val="0"/>
          <w:sz w:val="36"/>
          <w:szCs w:val="36"/>
          <w:highlight w:val="none"/>
          <w:lang w:val="en-US" w:eastAsia="zh-CN"/>
        </w:rPr>
        <w:t>库尔勒市科学技术馆</w:t>
      </w:r>
    </w:p>
    <w:p>
      <w:pPr>
        <w:spacing w:line="700" w:lineRule="exact"/>
        <w:ind w:firstLine="1440" w:firstLineChars="400"/>
        <w:jc w:val="left"/>
        <w:rPr>
          <w:rFonts w:hint="default" w:ascii="Times New Roman" w:hAnsi="Times New Roman" w:eastAsia="仿宋_GB2312" w:cs="Times New Roman"/>
          <w:kern w:val="0"/>
          <w:sz w:val="36"/>
          <w:szCs w:val="36"/>
          <w:highlight w:val="none"/>
          <w:lang w:val="en-US" w:eastAsia="zh-CN"/>
        </w:rPr>
      </w:pPr>
      <w:r>
        <w:rPr>
          <w:rFonts w:hint="default" w:ascii="Times New Roman" w:hAnsi="Times New Roman" w:eastAsia="仿宋_GB2312" w:cs="Times New Roman"/>
          <w:kern w:val="0"/>
          <w:sz w:val="36"/>
          <w:szCs w:val="36"/>
          <w:highlight w:val="none"/>
        </w:rPr>
        <w:t>主管部门（公章）：</w:t>
      </w:r>
      <w:r>
        <w:rPr>
          <w:rFonts w:hint="eastAsia" w:eastAsia="仿宋_GB2312" w:cs="Times New Roman"/>
          <w:kern w:val="0"/>
          <w:sz w:val="36"/>
          <w:szCs w:val="36"/>
          <w:highlight w:val="none"/>
          <w:lang w:val="en-US" w:eastAsia="zh-CN"/>
        </w:rPr>
        <w:t>库尔勒市科学技术协会</w:t>
      </w:r>
    </w:p>
    <w:p>
      <w:pPr>
        <w:spacing w:line="700" w:lineRule="exact"/>
        <w:ind w:firstLine="1440" w:firstLineChars="400"/>
        <w:jc w:val="left"/>
        <w:rPr>
          <w:rFonts w:hint="eastAsia" w:ascii="Times New Roman" w:hAnsi="Times New Roman" w:eastAsia="仿宋_GB2312" w:cs="Times New Roman"/>
          <w:kern w:val="0"/>
          <w:sz w:val="36"/>
          <w:szCs w:val="36"/>
          <w:highlight w:val="none"/>
          <w:lang w:eastAsia="zh-CN"/>
        </w:rPr>
      </w:pPr>
      <w:r>
        <w:rPr>
          <w:rFonts w:hint="default" w:ascii="Times New Roman" w:hAnsi="Times New Roman" w:eastAsia="仿宋_GB2312" w:cs="Times New Roman"/>
          <w:kern w:val="0"/>
          <w:sz w:val="36"/>
          <w:szCs w:val="36"/>
          <w:highlight w:val="none"/>
        </w:rPr>
        <w:t>项目负责人（签章）：</w:t>
      </w:r>
      <w:r>
        <w:rPr>
          <w:rFonts w:hint="eastAsia" w:eastAsia="仿宋_GB2312" w:cs="Times New Roman"/>
          <w:kern w:val="0"/>
          <w:sz w:val="36"/>
          <w:szCs w:val="36"/>
          <w:highlight w:val="none"/>
          <w:lang w:val="en-US" w:eastAsia="zh-CN"/>
        </w:rPr>
        <w:t>冯芸</w:t>
      </w:r>
    </w:p>
    <w:p>
      <w:pPr>
        <w:spacing w:line="700" w:lineRule="exact"/>
        <w:ind w:firstLine="1440" w:firstLineChars="400"/>
        <w:jc w:val="left"/>
        <w:rPr>
          <w:rFonts w:hint="default" w:ascii="Times New Roman" w:hAnsi="Times New Roman" w:eastAsia="仿宋_GB2312" w:cs="Times New Roman"/>
          <w:kern w:val="0"/>
          <w:sz w:val="36"/>
          <w:szCs w:val="36"/>
          <w:highlight w:val="none"/>
        </w:rPr>
      </w:pPr>
      <w:r>
        <w:rPr>
          <w:rFonts w:hint="default" w:ascii="Times New Roman" w:hAnsi="Times New Roman" w:eastAsia="仿宋_GB2312" w:cs="Times New Roman"/>
          <w:kern w:val="0"/>
          <w:sz w:val="36"/>
          <w:szCs w:val="36"/>
          <w:highlight w:val="none"/>
        </w:rPr>
        <w:t>填报时间：</w:t>
      </w:r>
      <w:r>
        <w:rPr>
          <w:rFonts w:hint="eastAsia" w:eastAsia="仿宋_GB2312" w:cs="Times New Roman"/>
          <w:kern w:val="0"/>
          <w:sz w:val="36"/>
          <w:szCs w:val="36"/>
          <w:highlight w:val="none"/>
          <w:lang w:val="en-US" w:eastAsia="zh-CN"/>
        </w:rPr>
        <w:t>2025</w:t>
      </w:r>
      <w:r>
        <w:rPr>
          <w:rFonts w:hint="default" w:ascii="Times New Roman" w:hAnsi="Times New Roman" w:eastAsia="仿宋_GB2312" w:cs="Times New Roman"/>
          <w:kern w:val="0"/>
          <w:sz w:val="36"/>
          <w:szCs w:val="36"/>
          <w:highlight w:val="none"/>
        </w:rPr>
        <w:t>年</w:t>
      </w:r>
      <w:r>
        <w:rPr>
          <w:rFonts w:hint="eastAsia" w:eastAsia="仿宋_GB2312" w:cs="Times New Roman"/>
          <w:kern w:val="0"/>
          <w:sz w:val="36"/>
          <w:szCs w:val="36"/>
          <w:highlight w:val="none"/>
          <w:lang w:val="en-US" w:eastAsia="zh-CN"/>
        </w:rPr>
        <w:t>4</w:t>
      </w:r>
      <w:r>
        <w:rPr>
          <w:rFonts w:hint="default" w:ascii="Times New Roman" w:hAnsi="Times New Roman" w:eastAsia="仿宋_GB2312" w:cs="Times New Roman"/>
          <w:kern w:val="0"/>
          <w:sz w:val="36"/>
          <w:szCs w:val="36"/>
          <w:highlight w:val="none"/>
        </w:rPr>
        <w:t>月</w:t>
      </w:r>
      <w:r>
        <w:rPr>
          <w:rFonts w:hint="eastAsia" w:eastAsia="仿宋_GB2312" w:cs="Times New Roman"/>
          <w:kern w:val="0"/>
          <w:sz w:val="36"/>
          <w:szCs w:val="36"/>
          <w:highlight w:val="none"/>
          <w:lang w:val="en-US" w:eastAsia="zh-CN"/>
        </w:rPr>
        <w:t>22</w:t>
      </w:r>
      <w:r>
        <w:rPr>
          <w:rFonts w:hint="default" w:ascii="Times New Roman" w:hAnsi="Times New Roman" w:eastAsia="仿宋_GB2312" w:cs="Times New Roman"/>
          <w:kern w:val="0"/>
          <w:sz w:val="36"/>
          <w:szCs w:val="36"/>
          <w:highlight w:val="none"/>
        </w:rPr>
        <w:t>日</w:t>
      </w:r>
    </w:p>
    <w:p>
      <w:pPr>
        <w:spacing w:line="540" w:lineRule="exact"/>
        <w:jc w:val="center"/>
        <w:rPr>
          <w:rFonts w:hint="default" w:ascii="Times New Roman" w:hAnsi="Times New Roman" w:eastAsia="仿宋_GB2312" w:cs="Times New Roman"/>
          <w:kern w:val="0"/>
          <w:sz w:val="30"/>
          <w:szCs w:val="30"/>
          <w:highlight w:val="none"/>
        </w:rPr>
      </w:pPr>
    </w:p>
    <w:p>
      <w:pPr>
        <w:spacing w:line="560" w:lineRule="exact"/>
        <w:rPr>
          <w:rFonts w:hint="default" w:ascii="Times New Roman" w:hAnsi="Times New Roman" w:eastAsia="黑体" w:cs="Times New Roman"/>
          <w:bCs/>
          <w:sz w:val="32"/>
          <w:szCs w:val="32"/>
          <w:highlight w:val="none"/>
        </w:rPr>
        <w:sectPr>
          <w:pgSz w:w="11906" w:h="16838"/>
          <w:pgMar w:top="1440" w:right="1558" w:bottom="1440" w:left="1800" w:header="851" w:footer="992" w:gutter="0"/>
          <w:cols w:space="425" w:num="1"/>
          <w:docGrid w:type="lines" w:linePitch="312" w:charSpace="0"/>
        </w:sectPr>
      </w:pPr>
    </w:p>
    <w:p>
      <w:pPr>
        <w:spacing w:line="560" w:lineRule="exact"/>
        <w:rPr>
          <w:rFonts w:hint="default" w:ascii="Times New Roman" w:hAnsi="Times New Roman" w:eastAsia="黑体" w:cs="Times New Roman"/>
          <w:bCs/>
          <w:sz w:val="32"/>
          <w:szCs w:val="32"/>
          <w:highlight w:val="none"/>
        </w:rPr>
      </w:pPr>
      <w:r>
        <w:rPr>
          <w:rFonts w:hint="default" w:ascii="Times New Roman" w:hAnsi="Times New Roman" w:eastAsia="黑体" w:cs="Times New Roman"/>
          <w:bCs/>
          <w:sz w:val="32"/>
          <w:szCs w:val="32"/>
          <w:highlight w:val="none"/>
        </w:rPr>
        <w:t>一、基本情况</w:t>
      </w:r>
    </w:p>
    <w:p>
      <w:pPr>
        <w:spacing w:line="560" w:lineRule="exact"/>
        <w:ind w:firstLine="643" w:firstLineChars="200"/>
        <w:rPr>
          <w:rFonts w:hint="default" w:ascii="Times New Roman" w:hAnsi="Times New Roman" w:eastAsia="楷体_GB2312" w:cs="Times New Roman"/>
          <w:b/>
          <w:bCs/>
          <w:sz w:val="32"/>
          <w:szCs w:val="32"/>
          <w:highlight w:val="none"/>
        </w:rPr>
      </w:pPr>
      <w:r>
        <w:rPr>
          <w:rFonts w:hint="default" w:ascii="Times New Roman" w:hAnsi="Times New Roman" w:eastAsia="楷体_GB2312" w:cs="Times New Roman"/>
          <w:b/>
          <w:bCs/>
          <w:sz w:val="32"/>
          <w:szCs w:val="32"/>
          <w:highlight w:val="none"/>
        </w:rPr>
        <w:t>（一）项目概况</w:t>
      </w:r>
    </w:p>
    <w:p>
      <w:pPr>
        <w:spacing w:line="560" w:lineRule="exact"/>
        <w:ind w:firstLine="643" w:firstLineChars="200"/>
        <w:rPr>
          <w:rFonts w:hint="default" w:ascii="Times New Roman" w:hAnsi="Times New Roman" w:eastAsia="仿宋_GB2312" w:cs="Times New Roman"/>
          <w:b/>
          <w:bCs/>
          <w:sz w:val="32"/>
          <w:szCs w:val="32"/>
          <w:highlight w:val="none"/>
        </w:rPr>
      </w:pPr>
      <w:r>
        <w:rPr>
          <w:rFonts w:hint="default" w:ascii="Times New Roman" w:hAnsi="Times New Roman" w:eastAsia="仿宋_GB2312" w:cs="Times New Roman"/>
          <w:b/>
          <w:bCs/>
          <w:sz w:val="32"/>
          <w:szCs w:val="32"/>
          <w:highlight w:val="none"/>
        </w:rPr>
        <w:t>1</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bCs/>
          <w:sz w:val="32"/>
          <w:szCs w:val="32"/>
          <w:highlight w:val="none"/>
        </w:rPr>
        <w:t>项目背景</w:t>
      </w:r>
    </w:p>
    <w:p>
      <w:pPr>
        <w:shd w:val="clear"/>
        <w:spacing w:line="600" w:lineRule="exact"/>
        <w:ind w:firstLine="640" w:firstLineChars="200"/>
        <w:outlineLvl w:val="0"/>
        <w:rPr>
          <w:rFonts w:hint="default" w:eastAsia="仿宋_GB2312" w:cs="Times New Roman"/>
          <w:sz w:val="32"/>
          <w:szCs w:val="32"/>
          <w:highlight w:val="none"/>
          <w:lang w:val="en-US" w:eastAsia="zh-CN"/>
        </w:rPr>
      </w:pPr>
      <w:r>
        <w:rPr>
          <w:rFonts w:hint="eastAsia" w:eastAsia="仿宋_GB2312" w:cs="Times New Roman"/>
          <w:sz w:val="32"/>
          <w:szCs w:val="32"/>
          <w:highlight w:val="none"/>
          <w:lang w:val="en-US" w:eastAsia="zh-CN"/>
        </w:rPr>
        <w:t>逐步健全完善科技馆基本公共服务项目，增强科技馆公共科普服务能力。不断引进展示尖端技术的展品，保证每年展品的更新率是科技馆发展及吸引各界群众来科技馆参观学习的重要保障。根据关于印发《新疆维吾尔自治区中央补助地方科技馆免费开放资金暂行办法》的通知 新财教〔2018〕260号文件条款执行、巴财教【2023】46号关于提前下达2023年科技馆免费开放补助资金的通知</w:t>
      </w:r>
      <w:r>
        <w:rPr>
          <w:rFonts w:hint="default" w:eastAsia="仿宋_GB2312" w:cs="Times New Roman"/>
          <w:sz w:val="32"/>
          <w:szCs w:val="32"/>
          <w:highlight w:val="none"/>
          <w:lang w:val="en-US" w:eastAsia="zh-CN"/>
        </w:rPr>
        <w:t>。</w:t>
      </w:r>
    </w:p>
    <w:p>
      <w:pPr>
        <w:pStyle w:val="10"/>
        <w:numPr>
          <w:ilvl w:val="0"/>
          <w:numId w:val="0"/>
        </w:numPr>
        <w:spacing w:before="0" w:after="0" w:line="560" w:lineRule="exact"/>
        <w:ind w:firstLine="643" w:firstLineChars="200"/>
        <w:jc w:val="both"/>
        <w:rPr>
          <w:rFonts w:hint="default" w:ascii="Times New Roman" w:hAnsi="Times New Roman" w:eastAsia="仿宋_GB2312" w:cs="Times New Roman"/>
          <w:kern w:val="2"/>
          <w:highlight w:val="none"/>
        </w:rPr>
      </w:pPr>
      <w:r>
        <w:rPr>
          <w:rFonts w:hint="default" w:ascii="Times New Roman" w:hAnsi="Times New Roman" w:eastAsia="仿宋_GB2312" w:cs="Times New Roman"/>
          <w:kern w:val="2"/>
          <w:highlight w:val="none"/>
          <w:lang w:val="en-US" w:eastAsia="zh-CN"/>
        </w:rPr>
        <w:t>2.</w:t>
      </w:r>
      <w:r>
        <w:rPr>
          <w:rFonts w:hint="default" w:ascii="Times New Roman" w:hAnsi="Times New Roman" w:eastAsia="仿宋_GB2312" w:cs="Times New Roman"/>
          <w:kern w:val="2"/>
          <w:highlight w:val="none"/>
        </w:rPr>
        <w:t>项目主要内容：</w:t>
      </w:r>
    </w:p>
    <w:p>
      <w:pPr>
        <w:spacing w:line="560" w:lineRule="exact"/>
        <w:ind w:firstLine="600" w:firstLineChars="200"/>
        <w:rPr>
          <w:rFonts w:hint="default" w:ascii="Times New Roman" w:hAnsi="Times New Roman" w:eastAsia="黑体" w:cs="Times New Roman"/>
          <w:highlight w:val="none"/>
          <w:lang w:eastAsia="zh-CN"/>
        </w:rPr>
      </w:pPr>
      <w:r>
        <w:rPr>
          <w:rFonts w:hint="default" w:ascii="Times New Roman" w:hAnsi="Times New Roman" w:eastAsia="仿宋_GB2312" w:cs="Times New Roman"/>
          <w:sz w:val="30"/>
          <w:szCs w:val="30"/>
          <w:highlight w:val="none"/>
          <w:lang w:val="en-US" w:eastAsia="zh-CN"/>
        </w:rPr>
        <w:t>项目主要内容：</w:t>
      </w:r>
      <w:r>
        <w:rPr>
          <w:rFonts w:hint="eastAsia" w:eastAsia="仿宋_GB2312" w:cs="Times New Roman"/>
          <w:sz w:val="32"/>
          <w:szCs w:val="32"/>
          <w:highlight w:val="none"/>
          <w:lang w:val="en-US" w:eastAsia="zh-CN"/>
        </w:rPr>
        <w:t>展品更新、开展各类科普宣传、教育实践活动。年度正常开馆天数170天，开展各类科普活动次数70场次，年度展品展项维修数量110个，展品更新费用150万元，支持地区乡村科普、科技馆日常运行维护成本91万元，科普宣传教育实践活动费用71万元</w:t>
      </w:r>
      <w:r>
        <w:rPr>
          <w:rStyle w:val="16"/>
          <w:rFonts w:hint="default" w:ascii="Times New Roman" w:hAnsi="Times New Roman" w:eastAsia="黑体" w:cs="Times New Roman"/>
          <w:b w:val="0"/>
          <w:bCs/>
          <w:spacing w:val="-4"/>
          <w:sz w:val="32"/>
          <w:szCs w:val="32"/>
          <w:highlight w:val="none"/>
          <w:lang w:eastAsia="zh-CN"/>
        </w:rPr>
        <w:t>。</w:t>
      </w:r>
    </w:p>
    <w:p>
      <w:pPr>
        <w:spacing w:line="560" w:lineRule="exact"/>
        <w:ind w:firstLine="600" w:firstLineChars="200"/>
        <w:rPr>
          <w:rFonts w:hint="default" w:ascii="Times New Roman" w:hAnsi="Times New Roman" w:eastAsia="仿宋_GB2312" w:cs="Times New Roman"/>
          <w:sz w:val="30"/>
          <w:szCs w:val="30"/>
          <w:highlight w:val="none"/>
          <w:lang w:val="en-US" w:eastAsia="zh-CN"/>
        </w:rPr>
      </w:pPr>
      <w:r>
        <w:rPr>
          <w:rFonts w:hint="default" w:ascii="Times New Roman" w:hAnsi="Times New Roman" w:eastAsia="仿宋_GB2312" w:cs="Times New Roman"/>
          <w:sz w:val="30"/>
          <w:szCs w:val="30"/>
          <w:highlight w:val="none"/>
          <w:lang w:val="en-US" w:eastAsia="zh-CN"/>
        </w:rPr>
        <w:t>项目实施情况：</w:t>
      </w:r>
      <w:r>
        <w:rPr>
          <w:rFonts w:hint="eastAsia" w:ascii="Times New Roman" w:hAnsi="Times New Roman" w:eastAsia="仿宋" w:cs="仿宋"/>
          <w:color w:val="auto"/>
          <w:kern w:val="0"/>
          <w:sz w:val="32"/>
          <w:szCs w:val="32"/>
          <w:lang w:val="en-US" w:eastAsia="zh-CN"/>
        </w:rPr>
        <w:t>进一步</w:t>
      </w:r>
      <w:r>
        <w:rPr>
          <w:rFonts w:hint="eastAsia" w:eastAsia="仿宋" w:cs="仿宋"/>
          <w:color w:val="auto"/>
          <w:kern w:val="0"/>
          <w:sz w:val="32"/>
          <w:szCs w:val="32"/>
          <w:lang w:val="en-US" w:eastAsia="zh-CN"/>
        </w:rPr>
        <w:t>为</w:t>
      </w:r>
      <w:r>
        <w:rPr>
          <w:rFonts w:hint="default" w:ascii="Times New Roman" w:hAnsi="Times New Roman" w:eastAsia="仿宋_GB2312" w:cs="Times New Roman"/>
          <w:sz w:val="32"/>
          <w:szCs w:val="32"/>
          <w:highlight w:val="none"/>
        </w:rPr>
        <w:t>公众提供高质量的科学普及及体验</w:t>
      </w:r>
      <w:r>
        <w:rPr>
          <w:rFonts w:hint="eastAsia" w:eastAsia="仿宋_GB2312" w:cs="Times New Roman"/>
          <w:sz w:val="32"/>
          <w:szCs w:val="32"/>
          <w:highlight w:val="none"/>
          <w:lang w:val="en-US" w:eastAsia="zh-CN"/>
        </w:rPr>
        <w:t>感</w:t>
      </w:r>
      <w:r>
        <w:rPr>
          <w:rFonts w:hint="eastAsia" w:eastAsia="仿宋" w:cs="仿宋"/>
          <w:color w:val="auto"/>
          <w:kern w:val="0"/>
          <w:sz w:val="32"/>
          <w:szCs w:val="32"/>
          <w:lang w:val="en-US" w:eastAsia="zh-CN"/>
        </w:rPr>
        <w:t>，</w:t>
      </w:r>
      <w:r>
        <w:rPr>
          <w:rFonts w:hint="default" w:ascii="Times New Roman" w:hAnsi="Times New Roman" w:eastAsia="仿宋_GB2312" w:cs="Times New Roman"/>
          <w:sz w:val="30"/>
          <w:szCs w:val="30"/>
          <w:highlight w:val="none"/>
          <w:lang w:val="en-US" w:eastAsia="zh-CN"/>
        </w:rPr>
        <w:t>2024 年度科技馆</w:t>
      </w:r>
      <w:r>
        <w:rPr>
          <w:rFonts w:hint="eastAsia" w:eastAsia="仿宋_GB2312" w:cs="Times New Roman"/>
          <w:sz w:val="30"/>
          <w:szCs w:val="30"/>
          <w:highlight w:val="none"/>
          <w:lang w:val="en-US" w:eastAsia="zh-CN"/>
        </w:rPr>
        <w:t>全年</w:t>
      </w:r>
      <w:r>
        <w:rPr>
          <w:rFonts w:hint="default" w:ascii="Times New Roman" w:hAnsi="Times New Roman" w:eastAsia="仿宋_GB2312" w:cs="Times New Roman"/>
          <w:sz w:val="30"/>
          <w:szCs w:val="30"/>
          <w:highlight w:val="none"/>
          <w:lang w:val="en-US" w:eastAsia="zh-CN"/>
        </w:rPr>
        <w:t>正常开馆 175 天</w:t>
      </w:r>
      <w:r>
        <w:rPr>
          <w:rFonts w:hint="eastAsia" w:eastAsia="仿宋_GB2312" w:cs="Times New Roman"/>
          <w:sz w:val="30"/>
          <w:szCs w:val="30"/>
          <w:highlight w:val="none"/>
          <w:lang w:val="en-US" w:eastAsia="zh-CN"/>
        </w:rPr>
        <w:t>。为更好的服务于群众，科技馆</w:t>
      </w:r>
      <w:r>
        <w:rPr>
          <w:rFonts w:hint="eastAsia" w:ascii="Times New Roman" w:hAnsi="Times New Roman" w:eastAsia="仿宋" w:cs="仿宋"/>
          <w:color w:val="auto"/>
          <w:kern w:val="0"/>
          <w:sz w:val="32"/>
          <w:szCs w:val="32"/>
          <w:lang w:val="en-US" w:eastAsia="zh-CN"/>
        </w:rPr>
        <w:t>加强“掌上科技馆”应用；探索完善科普剧、科普秀、创客竞赛、科学实验赛等科教活动；利用寒暑假举办各类免费培训班；开展流动科技馆“科普大篷车”进基层活动</w:t>
      </w:r>
      <w:r>
        <w:rPr>
          <w:rFonts w:hint="eastAsia" w:eastAsia="仿宋" w:cs="仿宋"/>
          <w:color w:val="auto"/>
          <w:kern w:val="0"/>
          <w:sz w:val="32"/>
          <w:szCs w:val="32"/>
          <w:lang w:val="en-US" w:eastAsia="zh-CN"/>
        </w:rPr>
        <w:t>，</w:t>
      </w:r>
      <w:r>
        <w:rPr>
          <w:rFonts w:hint="eastAsia" w:eastAsia="仿宋_GB2312" w:cs="Times New Roman"/>
          <w:sz w:val="30"/>
          <w:szCs w:val="30"/>
          <w:highlight w:val="none"/>
          <w:lang w:val="en-US" w:eastAsia="zh-CN"/>
        </w:rPr>
        <w:t>线上线下</w:t>
      </w:r>
      <w:r>
        <w:rPr>
          <w:rFonts w:hint="eastAsia" w:ascii="Times New Roman" w:hAnsi="Times New Roman" w:eastAsia="仿宋" w:cs="仿宋"/>
          <w:color w:val="auto"/>
          <w:kern w:val="0"/>
          <w:sz w:val="32"/>
          <w:szCs w:val="32"/>
          <w:lang w:val="en-US" w:eastAsia="zh-CN"/>
        </w:rPr>
        <w:t>持续</w:t>
      </w:r>
      <w:r>
        <w:rPr>
          <w:rFonts w:hint="eastAsia" w:eastAsia="仿宋" w:cs="仿宋"/>
          <w:color w:val="auto"/>
          <w:kern w:val="0"/>
          <w:sz w:val="32"/>
          <w:szCs w:val="32"/>
          <w:lang w:val="en-US" w:eastAsia="zh-CN"/>
        </w:rPr>
        <w:t>发布</w:t>
      </w:r>
      <w:r>
        <w:rPr>
          <w:rFonts w:hint="eastAsia" w:ascii="Times New Roman" w:hAnsi="Times New Roman" w:eastAsia="仿宋" w:cs="仿宋"/>
          <w:color w:val="auto"/>
          <w:kern w:val="0"/>
          <w:sz w:val="32"/>
          <w:szCs w:val="32"/>
          <w:lang w:val="en-US" w:eastAsia="zh-CN"/>
        </w:rPr>
        <w:t>“库尔勒科技馆”微信公众号、抖音号等平台</w:t>
      </w:r>
      <w:r>
        <w:rPr>
          <w:rFonts w:hint="eastAsia" w:eastAsia="仿宋" w:cs="仿宋"/>
          <w:color w:val="auto"/>
          <w:kern w:val="0"/>
          <w:sz w:val="32"/>
          <w:szCs w:val="32"/>
          <w:lang w:val="en-US" w:eastAsia="zh-CN"/>
        </w:rPr>
        <w:t>，用</w:t>
      </w:r>
      <w:r>
        <w:rPr>
          <w:rFonts w:hint="default" w:ascii="Times New Roman" w:hAnsi="Times New Roman" w:eastAsia="仿宋_GB2312" w:cs="Times New Roman"/>
          <w:sz w:val="30"/>
          <w:szCs w:val="30"/>
          <w:highlight w:val="none"/>
          <w:lang w:val="en-US" w:eastAsia="zh-CN"/>
        </w:rPr>
        <w:t>各类</w:t>
      </w:r>
      <w:r>
        <w:rPr>
          <w:rFonts w:hint="eastAsia" w:eastAsia="仿宋_GB2312" w:cs="Times New Roman"/>
          <w:sz w:val="30"/>
          <w:szCs w:val="30"/>
          <w:highlight w:val="none"/>
          <w:lang w:val="en-US" w:eastAsia="zh-CN"/>
        </w:rPr>
        <w:t>科普</w:t>
      </w:r>
      <w:r>
        <w:rPr>
          <w:rFonts w:hint="default" w:ascii="Times New Roman" w:hAnsi="Times New Roman" w:eastAsia="仿宋_GB2312" w:cs="Times New Roman"/>
          <w:sz w:val="30"/>
          <w:szCs w:val="30"/>
          <w:highlight w:val="none"/>
          <w:lang w:val="en-US" w:eastAsia="zh-CN"/>
        </w:rPr>
        <w:t>活动</w:t>
      </w:r>
      <w:r>
        <w:rPr>
          <w:rFonts w:hint="eastAsia" w:eastAsia="仿宋_GB2312" w:cs="Times New Roman"/>
          <w:sz w:val="30"/>
          <w:szCs w:val="30"/>
          <w:highlight w:val="none"/>
          <w:lang w:val="en-US" w:eastAsia="zh-CN"/>
        </w:rPr>
        <w:t>来提升科技馆在群众当中的</w:t>
      </w:r>
      <w:r>
        <w:rPr>
          <w:rFonts w:hint="default" w:ascii="Times New Roman" w:hAnsi="Times New Roman" w:eastAsia="仿宋_GB2312" w:cs="Times New Roman"/>
          <w:sz w:val="32"/>
          <w:szCs w:val="32"/>
          <w:highlight w:val="none"/>
        </w:rPr>
        <w:t>科普教育核心阵地</w:t>
      </w:r>
      <w:r>
        <w:rPr>
          <w:rFonts w:hint="eastAsia" w:eastAsia="仿宋_GB2312" w:cs="Times New Roman"/>
          <w:sz w:val="32"/>
          <w:szCs w:val="32"/>
          <w:highlight w:val="none"/>
          <w:lang w:val="en-US" w:eastAsia="zh-CN"/>
        </w:rPr>
        <w:t>的</w:t>
      </w:r>
      <w:r>
        <w:rPr>
          <w:rFonts w:hint="default" w:ascii="Times New Roman" w:hAnsi="Times New Roman" w:eastAsia="仿宋_GB2312" w:cs="Times New Roman"/>
          <w:sz w:val="32"/>
          <w:szCs w:val="32"/>
          <w:highlight w:val="none"/>
        </w:rPr>
        <w:t>作用</w:t>
      </w: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全年</w:t>
      </w:r>
      <w:r>
        <w:rPr>
          <w:rFonts w:hint="default" w:ascii="Times New Roman" w:hAnsi="Times New Roman" w:eastAsia="仿宋_GB2312" w:cs="Times New Roman"/>
          <w:sz w:val="30"/>
          <w:szCs w:val="30"/>
          <w:highlight w:val="none"/>
          <w:lang w:val="en-US" w:eastAsia="zh-CN"/>
        </w:rPr>
        <w:t>开展</w:t>
      </w:r>
      <w:r>
        <w:rPr>
          <w:rFonts w:hint="eastAsia" w:eastAsia="仿宋_GB2312" w:cs="Times New Roman"/>
          <w:sz w:val="30"/>
          <w:szCs w:val="30"/>
          <w:highlight w:val="none"/>
          <w:lang w:val="en-US" w:eastAsia="zh-CN"/>
        </w:rPr>
        <w:t>了</w:t>
      </w:r>
      <w:r>
        <w:rPr>
          <w:rFonts w:hint="default" w:ascii="Times New Roman" w:hAnsi="Times New Roman" w:eastAsia="仿宋_GB2312" w:cs="Times New Roman"/>
          <w:sz w:val="30"/>
          <w:szCs w:val="30"/>
          <w:highlight w:val="none"/>
          <w:lang w:val="en-US" w:eastAsia="zh-CN"/>
        </w:rPr>
        <w:t>各类科普活动 70 场次</w:t>
      </w:r>
      <w:r>
        <w:rPr>
          <w:rFonts w:hint="eastAsia" w:eastAsia="仿宋_GB2312" w:cs="Times New Roman"/>
          <w:sz w:val="30"/>
          <w:szCs w:val="30"/>
          <w:highlight w:val="none"/>
          <w:lang w:val="en-US" w:eastAsia="zh-CN"/>
        </w:rPr>
        <w:t>。为让参观群众亲身感受互动展项带来的新鲜感，我们加大了对展品维保、检查工作，将发现的问题记录在册，针对检修问题制定详细的维修保养方案，以确保展品得到及时、准确的维护维修，全</w:t>
      </w:r>
      <w:r>
        <w:rPr>
          <w:rFonts w:hint="default" w:ascii="Times New Roman" w:hAnsi="Times New Roman" w:eastAsia="仿宋_GB2312" w:cs="Times New Roman"/>
          <w:sz w:val="30"/>
          <w:szCs w:val="30"/>
          <w:highlight w:val="none"/>
          <w:lang w:val="en-US" w:eastAsia="zh-CN"/>
        </w:rPr>
        <w:t>年</w:t>
      </w:r>
      <w:r>
        <w:rPr>
          <w:rFonts w:hint="eastAsia" w:eastAsia="仿宋_GB2312" w:cs="Times New Roman"/>
          <w:sz w:val="30"/>
          <w:szCs w:val="30"/>
          <w:highlight w:val="none"/>
          <w:lang w:val="en-US" w:eastAsia="zh-CN"/>
        </w:rPr>
        <w:t>维修（护）</w:t>
      </w:r>
      <w:r>
        <w:rPr>
          <w:rFonts w:hint="default" w:ascii="Times New Roman" w:hAnsi="Times New Roman" w:eastAsia="仿宋_GB2312" w:cs="Times New Roman"/>
          <w:sz w:val="30"/>
          <w:szCs w:val="30"/>
          <w:highlight w:val="none"/>
          <w:lang w:val="en-US" w:eastAsia="zh-CN"/>
        </w:rPr>
        <w:t>展品展项 110 个。</w:t>
      </w:r>
    </w:p>
    <w:p>
      <w:pPr>
        <w:spacing w:line="560" w:lineRule="exact"/>
        <w:ind w:firstLine="643" w:firstLineChars="200"/>
        <w:rPr>
          <w:rFonts w:hint="default" w:ascii="Times New Roman" w:hAnsi="Times New Roman" w:eastAsia="仿宋_GB2312" w:cs="Times New Roman"/>
          <w:b/>
          <w:bCs/>
          <w:sz w:val="32"/>
          <w:szCs w:val="32"/>
          <w:highlight w:val="none"/>
        </w:rPr>
      </w:pPr>
      <w:r>
        <w:rPr>
          <w:rFonts w:hint="default" w:ascii="Times New Roman" w:hAnsi="Times New Roman" w:eastAsia="仿宋_GB2312" w:cs="Times New Roman"/>
          <w:b/>
          <w:bCs/>
          <w:sz w:val="32"/>
          <w:szCs w:val="32"/>
          <w:highlight w:val="none"/>
        </w:rPr>
        <w:t>3</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bCs/>
          <w:sz w:val="32"/>
          <w:szCs w:val="32"/>
          <w:highlight w:val="none"/>
        </w:rPr>
        <w:t>资金投入和使用情况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（1）资金投入情况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该项目年初预算数</w:t>
      </w:r>
      <w:r>
        <w:rPr>
          <w:rFonts w:hint="eastAsia" w:eastAsia="仿宋_GB2312" w:cs="Times New Roman"/>
          <w:sz w:val="32"/>
          <w:szCs w:val="32"/>
          <w:highlight w:val="none"/>
          <w:lang w:val="en-US" w:eastAsia="zh-CN"/>
        </w:rPr>
        <w:t>312</w:t>
      </w:r>
      <w:r>
        <w:rPr>
          <w:rFonts w:hint="default" w:ascii="Times New Roman" w:hAnsi="Times New Roman" w:eastAsia="仿宋_GB2312" w:cs="Times New Roman"/>
          <w:sz w:val="32"/>
          <w:szCs w:val="32"/>
          <w:highlight w:val="none"/>
          <w:lang w:val="en-US" w:eastAsia="zh-CN"/>
        </w:rPr>
        <w:t>万元，全年预算数</w:t>
      </w:r>
      <w:r>
        <w:rPr>
          <w:rFonts w:hint="eastAsia" w:eastAsia="仿宋_GB2312" w:cs="Times New Roman"/>
          <w:sz w:val="32"/>
          <w:szCs w:val="32"/>
          <w:highlight w:val="none"/>
          <w:lang w:val="en-US" w:eastAsia="zh-CN"/>
        </w:rPr>
        <w:t>312</w:t>
      </w:r>
      <w:r>
        <w:rPr>
          <w:rFonts w:hint="default" w:ascii="Times New Roman" w:hAnsi="Times New Roman" w:eastAsia="仿宋_GB2312" w:cs="Times New Roman"/>
          <w:sz w:val="32"/>
          <w:szCs w:val="32"/>
          <w:highlight w:val="none"/>
          <w:lang w:val="en-US" w:eastAsia="zh-CN"/>
        </w:rPr>
        <w:t>万元，该项目资金已全部落实到位，资金来源为</w:t>
      </w:r>
      <w:r>
        <w:rPr>
          <w:rFonts w:hint="eastAsia" w:eastAsia="仿宋_GB2312" w:cs="Times New Roman"/>
          <w:sz w:val="32"/>
          <w:szCs w:val="32"/>
          <w:highlight w:val="none"/>
          <w:lang w:val="en-US" w:eastAsia="zh-CN"/>
        </w:rPr>
        <w:t>财政拨款</w:t>
      </w:r>
      <w:r>
        <w:rPr>
          <w:rFonts w:hint="default" w:ascii="Times New Roman" w:hAnsi="Times New Roman" w:eastAsia="仿宋_GB2312" w:cs="Times New Roman"/>
          <w:sz w:val="32"/>
          <w:szCs w:val="32"/>
          <w:highlight w:val="none"/>
          <w:lang w:val="en-US"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（2）资金使用情况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该项目年初预算数</w:t>
      </w:r>
      <w:r>
        <w:rPr>
          <w:rFonts w:hint="eastAsia" w:eastAsia="仿宋_GB2312" w:cs="Times New Roman"/>
          <w:sz w:val="32"/>
          <w:szCs w:val="32"/>
          <w:highlight w:val="none"/>
          <w:lang w:val="en-US" w:eastAsia="zh-CN"/>
        </w:rPr>
        <w:t>312</w:t>
      </w:r>
      <w:r>
        <w:rPr>
          <w:rFonts w:hint="default" w:ascii="Times New Roman" w:hAnsi="Times New Roman" w:eastAsia="仿宋_GB2312" w:cs="Times New Roman"/>
          <w:sz w:val="32"/>
          <w:szCs w:val="32"/>
          <w:highlight w:val="none"/>
          <w:lang w:val="en-US" w:eastAsia="zh-CN"/>
        </w:rPr>
        <w:t>万元，全年预算数</w:t>
      </w:r>
      <w:r>
        <w:rPr>
          <w:rFonts w:hint="eastAsia" w:eastAsia="仿宋_GB2312" w:cs="Times New Roman"/>
          <w:sz w:val="32"/>
          <w:szCs w:val="32"/>
          <w:highlight w:val="none"/>
          <w:lang w:val="en-US" w:eastAsia="zh-CN"/>
        </w:rPr>
        <w:t>312</w:t>
      </w:r>
      <w:r>
        <w:rPr>
          <w:rFonts w:hint="default" w:ascii="Times New Roman" w:hAnsi="Times New Roman" w:eastAsia="仿宋_GB2312" w:cs="Times New Roman"/>
          <w:sz w:val="32"/>
          <w:szCs w:val="32"/>
          <w:highlight w:val="none"/>
          <w:lang w:val="en-US" w:eastAsia="zh-CN"/>
        </w:rPr>
        <w:t>万元</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，全年执行数</w:t>
      </w:r>
      <w:r>
        <w:rPr>
          <w:rFonts w:hint="eastAsia" w:eastAsia="仿宋_GB2312" w:cs="Times New Roman"/>
          <w:sz w:val="32"/>
          <w:szCs w:val="32"/>
          <w:highlight w:val="none"/>
          <w:lang w:val="en-US" w:eastAsia="zh-CN"/>
        </w:rPr>
        <w:t>190.17</w:t>
      </w:r>
      <w:r>
        <w:rPr>
          <w:rFonts w:hint="default" w:ascii="Times New Roman" w:hAnsi="Times New Roman" w:eastAsia="仿宋_GB2312" w:cs="Times New Roman"/>
          <w:sz w:val="32"/>
          <w:szCs w:val="32"/>
          <w:highlight w:val="none"/>
          <w:lang w:val="en-US" w:eastAsia="zh-CN"/>
        </w:rPr>
        <w:t>万元，预算执行率为</w:t>
      </w:r>
      <w:r>
        <w:rPr>
          <w:rFonts w:hint="eastAsia" w:eastAsia="仿宋_GB2312" w:cs="Times New Roman"/>
          <w:sz w:val="32"/>
          <w:szCs w:val="32"/>
          <w:highlight w:val="none"/>
          <w:lang w:val="en-US" w:eastAsia="zh-CN"/>
        </w:rPr>
        <w:t>60.95</w:t>
      </w:r>
      <w:r>
        <w:rPr>
          <w:rFonts w:hint="default" w:ascii="Times New Roman" w:hAnsi="Times New Roman" w:eastAsia="仿宋_GB2312" w:cs="Times New Roman"/>
          <w:sz w:val="32"/>
          <w:szCs w:val="32"/>
          <w:highlight w:val="none"/>
          <w:lang w:val="en-US" w:eastAsia="zh-CN"/>
        </w:rPr>
        <w:t>%，主要用于：展品展项</w:t>
      </w:r>
      <w:r>
        <w:rPr>
          <w:rFonts w:hint="eastAsia" w:eastAsia="仿宋_GB2312" w:cs="Times New Roman"/>
          <w:sz w:val="32"/>
          <w:szCs w:val="32"/>
          <w:highlight w:val="none"/>
          <w:lang w:val="en-US" w:eastAsia="zh-CN"/>
        </w:rPr>
        <w:t>更新、维护费用104.66万元；支持乡村科普宣传教育实践活动费用24.36万元；科普宣传教育实践活动费用86.13万元。</w:t>
      </w:r>
    </w:p>
    <w:p>
      <w:pPr>
        <w:spacing w:line="560" w:lineRule="exact"/>
        <w:ind w:firstLine="643" w:firstLineChars="200"/>
        <w:rPr>
          <w:rFonts w:hint="default" w:ascii="Times New Roman" w:hAnsi="Times New Roman" w:eastAsia="楷体_GB2312" w:cs="Times New Roman"/>
          <w:b/>
          <w:bCs/>
          <w:sz w:val="32"/>
          <w:szCs w:val="32"/>
          <w:highlight w:val="none"/>
        </w:rPr>
      </w:pPr>
      <w:r>
        <w:rPr>
          <w:rFonts w:hint="default" w:ascii="Times New Roman" w:hAnsi="Times New Roman" w:eastAsia="楷体_GB2312" w:cs="Times New Roman"/>
          <w:b/>
          <w:bCs/>
          <w:sz w:val="32"/>
          <w:szCs w:val="32"/>
          <w:highlight w:val="none"/>
        </w:rPr>
        <w:t>（二）项目绩效目标</w:t>
      </w:r>
    </w:p>
    <w:p>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1</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sz w:val="32"/>
          <w:szCs w:val="32"/>
          <w:highlight w:val="none"/>
        </w:rPr>
        <w:t>总体目标</w:t>
      </w:r>
    </w:p>
    <w:p>
      <w:pPr>
        <w:shd w:val="clear"/>
        <w:spacing w:line="600" w:lineRule="exact"/>
        <w:ind w:firstLine="640" w:firstLineChars="200"/>
        <w:outlineLvl w:val="0"/>
        <w:rPr>
          <w:rFonts w:hint="default" w:eastAsia="仿宋_GB2312" w:cs="Times New Roman"/>
          <w:sz w:val="32"/>
          <w:szCs w:val="32"/>
          <w:highlight w:val="none"/>
          <w:lang w:val="en-US" w:eastAsia="zh-CN"/>
        </w:rPr>
      </w:pPr>
      <w:r>
        <w:rPr>
          <w:rFonts w:hint="default" w:eastAsia="仿宋_GB2312" w:cs="Times New Roman"/>
          <w:sz w:val="32"/>
          <w:szCs w:val="32"/>
          <w:highlight w:val="none"/>
          <w:lang w:val="en-US" w:eastAsia="zh-CN"/>
        </w:rPr>
        <w:t>目标1：年度正常开馆天数170天，开展各类科普活动次数70场次，年度展品展项维修数量110个。</w:t>
      </w:r>
    </w:p>
    <w:p>
      <w:pPr>
        <w:shd w:val="clear"/>
        <w:spacing w:line="600" w:lineRule="exact"/>
        <w:ind w:firstLine="640" w:firstLineChars="200"/>
        <w:outlineLvl w:val="0"/>
        <w:rPr>
          <w:rFonts w:hint="default" w:eastAsia="仿宋_GB2312" w:cs="Times New Roman"/>
          <w:sz w:val="32"/>
          <w:szCs w:val="32"/>
          <w:highlight w:val="none"/>
          <w:lang w:val="en-US" w:eastAsia="zh-CN"/>
        </w:rPr>
      </w:pPr>
      <w:r>
        <w:rPr>
          <w:rFonts w:hint="default" w:eastAsia="仿宋_GB2312" w:cs="Times New Roman"/>
          <w:sz w:val="32"/>
          <w:szCs w:val="32"/>
          <w:highlight w:val="none"/>
          <w:lang w:val="en-US" w:eastAsia="zh-CN"/>
        </w:rPr>
        <w:t>目标2：通过项目实施，全面提升科普宣传影响力，努力开创库尔勒科普事业新局面，坚定不移把科技馆的免费开放做实做细，不断增强来馆参观群众的获得感、幸福感、安全感</w:t>
      </w:r>
      <w:r>
        <w:rPr>
          <w:rFonts w:hint="eastAsia" w:eastAsia="仿宋_GB2312" w:cs="Times New Roman"/>
          <w:sz w:val="32"/>
          <w:szCs w:val="32"/>
          <w:highlight w:val="none"/>
          <w:lang w:val="en-US" w:eastAsia="zh-CN"/>
        </w:rPr>
        <w:t>。</w:t>
      </w:r>
    </w:p>
    <w:p>
      <w:pPr>
        <w:spacing w:line="560" w:lineRule="exact"/>
        <w:ind w:firstLine="640" w:firstLineChars="200"/>
        <w:rPr>
          <w:rFonts w:hint="default" w:ascii="Times New Roman" w:hAnsi="Times New Roman" w:eastAsia="仿宋_GB2312" w:cs="Times New Roman"/>
          <w:color w:val="FF0000"/>
          <w:sz w:val="30"/>
          <w:szCs w:val="30"/>
          <w:highlight w:val="none"/>
          <w:lang w:val="en-US" w:eastAsia="zh-CN"/>
        </w:rPr>
      </w:pPr>
      <w:r>
        <w:rPr>
          <w:rFonts w:hint="default" w:ascii="Times New Roman" w:hAnsi="Times New Roman" w:eastAsia="仿宋_GB2312" w:cs="Times New Roman"/>
          <w:sz w:val="32"/>
          <w:szCs w:val="32"/>
          <w:highlight w:val="none"/>
        </w:rPr>
        <w:t>2</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sz w:val="32"/>
          <w:szCs w:val="32"/>
          <w:highlight w:val="none"/>
        </w:rPr>
        <w:t>阶段性目标</w:t>
      </w:r>
    </w:p>
    <w:p>
      <w:pPr>
        <w:shd w:val="clear"/>
        <w:spacing w:line="600" w:lineRule="exact"/>
        <w:ind w:firstLine="640" w:firstLineChars="200"/>
        <w:outlineLvl w:val="0"/>
        <w:rPr>
          <w:rFonts w:hint="default" w:eastAsia="仿宋_GB2312" w:cs="Times New Roman"/>
          <w:sz w:val="32"/>
          <w:szCs w:val="32"/>
          <w:highlight w:val="none"/>
          <w:lang w:val="en-US" w:eastAsia="zh-CN"/>
        </w:rPr>
      </w:pPr>
      <w:r>
        <w:rPr>
          <w:rFonts w:hint="eastAsia" w:eastAsia="仿宋_GB2312" w:cs="Times New Roman"/>
          <w:sz w:val="32"/>
          <w:szCs w:val="32"/>
          <w:highlight w:val="none"/>
          <w:lang w:val="en-US" w:eastAsia="zh-CN"/>
        </w:rPr>
        <w:t>（1）</w:t>
      </w:r>
      <w:r>
        <w:rPr>
          <w:rFonts w:hint="default" w:eastAsia="仿宋_GB2312" w:cs="Times New Roman"/>
          <w:sz w:val="32"/>
          <w:szCs w:val="32"/>
          <w:highlight w:val="none"/>
          <w:lang w:val="en-US" w:eastAsia="zh-CN"/>
        </w:rPr>
        <w:t>上半年计划实施过程</w:t>
      </w:r>
    </w:p>
    <w:p>
      <w:pPr>
        <w:shd w:val="clear"/>
        <w:spacing w:line="600" w:lineRule="exact"/>
        <w:ind w:firstLine="640" w:firstLineChars="200"/>
        <w:outlineLvl w:val="0"/>
        <w:rPr>
          <w:rFonts w:hint="default" w:eastAsia="仿宋_GB2312" w:cs="Times New Roman"/>
          <w:sz w:val="32"/>
          <w:szCs w:val="32"/>
          <w:highlight w:val="none"/>
          <w:lang w:val="en-US" w:eastAsia="zh-CN"/>
        </w:rPr>
      </w:pPr>
      <w:r>
        <w:rPr>
          <w:rFonts w:hint="default" w:eastAsia="仿宋_GB2312" w:cs="Times New Roman"/>
          <w:sz w:val="32"/>
          <w:szCs w:val="32"/>
          <w:highlight w:val="none"/>
          <w:lang w:val="en-US" w:eastAsia="zh-CN"/>
        </w:rPr>
        <w:t>场馆运营与展品维护：合理安排人员值班，保障科技馆上半年开馆 85 天；对场馆展品进行全面排查，启动 60 个展品展项的维修工作，定期复查已维修展品，确保运行率超 90%</w:t>
      </w:r>
      <w:r>
        <w:rPr>
          <w:rFonts w:hint="eastAsia" w:eastAsia="仿宋_GB2312" w:cs="Times New Roman"/>
          <w:sz w:val="32"/>
          <w:szCs w:val="32"/>
          <w:highlight w:val="none"/>
          <w:lang w:val="en-US" w:eastAsia="zh-CN"/>
        </w:rPr>
        <w:t>。</w:t>
      </w:r>
    </w:p>
    <w:p>
      <w:pPr>
        <w:shd w:val="clear"/>
        <w:spacing w:line="600" w:lineRule="exact"/>
        <w:ind w:firstLine="640" w:firstLineChars="200"/>
        <w:outlineLvl w:val="0"/>
        <w:rPr>
          <w:rFonts w:hint="default" w:eastAsia="仿宋_GB2312" w:cs="Times New Roman"/>
          <w:sz w:val="32"/>
          <w:szCs w:val="32"/>
          <w:highlight w:val="none"/>
          <w:lang w:val="en-US" w:eastAsia="zh-CN"/>
        </w:rPr>
      </w:pPr>
      <w:r>
        <w:rPr>
          <w:rFonts w:hint="default" w:eastAsia="仿宋_GB2312" w:cs="Times New Roman"/>
          <w:sz w:val="32"/>
          <w:szCs w:val="32"/>
          <w:highlight w:val="none"/>
          <w:lang w:val="en-US" w:eastAsia="zh-CN"/>
        </w:rPr>
        <w:t>科普活动开展：策划并组织 30 场科普活动，涵盖科学小实验、科普知识问答、科学家精神宣讲等形式；积极与基层单位合作，开展科普进基层活动；组织中小学生研学实践活动。完成展厅改造设计与赛事筹备，“数字科技馆” 浏览量达标，线上宣传工作有序推进。​</w:t>
      </w:r>
    </w:p>
    <w:p>
      <w:pPr>
        <w:shd w:val="clear"/>
        <w:spacing w:line="600" w:lineRule="exact"/>
        <w:ind w:firstLine="640" w:firstLineChars="200"/>
        <w:outlineLvl w:val="0"/>
        <w:rPr>
          <w:rFonts w:hint="default" w:eastAsia="仿宋_GB2312" w:cs="Times New Roman"/>
          <w:sz w:val="32"/>
          <w:szCs w:val="32"/>
          <w:highlight w:val="none"/>
          <w:lang w:val="en-US" w:eastAsia="zh-CN"/>
        </w:rPr>
      </w:pPr>
      <w:r>
        <w:rPr>
          <w:rFonts w:hint="eastAsia" w:eastAsia="仿宋_GB2312" w:cs="Times New Roman"/>
          <w:sz w:val="32"/>
          <w:szCs w:val="32"/>
          <w:highlight w:val="none"/>
          <w:lang w:val="en-US" w:eastAsia="zh-CN"/>
        </w:rPr>
        <w:t>（2）</w:t>
      </w:r>
      <w:r>
        <w:rPr>
          <w:rFonts w:hint="default" w:eastAsia="仿宋_GB2312" w:cs="Times New Roman"/>
          <w:sz w:val="32"/>
          <w:szCs w:val="32"/>
          <w:highlight w:val="none"/>
          <w:lang w:val="en-US" w:eastAsia="zh-CN"/>
        </w:rPr>
        <w:t>下半年计划实施过程​</w:t>
      </w:r>
    </w:p>
    <w:p>
      <w:pPr>
        <w:shd w:val="clear"/>
        <w:spacing w:line="600" w:lineRule="exact"/>
        <w:ind w:firstLine="640" w:firstLineChars="200"/>
        <w:outlineLvl w:val="0"/>
        <w:rPr>
          <w:rFonts w:hint="default" w:eastAsia="仿宋_GB2312" w:cs="Times New Roman"/>
          <w:sz w:val="32"/>
          <w:szCs w:val="32"/>
          <w:highlight w:val="none"/>
          <w:lang w:val="en-US" w:eastAsia="zh-CN"/>
        </w:rPr>
      </w:pPr>
      <w:r>
        <w:rPr>
          <w:rFonts w:hint="default" w:eastAsia="仿宋_GB2312" w:cs="Times New Roman"/>
          <w:sz w:val="32"/>
          <w:szCs w:val="32"/>
          <w:highlight w:val="none"/>
          <w:lang w:val="en-US" w:eastAsia="zh-CN"/>
        </w:rPr>
        <w:t>场馆运营与展品维护：保证科技馆下半年开馆 90 天，完成剩余 50 个展品展项维修，实现全年 110 个维修目标；建立展品日常维护长效机制，定期巡检。​</w:t>
      </w:r>
    </w:p>
    <w:p>
      <w:pPr>
        <w:shd w:val="clear"/>
        <w:spacing w:line="600" w:lineRule="exact"/>
        <w:ind w:firstLine="640" w:firstLineChars="200"/>
        <w:outlineLvl w:val="0"/>
        <w:rPr>
          <w:rFonts w:hint="default" w:eastAsia="仿宋_GB2312" w:cs="Times New Roman"/>
          <w:sz w:val="32"/>
          <w:szCs w:val="32"/>
          <w:highlight w:val="none"/>
          <w:lang w:val="en-US" w:eastAsia="zh-CN"/>
        </w:rPr>
      </w:pPr>
      <w:r>
        <w:rPr>
          <w:rFonts w:hint="default" w:eastAsia="仿宋_GB2312" w:cs="Times New Roman"/>
          <w:sz w:val="32"/>
          <w:szCs w:val="32"/>
          <w:highlight w:val="none"/>
          <w:lang w:val="en-US" w:eastAsia="zh-CN"/>
        </w:rPr>
        <w:t>科普活动开展：开展 40 场科普活动，重点办好 “创新决胜未来” 科技成果展；科普进基层活动；组织中小学生研学实践活动；在寒暑假举办科技培训班。​</w:t>
      </w:r>
    </w:p>
    <w:p>
      <w:pPr>
        <w:shd w:val="clear"/>
        <w:spacing w:line="600" w:lineRule="exact"/>
        <w:ind w:firstLine="640" w:firstLineChars="200"/>
        <w:outlineLvl w:val="0"/>
        <w:rPr>
          <w:rFonts w:hint="default" w:eastAsia="仿宋_GB2312" w:cs="Times New Roman"/>
          <w:sz w:val="32"/>
          <w:szCs w:val="32"/>
          <w:highlight w:val="none"/>
          <w:lang w:val="en-US" w:eastAsia="zh-CN"/>
        </w:rPr>
      </w:pPr>
      <w:r>
        <w:rPr>
          <w:rFonts w:hint="default" w:eastAsia="仿宋_GB2312" w:cs="Times New Roman"/>
          <w:sz w:val="32"/>
          <w:szCs w:val="32"/>
          <w:highlight w:val="none"/>
          <w:lang w:val="en-US" w:eastAsia="zh-CN"/>
        </w:rPr>
        <w:t>项目收尾与建设：完成科技馆儿童科学乐园展厅改造工程并投入使用；持续优化 “数字科技馆” 功能；推进 “掌上科技馆” 建设，完善数字讲解服务。</w:t>
      </w:r>
    </w:p>
    <w:p>
      <w:pPr>
        <w:spacing w:line="560" w:lineRule="exact"/>
        <w:ind w:firstLine="640" w:firstLineChars="200"/>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二、绩效评价工作开展情况</w:t>
      </w:r>
    </w:p>
    <w:p>
      <w:pPr>
        <w:spacing w:line="560" w:lineRule="exact"/>
        <w:ind w:firstLine="643" w:firstLineChars="200"/>
        <w:rPr>
          <w:rFonts w:hint="default" w:ascii="Times New Roman" w:hAnsi="Times New Roman" w:eastAsia="楷体_GB2312" w:cs="Times New Roman"/>
          <w:b/>
          <w:bCs/>
          <w:sz w:val="32"/>
          <w:szCs w:val="32"/>
          <w:highlight w:val="none"/>
        </w:rPr>
      </w:pPr>
      <w:r>
        <w:rPr>
          <w:rFonts w:hint="default" w:ascii="Times New Roman" w:hAnsi="Times New Roman" w:eastAsia="楷体_GB2312" w:cs="Times New Roman"/>
          <w:b/>
          <w:bCs/>
          <w:sz w:val="32"/>
          <w:szCs w:val="32"/>
          <w:highlight w:val="none"/>
        </w:rPr>
        <w:t>（一）绩效评价目的、对象和范围</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lang w:val="en-US" w:eastAsia="zh-CN"/>
        </w:rPr>
      </w:pPr>
      <w:r>
        <w:rPr>
          <w:rFonts w:hint="default" w:ascii="Times New Roman" w:hAnsi="Times New Roman" w:eastAsia="仿宋_GB2312" w:cs="Times New Roman"/>
          <w:b w:val="0"/>
          <w:bCs w:val="0"/>
          <w:highlight w:val="none"/>
          <w:lang w:val="en-US" w:eastAsia="zh-CN"/>
        </w:rPr>
        <w:t>1.绩效评价完整性</w:t>
      </w:r>
    </w:p>
    <w:p>
      <w:pPr>
        <w:shd w:val="clear"/>
        <w:spacing w:line="600" w:lineRule="exact"/>
        <w:ind w:firstLine="640" w:firstLineChars="200"/>
        <w:outlineLvl w:val="0"/>
        <w:rPr>
          <w:rFonts w:hint="default" w:eastAsia="仿宋_GB2312" w:cs="Times New Roman"/>
          <w:sz w:val="32"/>
          <w:szCs w:val="32"/>
          <w:highlight w:val="none"/>
          <w:lang w:val="en-US" w:eastAsia="zh-CN"/>
        </w:rPr>
      </w:pPr>
      <w:r>
        <w:rPr>
          <w:rFonts w:hint="default" w:eastAsia="仿宋_GB2312" w:cs="Times New Roman"/>
          <w:sz w:val="32"/>
          <w:szCs w:val="32"/>
          <w:highlight w:val="none"/>
          <w:lang w:val="en-US" w:eastAsia="zh-CN"/>
        </w:rPr>
        <w:t>本项目预算绩效评价报告的编制，严格遵循相关法规与标准，从多维度确保评价的完整性。在内容层面，报告对项目从预算编制到执行、最终完成的全过程进行了详实覆盖，细致梳理和评估各项绩效指标，全面呈现项目的推进轨迹。​</w:t>
      </w:r>
    </w:p>
    <w:p>
      <w:pPr>
        <w:shd w:val="clear"/>
        <w:spacing w:line="600" w:lineRule="exact"/>
        <w:ind w:firstLine="640" w:firstLineChars="200"/>
        <w:outlineLvl w:val="0"/>
        <w:rPr>
          <w:rFonts w:hint="default" w:eastAsia="仿宋_GB2312" w:cs="Times New Roman"/>
          <w:sz w:val="32"/>
          <w:szCs w:val="32"/>
          <w:highlight w:val="none"/>
          <w:lang w:val="en-US" w:eastAsia="zh-CN"/>
        </w:rPr>
      </w:pPr>
      <w:r>
        <w:rPr>
          <w:rFonts w:hint="default" w:eastAsia="仿宋_GB2312" w:cs="Times New Roman"/>
          <w:sz w:val="32"/>
          <w:szCs w:val="32"/>
          <w:highlight w:val="none"/>
          <w:lang w:val="en-US" w:eastAsia="zh-CN"/>
        </w:rPr>
        <w:t>评价指标体系的构建，充分考量项目性质、目标及预期成果，选取具有代表性与可衡量性的关键指标，涵盖社会效益、满意度等多个维度，对每个指标的评价标准与数据来源予以明确说明，确保评价结果客观且具备可追溯性。​</w:t>
      </w:r>
    </w:p>
    <w:p>
      <w:pPr>
        <w:shd w:val="clear"/>
        <w:spacing w:line="600" w:lineRule="exact"/>
        <w:ind w:firstLine="640" w:firstLineChars="200"/>
        <w:outlineLvl w:val="0"/>
        <w:rPr>
          <w:rFonts w:hint="default" w:eastAsia="仿宋_GB2312" w:cs="Times New Roman"/>
          <w:sz w:val="32"/>
          <w:szCs w:val="32"/>
          <w:highlight w:val="none"/>
          <w:lang w:val="en-US" w:eastAsia="zh-CN"/>
        </w:rPr>
      </w:pPr>
      <w:r>
        <w:rPr>
          <w:rFonts w:hint="default" w:eastAsia="仿宋_GB2312" w:cs="Times New Roman"/>
          <w:sz w:val="32"/>
          <w:szCs w:val="32"/>
          <w:highlight w:val="none"/>
          <w:lang w:val="en-US" w:eastAsia="zh-CN"/>
        </w:rPr>
        <w:t>在数据收集与分析环节，采用实地调研、问卷调查、数据分析等科学方法，广泛收集项目相关数据，并运用专业统计分析工具深入挖掘，严格把控数据质量与完整性，对缺失或异常数据进行合理处理与说明，保障评价数据真实有效。​</w:t>
      </w:r>
    </w:p>
    <w:p>
      <w:pPr>
        <w:shd w:val="clear"/>
        <w:spacing w:line="600" w:lineRule="exact"/>
        <w:ind w:firstLine="640" w:firstLineChars="200"/>
        <w:outlineLvl w:val="0"/>
        <w:rPr>
          <w:rFonts w:hint="default" w:eastAsia="仿宋_GB2312" w:cs="Times New Roman"/>
          <w:sz w:val="32"/>
          <w:szCs w:val="32"/>
          <w:highlight w:val="none"/>
          <w:lang w:val="en-US" w:eastAsia="zh-CN"/>
        </w:rPr>
      </w:pPr>
      <w:r>
        <w:rPr>
          <w:rFonts w:hint="default" w:eastAsia="仿宋_GB2312" w:cs="Times New Roman"/>
          <w:sz w:val="32"/>
          <w:szCs w:val="32"/>
          <w:highlight w:val="none"/>
          <w:lang w:val="en-US" w:eastAsia="zh-CN"/>
        </w:rPr>
        <w:t>报告撰写结构遵循统一格式规范，层次分明、条理清晰。开篇简要介绍项目背景、目标与预算安排，为后续评价奠定基础；随后详细阐述绩效评价的指标体系、方法及数据来源，确保评价过程透明、可复现；继而对各项绩效指标完成情况逐一分析评价，指出项目实施中的问题与不足，并提出改进建议；最后综合总结项目绩效状况，给出明确评价结论与后续工作建议，为项目持续改进与决策提供有力支撑。​</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eastAsia="仿宋_GB2312" w:cs="Times New Roman"/>
          <w:sz w:val="32"/>
          <w:szCs w:val="32"/>
          <w:highlight w:val="none"/>
          <w:lang w:val="en-US" w:eastAsia="zh-CN"/>
        </w:rPr>
        <w:t>本项目预算绩效评价报告在内容、方法和数据等方面高度完整，真实、客观地反映了项目绩效情况，为项目管理决策提供了极具价值的参考依据。后续，我们将持续完善绩效评价体系，不断提升评价工作质量与水平，更好地服务于项目管理与优化。同时，在绩效评价完整性方面的努力，为后续对绩效评价目的、对象及范围的深入探讨奠定了坚实基础，使得整个评价工作得以有条不紊地推进。</w:t>
      </w:r>
      <w:r>
        <w:rPr>
          <w:rFonts w:hint="default" w:ascii="Segoe UI" w:hAnsi="Segoe UI" w:eastAsia="Segoe UI" w:cs="Segoe UI"/>
          <w:i w:val="0"/>
          <w:iCs w:val="0"/>
          <w:caps w:val="0"/>
          <w:spacing w:val="0"/>
          <w:kern w:val="0"/>
          <w:sz w:val="19"/>
          <w:szCs w:val="19"/>
          <w:highlight w:val="none"/>
          <w:shd w:val="clear" w:fill="EFF0F1"/>
          <w:lang w:val="en-US" w:eastAsia="zh-CN" w:bidi="ar"/>
        </w:rPr>
        <w:t xml:space="preserve"> </w:t>
      </w:r>
    </w:p>
    <w:p>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绩效评价的目的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（1）评估项目实施效果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项目预算执行情况及各项绩效目标达成程度</w:t>
      </w:r>
      <w:r>
        <w:rPr>
          <w:rFonts w:hint="eastAsia" w:eastAsia="仿宋_GB2312" w:cs="Times New Roman"/>
          <w:sz w:val="32"/>
          <w:szCs w:val="32"/>
          <w:highlight w:val="none"/>
          <w:lang w:val="en-US" w:eastAsia="zh-CN"/>
        </w:rPr>
        <w:t>需要</w:t>
      </w:r>
      <w:r>
        <w:rPr>
          <w:rFonts w:hint="default" w:ascii="Times New Roman" w:hAnsi="Times New Roman" w:eastAsia="仿宋_GB2312" w:cs="Times New Roman"/>
          <w:sz w:val="32"/>
          <w:szCs w:val="32"/>
          <w:highlight w:val="none"/>
        </w:rPr>
        <w:t>系统性分析，全面、客观地评估项目在预定周期内的实施效果，包括</w:t>
      </w:r>
      <w:r>
        <w:rPr>
          <w:rFonts w:hint="eastAsia" w:eastAsia="仿宋_GB2312" w:cs="Times New Roman"/>
          <w:sz w:val="32"/>
          <w:szCs w:val="32"/>
          <w:highlight w:val="none"/>
          <w:lang w:val="en-US" w:eastAsia="zh-CN"/>
        </w:rPr>
        <w:t>产出效益、</w:t>
      </w:r>
      <w:r>
        <w:rPr>
          <w:rFonts w:hint="default" w:ascii="Times New Roman" w:hAnsi="Times New Roman" w:eastAsia="仿宋_GB2312" w:cs="Times New Roman"/>
          <w:sz w:val="32"/>
          <w:szCs w:val="32"/>
          <w:highlight w:val="none"/>
        </w:rPr>
        <w:t>社会效益、</w:t>
      </w:r>
      <w:r>
        <w:rPr>
          <w:rFonts w:hint="eastAsia" w:eastAsia="仿宋_GB2312" w:cs="Times New Roman"/>
          <w:sz w:val="32"/>
          <w:szCs w:val="32"/>
          <w:highlight w:val="none"/>
          <w:lang w:val="en-US" w:eastAsia="zh-CN"/>
        </w:rPr>
        <w:t>满意度</w:t>
      </w:r>
      <w:r>
        <w:rPr>
          <w:rFonts w:hint="default" w:ascii="Times New Roman" w:hAnsi="Times New Roman" w:eastAsia="仿宋_GB2312" w:cs="Times New Roman"/>
          <w:sz w:val="32"/>
          <w:szCs w:val="32"/>
          <w:highlight w:val="none"/>
        </w:rPr>
        <w:t>等多维度指标，为项目后续的改进与优化提供科学依据。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（2）提升资源利用效率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深入分析项目预算资金的投入产出，排查资金使用中的冗余与低效环节，挖掘资源优化空间，在有限预算内实现更高绩效，提升资源利用效率，确保财政资金合理高效运用。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（3）强化项目管理责任</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明确各参与方在预算绩效管理中的职责，以绩效评价结果监督问责项目管理过程，促使管理者增强责任意识，主动优化管理流程，完善内控机制，提高项目管理与执行水平，保障项目按计划高质量推进。​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（4）为决策提供支持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为项目主管部门、财政部门及决策层提供详实准确的绩效评价信息，助力项目审批、预算安排、政策调整等关键决策，推动项目资源合理分配与整合，完善项目管理体系，提升公共资源配置的精准性与有效性。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（5）促进项目持续改进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依据绩效评价发现的问题，提出针对性改进建议，引导项目团队聚焦关键环节，持续优化实施方案，加强过程监控与质量把控，形成绩效持续改进的良性循环，不断提升项目整体绩效，实现项目长期稳定发展。​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 xml:space="preserve">本项目预算绩效评价报告以提升项目绩效为核心，通过科学严谨的评价，为项目管理与决策提供全面深入的支持，推动项目在预算约束下实现高质量、可持续发展，充分发挥财政资金的经济与社会效益。通过对绩效评价目的的深入剖析，我们对后续的评价工作有了更为清晰的方向指引，为精准聚焦评价对象与范围，进一步提升评价工作的针对性和有效性奠定了坚实基础。 </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lang w:val="en-US" w:eastAsia="zh-CN"/>
        </w:rPr>
        <w:t>3</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val="0"/>
          <w:bCs w:val="0"/>
          <w:highlight w:val="none"/>
        </w:rPr>
        <w:t>绩效评价的对象</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本项目预算绩效评价报告的评价对象是巴财教[2023]46号关于提前下达2024年中央科技馆免费开放补助资金及其预算执行情况。该项目由</w:t>
      </w:r>
      <w:r>
        <w:rPr>
          <w:rFonts w:hint="eastAsia" w:ascii="Times New Roman" w:hAnsi="Times New Roman" w:eastAsia="仿宋_GB2312" w:cs="Times New Roman"/>
          <w:b w:val="0"/>
          <w:bCs w:val="0"/>
          <w:highlight w:val="none"/>
          <w:lang w:val="en-US" w:eastAsia="zh-CN"/>
        </w:rPr>
        <w:t>库尔勒市科学技术馆</w:t>
      </w:r>
      <w:r>
        <w:rPr>
          <w:rFonts w:hint="default" w:ascii="Times New Roman" w:hAnsi="Times New Roman" w:eastAsia="仿宋_GB2312" w:cs="Times New Roman"/>
          <w:b w:val="0"/>
          <w:bCs w:val="0"/>
          <w:highlight w:val="none"/>
        </w:rPr>
        <w:t>负责实施，旨在</w:t>
      </w:r>
      <w:r>
        <w:rPr>
          <w:rFonts w:hint="eastAsia" w:ascii="Times New Roman" w:hAnsi="Times New Roman" w:eastAsia="仿宋_GB2312" w:cs="Times New Roman"/>
          <w:b w:val="0"/>
          <w:bCs w:val="0"/>
          <w:highlight w:val="none"/>
          <w:lang w:val="en-US" w:eastAsia="zh-CN"/>
        </w:rPr>
        <w:t>2024</w:t>
      </w:r>
      <w:r>
        <w:rPr>
          <w:rFonts w:hint="default" w:ascii="Times New Roman" w:hAnsi="Times New Roman" w:eastAsia="仿宋_GB2312" w:cs="Times New Roman"/>
          <w:b w:val="0"/>
          <w:bCs w:val="0"/>
          <w:highlight w:val="none"/>
        </w:rPr>
        <w:t>年度正常开馆175天、开展各类科普活动70场次、年度展品展项维修110个。该项目发挥了科普教育核心阵地的作用，为公众提供高质量的科学普及及体验。项目预算涵盖从</w:t>
      </w:r>
      <w:r>
        <w:rPr>
          <w:rFonts w:hint="eastAsia" w:ascii="Times New Roman" w:hAnsi="Times New Roman" w:eastAsia="仿宋_GB2312" w:cs="Times New Roman"/>
          <w:b w:val="0"/>
          <w:bCs w:val="0"/>
          <w:highlight w:val="none"/>
          <w:lang w:val="en-US" w:eastAsia="zh-CN"/>
        </w:rPr>
        <w:t>2024年1月1日</w:t>
      </w:r>
      <w:r>
        <w:rPr>
          <w:rFonts w:hint="default" w:ascii="Times New Roman" w:hAnsi="Times New Roman" w:eastAsia="仿宋_GB2312" w:cs="Times New Roman"/>
          <w:b w:val="0"/>
          <w:bCs w:val="0"/>
          <w:highlight w:val="none"/>
        </w:rPr>
        <w:t>至</w:t>
      </w:r>
      <w:r>
        <w:rPr>
          <w:rFonts w:hint="eastAsia" w:ascii="Times New Roman" w:hAnsi="Times New Roman" w:eastAsia="仿宋_GB2312" w:cs="Times New Roman"/>
          <w:b w:val="0"/>
          <w:bCs w:val="0"/>
          <w:highlight w:val="none"/>
          <w:lang w:val="en-US" w:eastAsia="zh-CN"/>
        </w:rPr>
        <w:t>2024年12月20日</w:t>
      </w:r>
      <w:r>
        <w:rPr>
          <w:rFonts w:hint="default" w:ascii="Times New Roman" w:hAnsi="Times New Roman" w:eastAsia="仿宋_GB2312" w:cs="Times New Roman"/>
          <w:b w:val="0"/>
          <w:bCs w:val="0"/>
          <w:highlight w:val="none"/>
        </w:rPr>
        <w:t>的全部资金投入与支出，涉及资金总额为</w:t>
      </w:r>
      <w:r>
        <w:rPr>
          <w:rFonts w:hint="eastAsia" w:ascii="Times New Roman" w:hAnsi="Times New Roman" w:eastAsia="仿宋_GB2312" w:cs="Times New Roman"/>
          <w:b w:val="0"/>
          <w:bCs w:val="0"/>
          <w:highlight w:val="none"/>
          <w:lang w:val="en-US" w:eastAsia="zh-CN"/>
        </w:rPr>
        <w:t>312</w:t>
      </w:r>
      <w:r>
        <w:rPr>
          <w:rFonts w:hint="default" w:ascii="Times New Roman" w:hAnsi="Times New Roman" w:eastAsia="仿宋_GB2312" w:cs="Times New Roman"/>
          <w:b w:val="0"/>
          <w:bCs w:val="0"/>
          <w:highlight w:val="none"/>
          <w:lang w:val="en-US" w:eastAsia="zh-CN"/>
        </w:rPr>
        <w:t>万</w:t>
      </w:r>
      <w:r>
        <w:rPr>
          <w:rFonts w:hint="default" w:ascii="Times New Roman" w:hAnsi="Times New Roman" w:eastAsia="仿宋_GB2312" w:cs="Times New Roman"/>
          <w:b w:val="0"/>
          <w:bCs w:val="0"/>
          <w:highlight w:val="none"/>
        </w:rPr>
        <w:t>元。</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lang w:val="en-US" w:eastAsia="zh-CN"/>
        </w:rPr>
        <w:t>4.</w:t>
      </w:r>
      <w:r>
        <w:rPr>
          <w:rFonts w:hint="default" w:ascii="Times New Roman" w:hAnsi="Times New Roman" w:eastAsia="仿宋_GB2312" w:cs="Times New Roman"/>
          <w:b w:val="0"/>
          <w:bCs w:val="0"/>
          <w:highlight w:val="none"/>
        </w:rPr>
        <w:t>绩效评价的范围</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本项目预算绩效评价报告的评价范围广泛而全面，涵盖了从项目立项至评价时点期间的所有关键预算活动和财务流程。具体而言，评价范围包括但不限于以下几个方面：</w:t>
      </w:r>
    </w:p>
    <w:p>
      <w:pPr>
        <w:pStyle w:val="10"/>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项目预算编制与执行：全面审视项目预算的编制依据、合理性、科学性以及实际执行情况，包括预算调整的原因和效果。</w:t>
      </w:r>
    </w:p>
    <w:p>
      <w:pPr>
        <w:pStyle w:val="10"/>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资金管理：深入分析项目资金的分配、使用和监管情况，确保资金使用的合规性、高效性和透明度。</w:t>
      </w:r>
    </w:p>
    <w:p>
      <w:pPr>
        <w:pStyle w:val="10"/>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项目实施进度与产出：评估项目是否按照既定计划顺利推进，各项任务是否按时完成，以及项目产出的数量、质量和时效性是否符合预期。</w:t>
      </w:r>
    </w:p>
    <w:p>
      <w:pPr>
        <w:pStyle w:val="10"/>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社会</w:t>
      </w:r>
      <w:r>
        <w:rPr>
          <w:rFonts w:hint="default" w:ascii="Times New Roman" w:hAnsi="Times New Roman" w:eastAsia="仿宋_GB2312" w:cs="Times New Roman"/>
          <w:b w:val="0"/>
          <w:bCs w:val="0"/>
          <w:highlight w:val="none"/>
          <w:lang w:eastAsia="zh-CN"/>
        </w:rPr>
        <w:t>、</w:t>
      </w:r>
      <w:r>
        <w:rPr>
          <w:rFonts w:hint="eastAsia" w:ascii="Times New Roman" w:hAnsi="Times New Roman" w:eastAsia="仿宋_GB2312" w:cs="Times New Roman"/>
          <w:b w:val="0"/>
          <w:bCs w:val="0"/>
          <w:highlight w:val="none"/>
          <w:lang w:val="en-US" w:eastAsia="zh-CN"/>
        </w:rPr>
        <w:t>生态</w:t>
      </w:r>
      <w:r>
        <w:rPr>
          <w:rFonts w:hint="default" w:ascii="Times New Roman" w:hAnsi="Times New Roman" w:eastAsia="仿宋_GB2312" w:cs="Times New Roman"/>
          <w:b w:val="0"/>
          <w:bCs w:val="0"/>
          <w:highlight w:val="none"/>
          <w:lang w:val="en-US" w:eastAsia="zh-CN"/>
        </w:rPr>
        <w:t>等</w:t>
      </w:r>
      <w:r>
        <w:rPr>
          <w:rFonts w:hint="default" w:ascii="Times New Roman" w:hAnsi="Times New Roman" w:eastAsia="仿宋_GB2312" w:cs="Times New Roman"/>
          <w:b w:val="0"/>
          <w:bCs w:val="0"/>
          <w:highlight w:val="none"/>
        </w:rPr>
        <w:t>影响：考察项目对社会、</w:t>
      </w:r>
      <w:r>
        <w:rPr>
          <w:rFonts w:hint="eastAsia" w:ascii="Times New Roman" w:hAnsi="Times New Roman" w:eastAsia="仿宋_GB2312" w:cs="Times New Roman"/>
          <w:b w:val="0"/>
          <w:bCs w:val="0"/>
          <w:highlight w:val="none"/>
          <w:lang w:val="en-US" w:eastAsia="zh-CN"/>
        </w:rPr>
        <w:t>生态</w:t>
      </w:r>
      <w:r>
        <w:rPr>
          <w:rFonts w:hint="default" w:ascii="Times New Roman" w:hAnsi="Times New Roman" w:eastAsia="仿宋_GB2312" w:cs="Times New Roman"/>
          <w:b w:val="0"/>
          <w:bCs w:val="0"/>
          <w:highlight w:val="none"/>
        </w:rPr>
        <w:t>、经济等方面的综合影响。</w:t>
      </w:r>
    </w:p>
    <w:p>
      <w:pPr>
        <w:spacing w:line="560" w:lineRule="exact"/>
        <w:ind w:firstLine="643" w:firstLineChars="200"/>
        <w:rPr>
          <w:rFonts w:hint="default" w:ascii="Times New Roman" w:hAnsi="Times New Roman" w:cs="Times New Roman"/>
          <w:highlight w:val="none"/>
        </w:rPr>
      </w:pPr>
      <w:r>
        <w:rPr>
          <w:rFonts w:hint="default" w:ascii="Times New Roman" w:hAnsi="Times New Roman" w:eastAsia="楷体_GB2312" w:cs="Times New Roman"/>
          <w:b/>
          <w:bCs/>
          <w:sz w:val="32"/>
          <w:szCs w:val="32"/>
          <w:highlight w:val="none"/>
        </w:rPr>
        <w:t>（二）绩效评价原则、评价指标体系（详情见表1）、评价方法、评价标准。</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1</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val="0"/>
          <w:bCs w:val="0"/>
          <w:highlight w:val="none"/>
        </w:rPr>
        <w:t>绩效评价原则</w:t>
      </w:r>
    </w:p>
    <w:p>
      <w:pPr>
        <w:spacing w:line="560" w:lineRule="exact"/>
        <w:ind w:firstLine="640" w:firstLineChars="200"/>
        <w:rPr>
          <w:rFonts w:hint="default" w:ascii="Times New Roman" w:hAnsi="Times New Roman" w:eastAsia="仿宋_GB2312" w:cs="Times New Roman"/>
          <w:color w:val="000000"/>
          <w:sz w:val="32"/>
          <w:szCs w:val="32"/>
          <w:highlight w:val="none"/>
        </w:rPr>
      </w:pPr>
      <w:r>
        <w:rPr>
          <w:rFonts w:hint="default" w:ascii="Times New Roman" w:hAnsi="Times New Roman" w:eastAsia="仿宋_GB2312" w:cs="Times New Roman"/>
          <w:color w:val="000000"/>
          <w:sz w:val="32"/>
          <w:szCs w:val="32"/>
          <w:highlight w:val="none"/>
        </w:rPr>
        <w:t>本次项目绩效评价遵循以下基本原则：</w:t>
      </w:r>
    </w:p>
    <w:p>
      <w:pPr>
        <w:pStyle w:val="1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（1）科学公正。绩效评价应当运用科学合理的方法，按照规范的程序，对项目绩效进行客观、公正的反映。</w:t>
      </w:r>
    </w:p>
    <w:p>
      <w:pPr>
        <w:pStyle w:val="1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（2）统筹兼顾。单位自评、部门评价和财政评价应职责明确，各有侧重，相互衔接。单位自评应由项目单位自主实施，即“谁支出、谁自评”。部门评价和财政评价应在单位自评的基础上开展。</w:t>
      </w:r>
    </w:p>
    <w:p>
      <w:pPr>
        <w:pStyle w:val="1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（3）激励约束。绩效评价结果应与预算安排、政策调整、改进管理实质性挂钩，体现奖优罚劣和激励相容导向，有效要安排、低效要压减、无效要问责。</w:t>
      </w:r>
    </w:p>
    <w:p>
      <w:pPr>
        <w:pStyle w:val="1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（4）公开透明。绩效评价结果应依法依规公开，并自觉接受社会监督。</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2</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val="0"/>
          <w:bCs w:val="0"/>
          <w:highlight w:val="none"/>
        </w:rPr>
        <w:t>评价指标体系</w:t>
      </w:r>
    </w:p>
    <w:p>
      <w:pPr>
        <w:spacing w:line="560" w:lineRule="exact"/>
        <w:ind w:firstLine="708" w:firstLineChars="200"/>
        <w:rPr>
          <w:rFonts w:hint="default" w:ascii="Times New Roman" w:hAnsi="Times New Roman"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绩效评价框架是开展绩效评价的核心。绩效评价框架包括评价准则、关键评价问题、评价指标、数据来源、数据收集方法等。指标体系建立过程如下：</w:t>
      </w:r>
    </w:p>
    <w:p>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（1）确定评价指标</w:t>
      </w:r>
    </w:p>
    <w:p>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采用层次分析法，建立评价指标体系。绩效评价将指标分为项目决策指标、项目过程指标、项目产出指标、项目效益指标四个维度，最终形成一个由多个相互联系的指标组成的多层次指标体系。</w:t>
      </w:r>
    </w:p>
    <w:p>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（2）确定权重</w:t>
      </w:r>
    </w:p>
    <w:p>
      <w:pPr>
        <w:spacing w:line="560" w:lineRule="exact"/>
        <w:ind w:firstLine="708" w:firstLineChars="200"/>
        <w:rPr>
          <w:rFonts w:hint="default" w:ascii="Times New Roman" w:hAnsi="Times New Roman" w:eastAsia="仿宋_GB2312" w:cs="Times New Roman"/>
          <w:color w:val="FF0000"/>
          <w:spacing w:val="17"/>
          <w:sz w:val="32"/>
          <w:szCs w:val="32"/>
          <w:highlight w:val="none"/>
          <w:lang w:eastAsia="zh-CN"/>
        </w:rPr>
      </w:pPr>
      <w:r>
        <w:rPr>
          <w:rFonts w:hint="default" w:ascii="Times New Roman" w:hAnsi="Times New Roman" w:eastAsia="仿宋_GB2312" w:cs="Times New Roman"/>
          <w:color w:val="000000"/>
          <w:spacing w:val="17"/>
          <w:sz w:val="32"/>
          <w:szCs w:val="32"/>
          <w:highlight w:val="none"/>
        </w:rPr>
        <w:t>确定各个指标相对于项目总体绩效的权重分值。在绩效评价指标体系中，项目决策权重为20分，项目过程权重为20分，项目产出权重为40分，项目效益权重为20分。</w:t>
      </w:r>
    </w:p>
    <w:p>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（3）确定指标标准值</w:t>
      </w:r>
    </w:p>
    <w:p>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指标标准值是绩效评价指标的尺度，既要反映同类项目的先进水平，又要符合项目的实际绩效水平。具体采用计划标准等确定此次绩效评价指标标准值。</w:t>
      </w:r>
    </w:p>
    <w:p>
      <w:pPr>
        <w:pStyle w:val="10"/>
        <w:spacing w:before="0" w:after="0" w:line="560" w:lineRule="exact"/>
        <w:ind w:firstLine="708" w:firstLineChars="200"/>
        <w:jc w:val="both"/>
        <w:rPr>
          <w:rFonts w:hint="default" w:ascii="Times New Roman" w:hAnsi="Times New Roman" w:eastAsia="仿宋_GB2312" w:cs="Times New Roman"/>
          <w:b w:val="0"/>
          <w:bCs w:val="0"/>
          <w:color w:val="000000"/>
          <w:spacing w:val="17"/>
          <w:kern w:val="2"/>
          <w:highlight w:val="none"/>
        </w:rPr>
      </w:pPr>
      <w:r>
        <w:rPr>
          <w:rFonts w:hint="default" w:ascii="Times New Roman" w:hAnsi="Times New Roman" w:eastAsia="仿宋_GB2312" w:cs="Times New Roman"/>
          <w:b w:val="0"/>
          <w:bCs w:val="0"/>
          <w:color w:val="000000"/>
          <w:spacing w:val="17"/>
          <w:kern w:val="2"/>
          <w:highlight w:val="none"/>
        </w:rPr>
        <w:t>绩效评价总分值100分，根据综合评分结果，90（含）-100分为优、80（含）-90分为良、60（含）-80分为中、60分以下为差。</w:t>
      </w:r>
    </w:p>
    <w:p>
      <w:pPr>
        <w:pStyle w:val="10"/>
        <w:widowControl w:val="0"/>
        <w:spacing w:before="0" w:after="0" w:line="560" w:lineRule="exact"/>
        <w:ind w:firstLine="708" w:firstLineChars="200"/>
        <w:jc w:val="both"/>
        <w:outlineLvl w:val="9"/>
        <w:rPr>
          <w:rFonts w:hint="default" w:ascii="Times New Roman" w:hAnsi="Times New Roman" w:eastAsia="仿宋_GB2312" w:cs="Times New Roman"/>
          <w:b w:val="0"/>
          <w:bCs w:val="0"/>
          <w:color w:val="000000"/>
          <w:spacing w:val="17"/>
          <w:highlight w:val="none"/>
        </w:rPr>
      </w:pPr>
      <w:r>
        <w:rPr>
          <w:rFonts w:hint="default" w:ascii="Times New Roman" w:hAnsi="Times New Roman" w:eastAsia="仿宋_GB2312" w:cs="Times New Roman"/>
          <w:b w:val="0"/>
          <w:bCs w:val="0"/>
          <w:color w:val="000000"/>
          <w:spacing w:val="17"/>
          <w:highlight w:val="none"/>
        </w:rPr>
        <w:t>具体评价指标体系详情见附件1</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3</w:t>
      </w:r>
      <w:r>
        <w:rPr>
          <w:rFonts w:hint="default" w:ascii="Times New Roman" w:hAnsi="Times New Roman" w:eastAsia="仿宋_GB2312" w:cs="Times New Roman"/>
          <w:b w:val="0"/>
          <w:bCs w:val="0"/>
          <w:highlight w:val="none"/>
          <w:lang w:val="en-US" w:eastAsia="zh-CN"/>
        </w:rPr>
        <w:t>.</w:t>
      </w:r>
      <w:r>
        <w:rPr>
          <w:rFonts w:hint="default" w:ascii="Times New Roman" w:hAnsi="Times New Roman" w:eastAsia="仿宋_GB2312" w:cs="Times New Roman"/>
          <w:b w:val="0"/>
          <w:bCs w:val="0"/>
          <w:highlight w:val="none"/>
        </w:rPr>
        <w:t>绩效评价方法</w:t>
      </w:r>
    </w:p>
    <w:p>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绩效评价从项目决策、项目过程、项目产出、项目效益四个维度进行评价。评价对象为项目目标实施情况，  评价核心为资金的支出完成情况和项目的产出效益。</w:t>
      </w:r>
    </w:p>
    <w:p>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r>
        <w:rPr>
          <w:rFonts w:hint="default" w:ascii="Times New Roman" w:hAnsi="Times New Roman" w:eastAsia="仿宋_GB2312" w:cs="Times New Roman"/>
          <w:color w:val="000000"/>
          <w:spacing w:val="17"/>
          <w:sz w:val="32"/>
          <w:szCs w:val="32"/>
          <w:highlight w:val="none"/>
        </w:rPr>
        <w:t>本次评价指标</w:t>
      </w:r>
      <w:r>
        <w:rPr>
          <w:rFonts w:hint="eastAsia" w:eastAsia="仿宋_GB2312" w:cs="Times New Roman"/>
          <w:color w:val="000000"/>
          <w:spacing w:val="17"/>
          <w:sz w:val="32"/>
          <w:szCs w:val="32"/>
          <w:highlight w:val="none"/>
          <w:lang w:val="en-US" w:eastAsia="zh-CN"/>
        </w:rPr>
        <w:t>用</w:t>
      </w:r>
      <w:r>
        <w:rPr>
          <w:rFonts w:hint="default" w:ascii="Times New Roman" w:hAnsi="Times New Roman" w:eastAsia="仿宋_GB2312" w:cs="Times New Roman"/>
          <w:color w:val="000000"/>
          <w:spacing w:val="17"/>
          <w:sz w:val="32"/>
          <w:szCs w:val="32"/>
          <w:highlight w:val="none"/>
        </w:rPr>
        <w:t>因素分析法</w:t>
      </w:r>
      <w:r>
        <w:rPr>
          <w:rFonts w:hint="eastAsia" w:eastAsia="仿宋_GB2312" w:cs="Times New Roman"/>
          <w:color w:val="000000"/>
          <w:spacing w:val="17"/>
          <w:sz w:val="32"/>
          <w:szCs w:val="32"/>
          <w:highlight w:val="none"/>
          <w:lang w:eastAsia="zh-CN"/>
        </w:rPr>
        <w:t>，</w:t>
      </w:r>
      <w:r>
        <w:rPr>
          <w:rFonts w:hint="default" w:ascii="Times New Roman" w:hAnsi="Times New Roman" w:eastAsia="仿宋_GB2312" w:cs="Times New Roman"/>
          <w:color w:val="000000"/>
          <w:spacing w:val="17"/>
          <w:sz w:val="32"/>
          <w:szCs w:val="32"/>
          <w:highlight w:val="none"/>
        </w:rPr>
        <w:t>原因：因素分析法能够综合考虑影响项目绩效的各种因素，通过对不同因素的分析和比较，准确判断各因素对项目绩效的影响程度，从而全面、深入地评价项目绩效。在本项目中，涉及</w:t>
      </w:r>
      <w:bookmarkStart w:id="1" w:name="_GoBack"/>
      <w:bookmarkEnd w:id="1"/>
      <w:r>
        <w:rPr>
          <w:rFonts w:hint="default" w:ascii="Times New Roman" w:hAnsi="Times New Roman" w:eastAsia="仿宋_GB2312" w:cs="Times New Roman"/>
          <w:color w:val="000000"/>
          <w:spacing w:val="17"/>
          <w:sz w:val="32"/>
          <w:szCs w:val="32"/>
          <w:highlight w:val="none"/>
        </w:rPr>
        <w:t>项目决策、资金使用、实施过程、产出成果以及效益影响等多个复杂因素，因素分析法可以有效地将这些因素进行分解和分析，为准确评价项目绩效提供有力支持 。</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4</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val="0"/>
          <w:bCs w:val="0"/>
          <w:highlight w:val="none"/>
        </w:rPr>
        <w:t>评价标准</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绩效评价标准通常包括计划标准、行业标准、历史标准等，用于对绩效指标完成情况进行比较、分析、评价。本次评价主要采用了</w:t>
      </w:r>
      <w:r>
        <w:rPr>
          <w:rFonts w:hint="default" w:ascii="Times New Roman" w:hAnsi="Times New Roman" w:eastAsia="仿宋_GB2312" w:cs="Times New Roman"/>
          <w:b w:val="0"/>
          <w:bCs w:val="0"/>
          <w:color w:val="000000"/>
          <w:spacing w:val="17"/>
          <w:kern w:val="2"/>
          <w:sz w:val="32"/>
          <w:szCs w:val="32"/>
          <w:highlight w:val="none"/>
          <w:lang w:val="en-US" w:eastAsia="zh-CN" w:bidi="ar-SA"/>
        </w:rPr>
        <w:t>历史标准标准</w:t>
      </w:r>
      <w:r>
        <w:rPr>
          <w:rFonts w:hint="eastAsia" w:ascii="Times New Roman" w:hAnsi="Times New Roman" w:eastAsia="仿宋_GB2312" w:cs="Times New Roman"/>
          <w:b w:val="0"/>
          <w:bCs w:val="0"/>
          <w:color w:val="000000"/>
          <w:spacing w:val="17"/>
          <w:kern w:val="2"/>
          <w:sz w:val="32"/>
          <w:szCs w:val="32"/>
          <w:highlight w:val="none"/>
          <w:lang w:val="en-US" w:eastAsia="zh-CN" w:bidi="ar-SA"/>
        </w:rPr>
        <w:t>，原因：</w:t>
      </w:r>
      <w:r>
        <w:rPr>
          <w:rFonts w:hint="default" w:ascii="Times New Roman" w:hAnsi="Times New Roman" w:eastAsia="仿宋_GB2312" w:cs="Times New Roman"/>
          <w:b w:val="0"/>
          <w:bCs w:val="0"/>
          <w:highlight w:val="none"/>
        </w:rPr>
        <w:t>历史标准能够反映项目在过去类似情况下的绩效表现，对于评估当前项目的绩效具有一定的参考价值。通过与历史数据对比，可以了解项目在不同时期的发展变化情况，判断项目绩效是否有所提升或下降，从而为项目的持续改进提供依据。同时，考虑到本项目的特点和实际情况，历史标准相对容易获取和理解，能够较为直观地对项目绩效进行评价 。</w:t>
      </w:r>
    </w:p>
    <w:p>
      <w:pPr>
        <w:pStyle w:val="10"/>
        <w:numPr>
          <w:ilvl w:val="0"/>
          <w:numId w:val="2"/>
        </w:numPr>
        <w:spacing w:before="0" w:after="0" w:line="560" w:lineRule="exact"/>
        <w:ind w:firstLine="711" w:firstLineChars="200"/>
        <w:jc w:val="both"/>
        <w:rPr>
          <w:rFonts w:hint="default" w:ascii="Times New Roman" w:hAnsi="Times New Roman" w:eastAsia="楷体" w:cs="Times New Roman"/>
          <w:color w:val="000000"/>
          <w:spacing w:val="17"/>
          <w:highlight w:val="none"/>
        </w:rPr>
      </w:pPr>
      <w:r>
        <w:rPr>
          <w:rFonts w:hint="default" w:ascii="Times New Roman" w:hAnsi="Times New Roman" w:eastAsia="楷体" w:cs="Times New Roman"/>
          <w:color w:val="000000"/>
          <w:spacing w:val="17"/>
          <w:highlight w:val="none"/>
        </w:rPr>
        <w:t>绩效评价工作过程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前期准备与规划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项目绩效评价工作启动之初，我们组建了</w:t>
      </w:r>
      <w:r>
        <w:rPr>
          <w:rFonts w:hint="eastAsia" w:eastAsia="仿宋_GB2312" w:cs="Times New Roman"/>
          <w:sz w:val="32"/>
          <w:szCs w:val="32"/>
          <w:highlight w:val="none"/>
          <w:lang w:val="en-US" w:eastAsia="zh-CN"/>
        </w:rPr>
        <w:t>项目</w:t>
      </w:r>
      <w:r>
        <w:rPr>
          <w:rFonts w:hint="default" w:ascii="Times New Roman" w:hAnsi="Times New Roman" w:eastAsia="仿宋_GB2312" w:cs="Times New Roman"/>
          <w:sz w:val="32"/>
          <w:szCs w:val="32"/>
          <w:highlight w:val="none"/>
          <w:lang w:eastAsia="zh-CN"/>
        </w:rPr>
        <w:t>评价小组。</w:t>
      </w:r>
      <w:r>
        <w:rPr>
          <w:rFonts w:hint="eastAsia" w:eastAsia="仿宋_GB2312" w:cs="Times New Roman"/>
          <w:sz w:val="32"/>
          <w:szCs w:val="32"/>
          <w:highlight w:val="none"/>
          <w:lang w:val="en-US" w:eastAsia="zh-CN"/>
        </w:rPr>
        <w:t>组长冯芸，</w:t>
      </w:r>
      <w:r>
        <w:rPr>
          <w:rFonts w:hint="default" w:ascii="Times New Roman" w:hAnsi="Times New Roman" w:eastAsia="仿宋_GB2312" w:cs="Times New Roman"/>
          <w:sz w:val="32"/>
          <w:szCs w:val="32"/>
          <w:highlight w:val="none"/>
          <w:lang w:eastAsia="zh-CN"/>
        </w:rPr>
        <w:t>小组成员</w:t>
      </w:r>
      <w:r>
        <w:rPr>
          <w:rFonts w:hint="eastAsia" w:eastAsia="仿宋_GB2312" w:cs="Times New Roman"/>
          <w:sz w:val="32"/>
          <w:szCs w:val="32"/>
          <w:highlight w:val="none"/>
          <w:lang w:val="en-US" w:eastAsia="zh-CN"/>
        </w:rPr>
        <w:t>桂玲、赵婷、王骥远、李姝燕、王雪</w:t>
      </w:r>
      <w:r>
        <w:rPr>
          <w:rFonts w:hint="default" w:ascii="Times New Roman" w:hAnsi="Times New Roman" w:eastAsia="仿宋_GB2312" w:cs="Times New Roman"/>
          <w:sz w:val="32"/>
          <w:szCs w:val="32"/>
          <w:highlight w:val="none"/>
          <w:lang w:eastAsia="zh-CN"/>
        </w:rPr>
        <w:t>，确保从多维度、全方位对项目绩效开展评估，为后续评价工作提供专业保障。同时，明确评价目标、范围、重点及时间安排，制定详尽工作计划，为评价工作顺利推进奠定基础。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eastAsia="zh-CN"/>
        </w:rPr>
        <w:t>）指标体系构建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结合项目性质、目标及预期成果，构建科学合理的绩效评价指标体系。该体系覆盖项目决策、项目过程、项目产出、项目效益四个维度，选取具有代表性与可衡量性的关键指标，并为各指标设定明确评价标准与权重，确保评价结果能全面、精准反映项目绩效状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highlight w:val="none"/>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lang w:eastAsia="zh-CN"/>
        </w:rPr>
        <w:t>）数据收集与整理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广泛收集项目相关数据，包括财务报表、项目文档、业务数据、</w:t>
      </w:r>
      <w:r>
        <w:rPr>
          <w:rFonts w:hint="eastAsia" w:eastAsia="仿宋_GB2312" w:cs="Times New Roman"/>
          <w:sz w:val="32"/>
          <w:szCs w:val="32"/>
          <w:highlight w:val="none"/>
          <w:lang w:val="en-US" w:eastAsia="zh-CN"/>
        </w:rPr>
        <w:t>群众</w:t>
      </w:r>
      <w:r>
        <w:rPr>
          <w:rFonts w:hint="default" w:ascii="Times New Roman" w:hAnsi="Times New Roman" w:eastAsia="仿宋_GB2312" w:cs="Times New Roman"/>
          <w:sz w:val="32"/>
          <w:szCs w:val="32"/>
          <w:highlight w:val="none"/>
          <w:lang w:eastAsia="zh-CN"/>
        </w:rPr>
        <w:t>反馈等。在收集过程中，严格把控数据质量与完整性，对缺失或异常数据进行妥善处理与补充。完成收集后，对数据进行系统整理与分类，为后续数据分析提供有力支撑</w:t>
      </w:r>
      <w:r>
        <w:rPr>
          <w:rFonts w:hint="eastAsia" w:eastAsia="仿宋_GB2312" w:cs="Times New Roman"/>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lang w:eastAsia="zh-CN"/>
        </w:rPr>
        <w:t>）数据分析与评估</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对收集的数据进行深度挖掘与分析。通过对比各项绩效指标实际完成情况与预期目标，计算指标达成率，并结合指标权重进行综合评分，得出项目整体绩效评价结果。分析过程中，注重数据关联性与逻辑性，深入剖析项目绩效背后原因，识别项目实施过程中的优势与不足，为提出针对性改进建议提供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lang w:eastAsia="zh-CN"/>
        </w:rPr>
        <w:t>）报告撰写与反馈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依据数据分析与评估结果，按照统一格式和规范撰写项目预算绩效评价报告。报告内容包含项目背景、评价目的、评价指标体系、数据收集与分析方法、绩效评价结果、存在问题与改进建议等，力求条理清晰、重点突出、语言简洁。报告完成后，及时向项目实施主体及相关利益方反馈，充分听取各方意见，对报告内容进一步完善优化，确保报告质量与实用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6</w:t>
      </w:r>
      <w:r>
        <w:rPr>
          <w:rFonts w:hint="default" w:ascii="Times New Roman" w:hAnsi="Times New Roman" w:eastAsia="仿宋_GB2312" w:cs="Times New Roman"/>
          <w:sz w:val="32"/>
          <w:szCs w:val="32"/>
          <w:highlight w:val="none"/>
          <w:lang w:eastAsia="zh-CN"/>
        </w:rPr>
        <w:t>）后续跟踪与改进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green"/>
          <w:lang w:eastAsia="zh-CN"/>
        </w:rPr>
      </w:pPr>
      <w:r>
        <w:rPr>
          <w:rFonts w:hint="default" w:ascii="Times New Roman" w:hAnsi="Times New Roman" w:eastAsia="仿宋_GB2312" w:cs="Times New Roman"/>
          <w:sz w:val="32"/>
          <w:szCs w:val="32"/>
          <w:highlight w:val="none"/>
          <w:lang w:eastAsia="zh-CN"/>
        </w:rPr>
        <w:t>评价报告提交后，持续跟踪项目改进措施落实情况，定期复查评估项目绩效，确保项目依据评价结果及时调整优化，实现绩效持续提升。同时，根据项目实施过程中出现的新情况、新问题，适时调整绩效评价指标体系与方法，保持评价工作的适应性与前瞻性，为项目长期稳定发展提供保障。</w:t>
      </w:r>
    </w:p>
    <w:p>
      <w:pPr>
        <w:numPr>
          <w:ilvl w:val="0"/>
          <w:numId w:val="3"/>
        </w:numPr>
        <w:spacing w:line="560" w:lineRule="exact"/>
        <w:ind w:firstLine="640" w:firstLineChars="200"/>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综合评价情况及评价结论（附相关评分表）</w:t>
      </w:r>
    </w:p>
    <w:p>
      <w:pPr>
        <w:pStyle w:val="10"/>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highlight w:val="none"/>
          <w:lang w:val="en-US" w:eastAsia="zh-CN"/>
        </w:rPr>
      </w:pPr>
      <w:r>
        <w:rPr>
          <w:rFonts w:hint="default" w:ascii="Times New Roman" w:hAnsi="Times New Roman" w:eastAsia="楷体_GB2312" w:cs="Times New Roman"/>
          <w:highlight w:val="none"/>
          <w:lang w:eastAsia="zh-CN"/>
        </w:rPr>
        <w:t>（</w:t>
      </w:r>
      <w:r>
        <w:rPr>
          <w:rFonts w:hint="default" w:ascii="Times New Roman" w:hAnsi="Times New Roman" w:eastAsia="楷体_GB2312" w:cs="Times New Roman"/>
          <w:highlight w:val="none"/>
          <w:lang w:val="en-US" w:eastAsia="zh-CN"/>
        </w:rPr>
        <w:t>一</w:t>
      </w:r>
      <w:r>
        <w:rPr>
          <w:rFonts w:hint="default" w:ascii="Times New Roman" w:hAnsi="Times New Roman" w:eastAsia="楷体_GB2312" w:cs="Times New Roman"/>
          <w:highlight w:val="none"/>
          <w:lang w:eastAsia="zh-CN"/>
        </w:rPr>
        <w:t>）</w:t>
      </w:r>
      <w:r>
        <w:rPr>
          <w:rFonts w:hint="default" w:ascii="Times New Roman" w:hAnsi="Times New Roman" w:eastAsia="楷体_GB2312" w:cs="Times New Roman"/>
          <w:highlight w:val="none"/>
          <w:lang w:val="en-US" w:eastAsia="zh-CN"/>
        </w:rPr>
        <w:t>评价情况</w:t>
      </w:r>
    </w:p>
    <w:p>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本项目的综合评价基于对项目各方面绩效的深入分析与评估。从项目目标的达成情况来看，巴财教[2023]46号关于提前下达2024年中央科技馆免费开放补助资金在年度正常开馆天数170天，开展各类科普活动次数70场次，年度展品展项维修数量110个、通过项目实施，全面提升科普宣传影响力，努力开创库尔勒科普事业新局面，坚定不移把科技馆的免费开放做实做细，不断增强来馆参观群众的获得感、幸福感、安全感。等方面表现出色，达到了预期的标准与要求。同时，项目也在</w:t>
      </w:r>
      <w:r>
        <w:rPr>
          <w:rFonts w:hint="eastAsia" w:eastAsia="仿宋_GB2312" w:cs="Times New Roman"/>
          <w:color w:val="auto"/>
          <w:sz w:val="32"/>
          <w:szCs w:val="32"/>
          <w:highlight w:val="none"/>
          <w:lang w:val="en-US" w:eastAsia="zh-CN"/>
        </w:rPr>
        <w:t>年群众服务观众人次、网络科普资源年浏览量</w:t>
      </w:r>
      <w:r>
        <w:rPr>
          <w:rFonts w:hint="default" w:ascii="Times New Roman" w:hAnsi="Times New Roman" w:eastAsia="仿宋_GB2312" w:cs="Times New Roman"/>
          <w:sz w:val="32"/>
          <w:szCs w:val="32"/>
          <w:highlight w:val="none"/>
        </w:rPr>
        <w:t>取得了显著的成效，如正常开馆175天、开展各类科普活动70场次、年度展品展项维修110个、项目发挥了科普教育核心阵地的作用，为公众提供高质量的科学普及及体验等。</w:t>
      </w:r>
    </w:p>
    <w:p>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在项目管理方面，</w:t>
      </w:r>
      <w:r>
        <w:rPr>
          <w:rFonts w:hint="eastAsia" w:eastAsia="仿宋_GB2312" w:cs="Times New Roman"/>
          <w:sz w:val="32"/>
          <w:szCs w:val="32"/>
          <w:highlight w:val="none"/>
          <w:lang w:val="en-US" w:eastAsia="zh-CN"/>
        </w:rPr>
        <w:t>库尔勒市科学技术馆</w:t>
      </w:r>
      <w:r>
        <w:rPr>
          <w:rFonts w:hint="default" w:ascii="Times New Roman" w:hAnsi="Times New Roman" w:eastAsia="仿宋_GB2312" w:cs="Times New Roman"/>
          <w:sz w:val="32"/>
          <w:szCs w:val="32"/>
          <w:highlight w:val="none"/>
        </w:rPr>
        <w:t>通过有效的规划、组织与协调，项目得以顺利实施，并在预算与时间上保持了良好的控制。</w:t>
      </w:r>
    </w:p>
    <w:p>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从项目效益的角度来看，本项目不仅实现了预期的社会效益、</w:t>
      </w:r>
      <w:r>
        <w:rPr>
          <w:rFonts w:hint="eastAsia" w:eastAsia="仿宋_GB2312" w:cs="Times New Roman"/>
          <w:sz w:val="32"/>
          <w:szCs w:val="32"/>
          <w:highlight w:val="none"/>
          <w:lang w:val="en-US" w:eastAsia="zh-CN"/>
        </w:rPr>
        <w:t>满意度</w:t>
      </w:r>
      <w:r>
        <w:rPr>
          <w:rFonts w:hint="default" w:ascii="Times New Roman" w:hAnsi="Times New Roman" w:eastAsia="仿宋_GB2312" w:cs="Times New Roman"/>
          <w:sz w:val="32"/>
          <w:szCs w:val="32"/>
          <w:highlight w:val="none"/>
        </w:rPr>
        <w:t>等方面产生了积极的影响。具体而言，</w:t>
      </w:r>
      <w:r>
        <w:rPr>
          <w:rFonts w:hint="eastAsia" w:eastAsia="仿宋_GB2312" w:cs="Times New Roman"/>
          <w:color w:val="auto"/>
          <w:sz w:val="32"/>
          <w:szCs w:val="32"/>
          <w:highlight w:val="none"/>
          <w:lang w:val="en-US" w:eastAsia="zh-CN"/>
        </w:rPr>
        <w:t>年群众服务观众人次</w:t>
      </w:r>
      <w:r>
        <w:rPr>
          <w:rFonts w:hint="default" w:ascii="Times New Roman" w:hAnsi="Times New Roman" w:eastAsia="仿宋_GB2312" w:cs="Times New Roman"/>
          <w:sz w:val="32"/>
          <w:szCs w:val="32"/>
          <w:highlight w:val="none"/>
        </w:rPr>
        <w:t>、</w:t>
      </w:r>
      <w:r>
        <w:rPr>
          <w:rFonts w:hint="eastAsia" w:eastAsia="仿宋_GB2312" w:cs="Times New Roman"/>
          <w:color w:val="auto"/>
          <w:sz w:val="32"/>
          <w:szCs w:val="32"/>
          <w:highlight w:val="none"/>
          <w:lang w:val="en-US" w:eastAsia="zh-CN"/>
        </w:rPr>
        <w:t>网络科普资源年浏览量</w:t>
      </w:r>
      <w:r>
        <w:rPr>
          <w:rFonts w:hint="default" w:ascii="Times New Roman" w:hAnsi="Times New Roman" w:eastAsia="仿宋_GB2312" w:cs="Times New Roman"/>
          <w:sz w:val="32"/>
          <w:szCs w:val="32"/>
          <w:highlight w:val="none"/>
        </w:rPr>
        <w:t>等方面的提升，为项目的利益相关者带来了实实在在的利益。</w:t>
      </w:r>
    </w:p>
    <w:p>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cs="Times New Roman"/>
          <w:highlight w:val="none"/>
        </w:rPr>
      </w:pPr>
      <w:r>
        <w:rPr>
          <w:rFonts w:hint="default" w:ascii="Times New Roman" w:hAnsi="Times New Roman" w:eastAsia="仿宋_GB2312" w:cs="Times New Roman"/>
          <w:sz w:val="32"/>
          <w:szCs w:val="32"/>
          <w:highlight w:val="none"/>
        </w:rPr>
        <w:t>综上所述，巴财教[2023]46号关于提前下达2024年中央科技馆免费开放补助资金在绩效评价中表现出色，达到了项目的预期目标，并在多个方面取得了显著的成效。</w:t>
      </w:r>
    </w:p>
    <w:p>
      <w:pPr>
        <w:pStyle w:val="10"/>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highlight w:val="none"/>
          <w:lang w:val="en-US" w:eastAsia="zh-CN"/>
        </w:rPr>
      </w:pPr>
      <w:r>
        <w:rPr>
          <w:rFonts w:hint="default" w:ascii="Times New Roman" w:hAnsi="Times New Roman" w:eastAsia="楷体_GB2312" w:cs="Times New Roman"/>
          <w:highlight w:val="none"/>
          <w:lang w:eastAsia="zh-CN"/>
        </w:rPr>
        <w:t>（</w:t>
      </w:r>
      <w:r>
        <w:rPr>
          <w:rFonts w:hint="default" w:ascii="Times New Roman" w:hAnsi="Times New Roman" w:eastAsia="楷体_GB2312" w:cs="Times New Roman"/>
          <w:highlight w:val="none"/>
          <w:lang w:val="en-US" w:eastAsia="zh-CN"/>
        </w:rPr>
        <w:t>二</w:t>
      </w:r>
      <w:r>
        <w:rPr>
          <w:rFonts w:hint="default" w:ascii="Times New Roman" w:hAnsi="Times New Roman" w:eastAsia="楷体_GB2312" w:cs="Times New Roman"/>
          <w:highlight w:val="none"/>
          <w:lang w:eastAsia="zh-CN"/>
        </w:rPr>
        <w:t>）</w:t>
      </w:r>
      <w:r>
        <w:rPr>
          <w:rFonts w:hint="default" w:ascii="Times New Roman" w:hAnsi="Times New Roman" w:eastAsia="楷体_GB2312" w:cs="Times New Roman"/>
          <w:highlight w:val="none"/>
          <w:lang w:val="en-US" w:eastAsia="zh-CN"/>
        </w:rPr>
        <w:t>评价结论</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 xml:space="preserve">运用绩效评价组制定的评价指标体系以及财政部《项目支出绩效评价管理办法》（财预〔2020〕10号）文件的评分标准，通过数据采集、问卷调查及访谈等方式，对本项目进行客观评价，最终评分结果：总得分为 </w:t>
      </w:r>
      <w:r>
        <w:rPr>
          <w:rFonts w:hint="eastAsia" w:ascii="Times New Roman" w:hAnsi="Times New Roman" w:eastAsia="仿宋_GB2312" w:cs="Times New Roman"/>
          <w:b w:val="0"/>
          <w:bCs w:val="0"/>
          <w:highlight w:val="none"/>
          <w:lang w:val="en-US" w:eastAsia="zh-CN"/>
        </w:rPr>
        <w:t>94</w:t>
      </w:r>
      <w:r>
        <w:rPr>
          <w:rFonts w:hint="default" w:ascii="Times New Roman" w:hAnsi="Times New Roman" w:eastAsia="仿宋_GB2312" w:cs="Times New Roman"/>
          <w:b w:val="0"/>
          <w:bCs w:val="0"/>
          <w:highlight w:val="none"/>
        </w:rPr>
        <w:t>分，属于“</w:t>
      </w:r>
      <w:r>
        <w:rPr>
          <w:rFonts w:hint="eastAsia" w:ascii="Times New Roman" w:hAnsi="Times New Roman" w:eastAsia="仿宋_GB2312" w:cs="Times New Roman"/>
          <w:b w:val="0"/>
          <w:bCs w:val="0"/>
          <w:highlight w:val="none"/>
          <w:lang w:val="en-US" w:eastAsia="zh-CN"/>
        </w:rPr>
        <w:t>优</w:t>
      </w:r>
      <w:r>
        <w:rPr>
          <w:rFonts w:hint="default" w:ascii="Times New Roman" w:hAnsi="Times New Roman" w:eastAsia="仿宋_GB2312" w:cs="Times New Roman"/>
          <w:b w:val="0"/>
          <w:bCs w:val="0"/>
          <w:highlight w:val="none"/>
        </w:rPr>
        <w:t xml:space="preserve">”。其中，项目决策类指标权重为20分，得分为 </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 xml:space="preserve">分，得分 </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%。项目过程类指标权重为20分，得分为</w:t>
      </w:r>
      <w:r>
        <w:rPr>
          <w:rFonts w:hint="eastAsia" w:ascii="Times New Roman" w:hAnsi="Times New Roman" w:eastAsia="仿宋_GB2312" w:cs="Times New Roman"/>
          <w:b w:val="0"/>
          <w:bCs w:val="0"/>
          <w:highlight w:val="none"/>
          <w:lang w:val="en-US" w:eastAsia="zh-CN"/>
        </w:rPr>
        <w:t>19</w:t>
      </w:r>
      <w:r>
        <w:rPr>
          <w:rFonts w:hint="default" w:ascii="Times New Roman" w:hAnsi="Times New Roman" w:eastAsia="仿宋_GB2312" w:cs="Times New Roman"/>
          <w:b w:val="0"/>
          <w:bCs w:val="0"/>
          <w:highlight w:val="none"/>
        </w:rPr>
        <w:t xml:space="preserve">分，得分率为 </w:t>
      </w:r>
      <w:r>
        <w:rPr>
          <w:rFonts w:hint="eastAsia" w:ascii="Times New Roman" w:hAnsi="Times New Roman" w:eastAsia="仿宋_GB2312" w:cs="Times New Roman"/>
          <w:b w:val="0"/>
          <w:bCs w:val="0"/>
          <w:highlight w:val="none"/>
          <w:lang w:val="en-US" w:eastAsia="zh-CN"/>
        </w:rPr>
        <w:t>95</w:t>
      </w:r>
      <w:r>
        <w:rPr>
          <w:rFonts w:hint="default" w:ascii="Times New Roman" w:hAnsi="Times New Roman" w:eastAsia="仿宋_GB2312" w:cs="Times New Roman"/>
          <w:b w:val="0"/>
          <w:bCs w:val="0"/>
          <w:highlight w:val="none"/>
        </w:rPr>
        <w:t>%。项目产出类指标权重为40分，得分为</w:t>
      </w:r>
      <w:r>
        <w:rPr>
          <w:rFonts w:hint="eastAsia" w:ascii="Times New Roman" w:hAnsi="Times New Roman" w:eastAsia="仿宋_GB2312" w:cs="Times New Roman"/>
          <w:b w:val="0"/>
          <w:bCs w:val="0"/>
          <w:highlight w:val="none"/>
          <w:lang w:val="en-US" w:eastAsia="zh-CN"/>
        </w:rPr>
        <w:t>35</w:t>
      </w:r>
      <w:r>
        <w:rPr>
          <w:rFonts w:hint="default" w:ascii="Times New Roman" w:hAnsi="Times New Roman" w:eastAsia="仿宋_GB2312" w:cs="Times New Roman"/>
          <w:b w:val="0"/>
          <w:bCs w:val="0"/>
          <w:highlight w:val="none"/>
        </w:rPr>
        <w:t xml:space="preserve">分，得分率为 </w:t>
      </w:r>
      <w:r>
        <w:rPr>
          <w:rFonts w:hint="eastAsia" w:ascii="Times New Roman" w:hAnsi="Times New Roman" w:eastAsia="仿宋_GB2312" w:cs="Times New Roman"/>
          <w:b w:val="0"/>
          <w:bCs w:val="0"/>
          <w:highlight w:val="none"/>
          <w:lang w:val="en-US" w:eastAsia="zh-CN"/>
        </w:rPr>
        <w:t>87.5</w:t>
      </w:r>
      <w:r>
        <w:rPr>
          <w:rFonts w:hint="default" w:ascii="Times New Roman" w:hAnsi="Times New Roman" w:eastAsia="仿宋_GB2312" w:cs="Times New Roman"/>
          <w:b w:val="0"/>
          <w:bCs w:val="0"/>
          <w:highlight w:val="none"/>
        </w:rPr>
        <w:t>%。项目效益类指标权重为20分，得分为</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%。具体打分情况详见：附件1综合评分表</w:t>
      </w:r>
      <w:r>
        <w:rPr>
          <w:rFonts w:hint="default" w:ascii="Times New Roman" w:hAnsi="Times New Roman" w:eastAsia="仿宋_GB2312" w:cs="Times New Roman"/>
          <w:b w:val="0"/>
          <w:bCs w:val="0"/>
          <w:highlight w:val="none"/>
          <w:lang w:eastAsia="zh-CN"/>
        </w:rPr>
        <w:t>。</w:t>
      </w:r>
    </w:p>
    <w:p>
      <w:pPr>
        <w:pStyle w:val="10"/>
        <w:keepNext w:val="0"/>
        <w:keepLines w:val="0"/>
        <w:pageBreakBefore w:val="0"/>
        <w:widowControl/>
        <w:kinsoku/>
        <w:wordWrap/>
        <w:overflowPunct/>
        <w:topLinePunct w:val="0"/>
        <w:autoSpaceDE/>
        <w:autoSpaceDN/>
        <w:bidi w:val="0"/>
        <w:adjustRightInd/>
        <w:snapToGrid/>
        <w:spacing w:before="0" w:after="0"/>
        <w:textAlignment w:val="auto"/>
        <w:rPr>
          <w:rFonts w:hint="default" w:ascii="Times New Roman" w:hAnsi="Times New Roman" w:eastAsia="仿宋_GB2312" w:cs="Times New Roman"/>
          <w:sz w:val="21"/>
          <w:szCs w:val="21"/>
          <w:highlight w:val="none"/>
        </w:rPr>
      </w:pPr>
      <w:r>
        <w:rPr>
          <w:rFonts w:hint="default" w:ascii="Times New Roman" w:hAnsi="Times New Roman" w:eastAsia="仿宋_GB2312" w:cs="Times New Roman"/>
          <w:sz w:val="21"/>
          <w:szCs w:val="21"/>
          <w:highlight w:val="none"/>
        </w:rPr>
        <w:t>表1综合评分表</w:t>
      </w:r>
    </w:p>
    <w:tbl>
      <w:tblPr>
        <w:tblStyle w:val="14"/>
        <w:tblW w:w="7583" w:type="dxa"/>
        <w:jc w:val="center"/>
        <w:tblLayout w:type="fixed"/>
        <w:tblCellMar>
          <w:top w:w="0" w:type="dxa"/>
          <w:left w:w="108" w:type="dxa"/>
          <w:bottom w:w="0" w:type="dxa"/>
          <w:right w:w="108" w:type="dxa"/>
        </w:tblCellMar>
      </w:tblPr>
      <w:tblGrid>
        <w:gridCol w:w="3137"/>
        <w:gridCol w:w="2168"/>
        <w:gridCol w:w="2278"/>
      </w:tblGrid>
      <w:tr>
        <w:tblPrEx>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jc w:val="center"/>
              <w:rPr>
                <w:rFonts w:hint="default" w:ascii="Times New Roman" w:hAnsi="Times New Roman" w:eastAsia="仿宋_GB2312" w:cs="Times New Roman"/>
                <w:b/>
                <w:bCs/>
                <w:color w:val="000000"/>
                <w:sz w:val="21"/>
                <w:szCs w:val="21"/>
                <w:highlight w:val="none"/>
              </w:rPr>
            </w:pPr>
            <w:r>
              <w:rPr>
                <w:rFonts w:hint="default" w:ascii="Times New Roman" w:hAnsi="Times New Roman" w:eastAsia="仿宋_GB2312" w:cs="Times New Roman"/>
                <w:b/>
                <w:bCs/>
                <w:color w:val="000000"/>
                <w:sz w:val="21"/>
                <w:szCs w:val="21"/>
                <w:highlight w:val="none"/>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rFonts w:hint="default" w:ascii="Times New Roman" w:hAnsi="Times New Roman" w:eastAsia="仿宋_GB2312" w:cs="Times New Roman"/>
                <w:b/>
                <w:bCs/>
                <w:color w:val="000000"/>
                <w:sz w:val="21"/>
                <w:szCs w:val="21"/>
                <w:highlight w:val="none"/>
              </w:rPr>
            </w:pPr>
            <w:r>
              <w:rPr>
                <w:rFonts w:hint="default" w:ascii="Times New Roman" w:hAnsi="Times New Roman" w:eastAsia="仿宋_GB2312" w:cs="Times New Roman"/>
                <w:b/>
                <w:bCs/>
                <w:color w:val="000000"/>
                <w:sz w:val="21"/>
                <w:szCs w:val="21"/>
                <w:highlight w:val="none"/>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rFonts w:hint="default" w:ascii="Times New Roman" w:hAnsi="Times New Roman" w:eastAsia="仿宋_GB2312" w:cs="Times New Roman"/>
                <w:b/>
                <w:bCs/>
                <w:color w:val="000000"/>
                <w:sz w:val="21"/>
                <w:szCs w:val="21"/>
                <w:highlight w:val="none"/>
              </w:rPr>
            </w:pPr>
            <w:r>
              <w:rPr>
                <w:rFonts w:hint="default" w:ascii="Times New Roman" w:hAnsi="Times New Roman" w:eastAsia="仿宋_GB2312" w:cs="Times New Roman"/>
                <w:b/>
                <w:bCs/>
                <w:color w:val="000000"/>
                <w:sz w:val="21"/>
                <w:szCs w:val="21"/>
                <w:highlight w:val="none"/>
              </w:rPr>
              <w:t>得分</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rPr>
            </w:pPr>
            <w:r>
              <w:rPr>
                <w:rFonts w:hint="default" w:ascii="Times New Roman" w:hAnsi="Times New Roman" w:eastAsia="仿宋_GB2312" w:cs="Times New Roman"/>
                <w:color w:val="000000"/>
                <w:sz w:val="21"/>
                <w:szCs w:val="21"/>
                <w:highlight w:val="none"/>
              </w:rPr>
              <w:t>项目决策</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rPr>
            </w:pPr>
            <w:r>
              <w:rPr>
                <w:rFonts w:hint="default" w:ascii="Times New Roman" w:hAnsi="Times New Roman" w:eastAsia="仿宋_GB2312" w:cs="Times New Roman"/>
                <w:color w:val="000000"/>
                <w:sz w:val="21"/>
                <w:szCs w:val="21"/>
                <w:highlight w:val="none"/>
              </w:rPr>
              <w:t>项目过程</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19</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rPr>
            </w:pPr>
            <w:r>
              <w:rPr>
                <w:rFonts w:hint="default" w:ascii="Times New Roman" w:hAnsi="Times New Roman" w:eastAsia="仿宋_GB2312" w:cs="Times New Roman"/>
                <w:color w:val="000000"/>
                <w:sz w:val="21"/>
                <w:szCs w:val="21"/>
                <w:highlight w:val="none"/>
              </w:rPr>
              <w:t>项目产出</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40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35</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rPr>
            </w:pPr>
            <w:r>
              <w:rPr>
                <w:rFonts w:hint="default" w:ascii="Times New Roman" w:hAnsi="Times New Roman" w:eastAsia="仿宋_GB2312" w:cs="Times New Roman"/>
                <w:color w:val="000000"/>
                <w:sz w:val="21"/>
                <w:szCs w:val="21"/>
                <w:highlight w:val="none"/>
              </w:rPr>
              <w:t>项目效益</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000000"/>
                <w:sz w:val="21"/>
                <w:szCs w:val="21"/>
                <w:highlight w:val="none"/>
              </w:rPr>
            </w:pPr>
            <w:r>
              <w:rPr>
                <w:rFonts w:hint="default" w:ascii="Times New Roman" w:hAnsi="Times New Roman" w:eastAsia="仿宋_GB2312" w:cs="Times New Roman"/>
                <w:b/>
                <w:bCs/>
                <w:color w:val="000000"/>
                <w:sz w:val="21"/>
                <w:szCs w:val="21"/>
                <w:highlight w:val="none"/>
              </w:rPr>
              <w:t>合计</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000000"/>
                <w:sz w:val="21"/>
                <w:szCs w:val="21"/>
                <w:highlight w:val="none"/>
                <w:lang w:val="en-US" w:eastAsia="zh-CN"/>
              </w:rPr>
            </w:pPr>
            <w:r>
              <w:rPr>
                <w:rFonts w:hint="default" w:ascii="Times New Roman" w:hAnsi="Times New Roman" w:eastAsia="仿宋_GB2312" w:cs="Times New Roman"/>
                <w:b/>
                <w:bCs/>
                <w:color w:val="000000"/>
                <w:sz w:val="21"/>
                <w:szCs w:val="21"/>
                <w:highlight w:val="none"/>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000000"/>
                <w:sz w:val="21"/>
                <w:szCs w:val="21"/>
                <w:highlight w:val="none"/>
                <w:lang w:val="en-US" w:eastAsia="zh-CN"/>
              </w:rPr>
            </w:pPr>
            <w:r>
              <w:rPr>
                <w:rFonts w:hint="eastAsia" w:eastAsia="仿宋_GB2312" w:cs="Times New Roman"/>
                <w:b/>
                <w:bCs/>
                <w:color w:val="000000"/>
                <w:sz w:val="21"/>
                <w:szCs w:val="21"/>
                <w:highlight w:val="none"/>
                <w:lang w:val="en-US" w:eastAsia="zh-CN"/>
              </w:rPr>
              <w:t>94</w:t>
            </w:r>
          </w:p>
        </w:tc>
      </w:tr>
    </w:tbl>
    <w:p>
      <w:pPr>
        <w:spacing w:line="560" w:lineRule="exact"/>
        <w:ind w:firstLine="640" w:firstLineChars="200"/>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四、绩效评价指标分析</w:t>
      </w:r>
    </w:p>
    <w:p>
      <w:pPr>
        <w:pStyle w:val="10"/>
        <w:spacing w:before="0" w:after="0" w:line="560" w:lineRule="exact"/>
        <w:ind w:firstLine="643" w:firstLineChars="200"/>
        <w:jc w:val="both"/>
        <w:rPr>
          <w:rFonts w:hint="default" w:ascii="Times New Roman" w:hAnsi="Times New Roman" w:eastAsia="楷体_GB2312" w:cs="Times New Roman"/>
          <w:highlight w:val="none"/>
        </w:rPr>
      </w:pPr>
      <w:r>
        <w:rPr>
          <w:rFonts w:hint="default" w:ascii="Times New Roman" w:hAnsi="Times New Roman" w:eastAsia="楷体_GB2312" w:cs="Times New Roman"/>
          <w:highlight w:val="none"/>
        </w:rPr>
        <w:t>（一）项目决策情况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项目决策类指标包括项目立项、绩效目标和资金投入三方面的内容，由6个三级指标构成，权重分值为20分，实际得分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1.项目立项</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（1）立项依据充分性</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该项目严格遵循国家相关法律法规及科普事业发展政策，紧密契合《新疆维吾尔自治区中央补助地方科技馆免费开放资金暂行办法》（新财教〔2018〕260 号）等文件精神，以及巴财教 [2023] 46 号文件要求，旨在健全科技馆公共服务体系，提升科普服务能力，属于公共财政重点支持领域。同时，项目围绕库尔勒市年度科普工作重点与计划制定经费预算，与当地科普事业发展规划深度融合，且与部门内部其他项目不存在重复建设或资源冲突情况，部门发展规划及职能文件等相关资料完整归档，确保了立项依据的充分性与可靠性。</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此项权重分值为3分，得分为3分。</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（2）立项程序规范性</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项目申请与设立严格遵循既定流程，在项目筹备阶段，精心准备各类审批所需文件与材料，涵盖项目可行性研究报告、预期效益分析、风险评估报告等。在编制工作计划和经费预算时，以决算依据为基础，充分与部门项目分管领导沟通，经过多轮筛选与论证，确定最终预算方案。项目审批过程中，通过了严格的可行性研究、专家论证、风险评估、绩效评估，并经集体决策通过，确保审批文件、材料均符合相关要求，保障了立项程序的严谨性与规范性。</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此项权重分值为3分，得分为3分。</w:t>
      </w:r>
    </w:p>
    <w:p>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2.绩效目标</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（1）绩效目标合理性</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Hans"/>
        </w:rPr>
        <w:t>年初制定绩效目标时，充分结合库尔勒科技馆实际工作内容与资源条件，目标设定依据充分且符合客观实际。目标涵盖年度开馆天数、科普活动场次、展品维修数量等关键指标，与项目实施内容高度契合，能够有效反映和考核项目预期成果。设定的绩效指标清晰、细化、可衡量，如明确规定正常开馆天数不少于 170 天、开展科普活动 70 场次等。同时，绩效目标表经过严格审核，与实际工作紧密相关，预算安排与项目投资额精准匹配，对项目任务进行了详细分解，确保预期产出效益及效果符合正常业绩水平。</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此项权重分值为3分，得分为3分。</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（2）绩效指标明确性</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项目针对预期产出效益和效果设置了明确的绩效指标，将总体绩效目标细化分解为具体、可操作的子指标。例如，在社会效益方面，设定年群众服务观众人次不少于 24 万人次、网络科普资源浏览量不少于 10 万人次等；在服务质量方面，明确受益群众满意度不低于 95% 等。这些绩效指标与项目目标任务数一一对应，且表述清晰、量化标准明确，便于在项目实施过程中进行监测与评估。</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此项权重分值为3分，得分为3分。</w:t>
      </w:r>
    </w:p>
    <w:p>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3.资金投入</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（1）预算编制科学性</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预算编制过程充分体现精细化管理理念。在编制前期，对展品更新、科普活动开展、场馆维护等各项工作进行全面成本估算，结合市场价格调研与历史数据，精准预估项目所需资源。针对不同阶段、不同任务的资金需求，依据工作进度与实际需求进行详细分析与计算，确保资金分配合理。在成本控制方面，通过优化资源配置，如集中采购展品、合理安排科普活动场次等方式，提高资金使用效率；同时，充分考虑物价波动、设备故障等风险因素，预留一定比例的应急资金，以应对项目实施过程中的不确定性，保障项目顺利推进。</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此项权重分值为4分，得分为4分。</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（2）资金分配合理性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资金分配过程严格遵循公平、公正、透明原则，以项目实际需求和目标为导向。在资金分配上，优先保障展品更新、科普活动开展等核心业务，为展品更新分配 150 万元，确保科技馆展品的先进性与吸引力；为科普宣传教育实践活动安排 71 万元，支持各类科普活动的顺利开展。同时，兼顾地区乡村科普、科技馆日常运行维护等方面，分配 91 万元用于乡村科普和场馆运营，促进科普服务均衡发展。此外，在资金分配时充分考虑不同阶段任务的轻重缓急，对关键领域和重要环节给予重点支持，避免资源浪费与闲置，确保资金分配科学合理，实现效益最大化。</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eastAsia="仿宋_GB2312" w:cs="Times New Roman"/>
          <w:sz w:val="32"/>
          <w:szCs w:val="32"/>
          <w:highlight w:val="none"/>
          <w:lang w:val="en-US" w:eastAsia="zh-CN"/>
        </w:rPr>
      </w:pPr>
      <w:r>
        <w:rPr>
          <w:rFonts w:hint="eastAsia" w:eastAsia="仿宋_GB2312" w:cs="Times New Roman"/>
          <w:sz w:val="32"/>
          <w:szCs w:val="32"/>
          <w:highlight w:val="none"/>
          <w:lang w:val="en-US" w:eastAsia="zh-CN"/>
        </w:rPr>
        <w:t>此项权重分值为4分，得分为4分。</w:t>
      </w:r>
    </w:p>
    <w:p>
      <w:pPr>
        <w:pStyle w:val="10"/>
        <w:numPr>
          <w:ilvl w:val="0"/>
          <w:numId w:val="4"/>
        </w:numPr>
        <w:spacing w:before="0" w:after="0" w:line="560" w:lineRule="exact"/>
        <w:ind w:firstLine="643" w:firstLineChars="200"/>
        <w:jc w:val="both"/>
        <w:rPr>
          <w:rFonts w:hint="default" w:ascii="Times New Roman" w:hAnsi="Times New Roman" w:eastAsia="楷体" w:cs="Times New Roman"/>
          <w:highlight w:val="none"/>
        </w:rPr>
      </w:pPr>
      <w:r>
        <w:rPr>
          <w:rFonts w:hint="default" w:ascii="Times New Roman" w:hAnsi="Times New Roman" w:eastAsia="楷体" w:cs="Times New Roman"/>
          <w:highlight w:val="none"/>
        </w:rPr>
        <w:t>项目过程情况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项目过程类指标包括资金管理和组织实施两方面的内容，由5个三级指标构成，权重分值为20分，实际得分</w:t>
      </w:r>
      <w:r>
        <w:rPr>
          <w:rFonts w:hint="eastAsia" w:eastAsia="仿宋_GB2312" w:cs="Times New Roman"/>
          <w:sz w:val="32"/>
          <w:szCs w:val="32"/>
          <w:highlight w:val="none"/>
          <w:lang w:val="en-US" w:eastAsia="zh-CN"/>
        </w:rPr>
        <w:t>19</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95</w:t>
      </w:r>
      <w:r>
        <w:rPr>
          <w:rFonts w:hint="default" w:ascii="Times New Roman" w:hAnsi="Times New Roman" w:eastAsia="仿宋_GB2312" w:cs="Times New Roman"/>
          <w:sz w:val="32"/>
          <w:szCs w:val="32"/>
          <w:highlight w:val="none"/>
          <w:lang w:val="en-US" w:eastAsia="zh-CN"/>
        </w:rPr>
        <w:t>%。</w:t>
      </w:r>
    </w:p>
    <w:p>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1.资金管理</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（1）资金到位率</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本项目总投资</w:t>
      </w:r>
      <w:r>
        <w:rPr>
          <w:rFonts w:hint="eastAsia" w:eastAsia="仿宋_GB2312" w:cs="Times New Roman"/>
          <w:sz w:val="32"/>
          <w:szCs w:val="32"/>
          <w:highlight w:val="none"/>
          <w:lang w:val="en-US" w:eastAsia="zh-CN"/>
        </w:rPr>
        <w:t>312</w:t>
      </w:r>
      <w:r>
        <w:rPr>
          <w:rFonts w:hint="default" w:ascii="Times New Roman" w:hAnsi="Times New Roman" w:eastAsia="仿宋_GB2312" w:cs="Times New Roman"/>
          <w:sz w:val="32"/>
          <w:szCs w:val="32"/>
          <w:highlight w:val="none"/>
          <w:lang w:val="en-US" w:eastAsia="zh-CN"/>
        </w:rPr>
        <w:t>万元，财政资金及时足额到位，到位率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%，预算资金按计划进度执行。</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此项权重分值为4分，得分为4分。</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（2）预算执行率</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预算编制较为详细，项目资金支出总体能够按照预算执行，预算资金支出</w:t>
      </w:r>
      <w:r>
        <w:rPr>
          <w:rFonts w:hint="eastAsia" w:eastAsia="仿宋_GB2312" w:cs="Times New Roman"/>
          <w:sz w:val="32"/>
          <w:szCs w:val="32"/>
          <w:highlight w:val="none"/>
          <w:lang w:val="en-US" w:eastAsia="zh-CN"/>
        </w:rPr>
        <w:t>190.17</w:t>
      </w:r>
      <w:r>
        <w:rPr>
          <w:rFonts w:hint="default" w:ascii="Times New Roman" w:hAnsi="Times New Roman" w:eastAsia="仿宋_GB2312" w:cs="Times New Roman"/>
          <w:sz w:val="32"/>
          <w:szCs w:val="32"/>
          <w:highlight w:val="none"/>
          <w:lang w:val="en-US" w:eastAsia="zh-CN"/>
        </w:rPr>
        <w:t>万元，预算执行率为</w:t>
      </w:r>
      <w:r>
        <w:rPr>
          <w:rFonts w:hint="eastAsia" w:eastAsia="仿宋_GB2312" w:cs="Times New Roman"/>
          <w:sz w:val="32"/>
          <w:szCs w:val="32"/>
          <w:highlight w:val="none"/>
          <w:lang w:val="en-US" w:eastAsia="zh-CN"/>
        </w:rPr>
        <w:t>60.95</w:t>
      </w:r>
      <w:r>
        <w:rPr>
          <w:rFonts w:hint="default" w:ascii="Times New Roman" w:hAnsi="Times New Roman" w:eastAsia="仿宋_GB2312" w:cs="Times New Roman"/>
          <w:sz w:val="32"/>
          <w:szCs w:val="32"/>
          <w:highlight w:val="none"/>
          <w:lang w:val="en-US"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此项权重分值为4分，得分为3分。</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（3）资金使用合规性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严格遵循《中华人民共和国预算法》《新疆维吾尔自治区中央补助地方科技馆免费开放资金暂行办法》等国家相关法律法规与财务制度，建立了完善的资金使用管理体系。在资金支出环节，严格执行专款专用原则，所有资金均围绕展品更新、科普活动开展、乡村科普支持等项目既定用途使用，杜绝挪用、截留现象。​</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val="en-US" w:eastAsia="zh-CN"/>
        </w:rPr>
        <w:t>在财务审批流程上，制定了严格的多级审核制度，每一笔资金支出都需经过项目负责人初审、财务部门复核、分管领导审批等环节，确保支出合理、手续完备。同时，定期开展内部审计工作，委托专业审计机构对项目资金使用情况进行全面审查，对发现的问题及时整改。此外，在资金使用过程中，注重成本效益分析，通过公开招标、比价采购等方式，在保证项目质量的前提下降低成本，确保财政资金使用的合规性、安全性和高效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此项权重分值为4分，得分为4分。</w:t>
      </w:r>
    </w:p>
    <w:p>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2.组织实施</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（1）管理制度健全性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库尔勒市科学技术馆结合科技馆运营与科普项目实施特点，制定了一套涵盖项目策划、执行、监督等全流程的管理制度体系。在项目立项阶段，明确了项目申报、审批流程及相关标准；在实施过程中，针对展品维护、科普活动组织、人员管理等方面制定了详细的操作规范和责任制度。​</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val="en-US" w:eastAsia="zh-CN"/>
        </w:rPr>
        <w:t>为保障项目顺利推进，建立了风险预警机制，对可能影响项目实施的展品故障、活动安全、资金短缺等风险进行提前识别和评估，并制定相应的应急预案。同时，完善了绩效考核制度，将项目目标分解到具体部门和个人，定期对工作绩效进行考核，激励员工积极履行职责。此外，还建立了信息反馈机制，及时收集项目实施过程中的问题和建议，以便对管理制度进行动态优化，确保制度的科学性和可操作性。</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此项权重分值为4分，得分为4分。</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（2）制度执行有效性</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实施过程中，库尔勒市科学技术馆高度重视管理制度的贯彻落实，通过多种方式确保制度执行到位。在制度宣贯方面，定期组织员工开展培训学习活动，使员工熟悉各项管理制度的内容和要求，增强制度执行意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val="en-US" w:eastAsia="zh-CN"/>
        </w:rPr>
        <w:t>在责任落实上，明确各部门和岗位在项目实施中的职责，将制度执行情况纳入员工绩效考核，与薪酬、晋升挂钩，形成有效的激励约束机制。在监督检查方面，成立专门的督查小组，定期对项目执行情况进行检查，对发现的违反制度行为及时纠正，并对相关责任人进行问责。同时，建立部门间沟通协调机制，加强信息共享和协作配合，及时解决制度执行过程中出现的问题，确保项目按照管理制度有序推进，有效达成项目目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eastAsia="仿宋_GB2312" w:cs="Times New Roman"/>
          <w:sz w:val="32"/>
          <w:szCs w:val="32"/>
          <w:highlight w:val="none"/>
          <w:lang w:val="en-US" w:eastAsia="zh-CN"/>
        </w:rPr>
      </w:pPr>
      <w:r>
        <w:rPr>
          <w:rFonts w:hint="eastAsia" w:eastAsia="仿宋_GB2312" w:cs="Times New Roman"/>
          <w:sz w:val="32"/>
          <w:szCs w:val="32"/>
          <w:highlight w:val="none"/>
          <w:lang w:val="en-US" w:eastAsia="zh-CN"/>
        </w:rPr>
        <w:t>此项权重分值为4分，得分为4分。</w:t>
      </w:r>
    </w:p>
    <w:p>
      <w:pPr>
        <w:pStyle w:val="12"/>
        <w:numPr>
          <w:ilvl w:val="0"/>
          <w:numId w:val="4"/>
        </w:numPr>
        <w:spacing w:line="560" w:lineRule="exact"/>
        <w:ind w:firstLine="643"/>
        <w:rPr>
          <w:rFonts w:hint="default" w:ascii="Times New Roman" w:hAnsi="Times New Roman" w:eastAsia="楷体_GB2312" w:cs="Times New Roman"/>
          <w:b/>
          <w:bCs/>
          <w:sz w:val="32"/>
          <w:szCs w:val="32"/>
          <w:highlight w:val="none"/>
        </w:rPr>
      </w:pPr>
      <w:r>
        <w:rPr>
          <w:rFonts w:hint="default" w:ascii="Times New Roman" w:hAnsi="Times New Roman" w:eastAsia="楷体_GB2312" w:cs="Times New Roman"/>
          <w:b/>
          <w:bCs/>
          <w:sz w:val="32"/>
          <w:szCs w:val="32"/>
          <w:highlight w:val="none"/>
        </w:rPr>
        <w:t>项目产出</w:t>
      </w:r>
      <w:r>
        <w:rPr>
          <w:rFonts w:hint="default" w:ascii="Times New Roman" w:hAnsi="Times New Roman" w:eastAsia="楷体_GB2312" w:cs="Times New Roman"/>
          <w:b/>
          <w:bCs/>
          <w:sz w:val="32"/>
          <w:szCs w:val="32"/>
          <w:highlight w:val="none"/>
          <w:lang w:val="en-US" w:eastAsia="zh-CN"/>
        </w:rPr>
        <w:t>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项目产出类指标包括产出数量、产出质量、产出时效、产出成本四方面的内容，由</w:t>
      </w:r>
      <w:r>
        <w:rPr>
          <w:rFonts w:hint="eastAsia" w:eastAsia="仿宋_GB2312" w:cs="Times New Roman"/>
          <w:sz w:val="32"/>
          <w:szCs w:val="32"/>
          <w:highlight w:val="none"/>
          <w:lang w:val="en-US" w:eastAsia="zh-CN"/>
        </w:rPr>
        <w:t>8</w:t>
      </w:r>
      <w:r>
        <w:rPr>
          <w:rFonts w:hint="default" w:ascii="Times New Roman" w:hAnsi="Times New Roman" w:eastAsia="仿宋_GB2312" w:cs="Times New Roman"/>
          <w:sz w:val="32"/>
          <w:szCs w:val="32"/>
          <w:highlight w:val="none"/>
          <w:lang w:val="en-US" w:eastAsia="zh-CN"/>
        </w:rPr>
        <w:t>个三级指标构成，权重分为40分，实际得分</w:t>
      </w:r>
      <w:r>
        <w:rPr>
          <w:rFonts w:hint="eastAsia" w:eastAsia="仿宋_GB2312" w:cs="Times New Roman"/>
          <w:sz w:val="32"/>
          <w:szCs w:val="32"/>
          <w:highlight w:val="none"/>
          <w:lang w:val="en-US" w:eastAsia="zh-CN"/>
        </w:rPr>
        <w:t>35</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87.5</w:t>
      </w:r>
      <w:r>
        <w:rPr>
          <w:rFonts w:hint="default" w:ascii="Times New Roman" w:hAnsi="Times New Roman" w:eastAsia="仿宋_GB2312" w:cs="Times New Roman"/>
          <w:sz w:val="32"/>
          <w:szCs w:val="32"/>
          <w:highlight w:val="none"/>
          <w:lang w:val="en-US" w:eastAsia="zh-CN"/>
        </w:rPr>
        <w:t>%。具体产出指标完成情况如下：</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1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①</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数量指标：</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指标1：</w:t>
      </w:r>
      <w:r>
        <w:rPr>
          <w:rFonts w:hint="eastAsia" w:eastAsia="仿宋_GB2312" w:cs="Times New Roman"/>
          <w:sz w:val="32"/>
          <w:szCs w:val="32"/>
          <w:highlight w:val="none"/>
          <w:lang w:val="en-US" w:eastAsia="zh-CN"/>
        </w:rPr>
        <w:t>年度正常开馆天数</w:t>
      </w:r>
      <w:r>
        <w:rPr>
          <w:rFonts w:hint="default" w:ascii="Times New Roman" w:hAnsi="Times New Roman" w:eastAsia="仿宋_GB2312" w:cs="Times New Roman"/>
          <w:sz w:val="32"/>
          <w:szCs w:val="32"/>
          <w:highlight w:val="none"/>
        </w:rPr>
        <w:t>，指标值：</w:t>
      </w:r>
      <w:r>
        <w:rPr>
          <w:rFonts w:hint="eastAsia" w:ascii="宋体" w:hAnsi="宋体" w:eastAsia="宋体" w:cs="宋体"/>
          <w:color w:val="auto"/>
          <w:sz w:val="30"/>
          <w:szCs w:val="30"/>
          <w:highlight w:val="none"/>
        </w:rPr>
        <w:t>≧</w:t>
      </w:r>
      <w:r>
        <w:rPr>
          <w:rFonts w:hint="eastAsia" w:ascii="宋体" w:hAnsi="宋体" w:eastAsia="宋体" w:cs="宋体"/>
          <w:color w:val="auto"/>
          <w:sz w:val="30"/>
          <w:szCs w:val="30"/>
          <w:highlight w:val="none"/>
          <w:lang w:val="en-US" w:eastAsia="zh-CN"/>
        </w:rPr>
        <w:t>170天</w:t>
      </w:r>
      <w:r>
        <w:rPr>
          <w:rFonts w:hint="default" w:ascii="Times New Roman" w:hAnsi="Times New Roman" w:eastAsia="仿宋_GB2312" w:cs="Times New Roman"/>
          <w:sz w:val="32"/>
          <w:szCs w:val="32"/>
          <w:highlight w:val="none"/>
        </w:rPr>
        <w:t xml:space="preserve"> ，实际完成值：</w:t>
      </w:r>
      <w:r>
        <w:rPr>
          <w:rFonts w:hint="eastAsia" w:ascii="仿宋" w:hAnsi="仿宋" w:eastAsia="仿宋" w:cs="仿宋"/>
          <w:color w:val="auto"/>
          <w:sz w:val="30"/>
          <w:szCs w:val="30"/>
          <w:highlight w:val="none"/>
        </w:rPr>
        <w:t>=</w:t>
      </w:r>
      <w:r>
        <w:rPr>
          <w:rFonts w:hint="eastAsia" w:eastAsia="仿宋_GB2312" w:cs="Times New Roman"/>
          <w:sz w:val="32"/>
          <w:szCs w:val="32"/>
          <w:highlight w:val="none"/>
          <w:lang w:val="en-US" w:eastAsia="zh-CN"/>
        </w:rPr>
        <w:t>175天</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103</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，偏差原因：1-3季度单位开展主题活动较多。</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开展教育活动场次</w:t>
      </w:r>
      <w:r>
        <w:rPr>
          <w:rFonts w:hint="default" w:ascii="Times New Roman" w:hAnsi="Times New Roman" w:eastAsia="仿宋_GB2312" w:cs="Times New Roman"/>
          <w:sz w:val="32"/>
          <w:szCs w:val="32"/>
          <w:highlight w:val="none"/>
        </w:rPr>
        <w:t>，指标值：</w:t>
      </w:r>
      <w:r>
        <w:rPr>
          <w:rFonts w:hint="eastAsia" w:ascii="宋体" w:hAnsi="宋体" w:eastAsia="宋体" w:cs="宋体"/>
          <w:color w:val="auto"/>
          <w:sz w:val="30"/>
          <w:szCs w:val="30"/>
          <w:highlight w:val="none"/>
        </w:rPr>
        <w:t>≧</w:t>
      </w:r>
      <w:r>
        <w:rPr>
          <w:rFonts w:hint="eastAsia" w:ascii="宋体" w:hAnsi="宋体" w:eastAsia="宋体" w:cs="宋体"/>
          <w:color w:val="auto"/>
          <w:sz w:val="30"/>
          <w:szCs w:val="30"/>
          <w:highlight w:val="none"/>
          <w:lang w:val="en-US" w:eastAsia="zh-CN"/>
        </w:rPr>
        <w:t>70</w:t>
      </w:r>
      <w:r>
        <w:rPr>
          <w:rFonts w:hint="eastAsia" w:ascii="宋体" w:hAnsi="宋体" w:cs="宋体"/>
          <w:color w:val="auto"/>
          <w:sz w:val="30"/>
          <w:szCs w:val="30"/>
          <w:highlight w:val="none"/>
          <w:lang w:val="en-US" w:eastAsia="zh-CN"/>
        </w:rPr>
        <w:t>场次</w:t>
      </w:r>
      <w:r>
        <w:rPr>
          <w:rFonts w:hint="default" w:ascii="Times New Roman" w:hAnsi="Times New Roman" w:eastAsia="仿宋_GB2312" w:cs="Times New Roman"/>
          <w:sz w:val="32"/>
          <w:szCs w:val="32"/>
          <w:highlight w:val="none"/>
        </w:rPr>
        <w:t xml:space="preserve"> ，实际完成值：</w:t>
      </w:r>
      <w:r>
        <w:rPr>
          <w:rFonts w:hint="eastAsia" w:ascii="仿宋" w:hAnsi="仿宋" w:eastAsia="仿宋" w:cs="仿宋"/>
          <w:color w:val="auto"/>
          <w:sz w:val="30"/>
          <w:szCs w:val="30"/>
          <w:highlight w:val="none"/>
        </w:rPr>
        <w:t>=</w:t>
      </w:r>
      <w:r>
        <w:rPr>
          <w:rFonts w:hint="eastAsia" w:eastAsia="仿宋_GB2312" w:cs="Times New Roman"/>
          <w:sz w:val="32"/>
          <w:szCs w:val="32"/>
          <w:highlight w:val="none"/>
          <w:lang w:val="en-US" w:eastAsia="zh-CN"/>
        </w:rPr>
        <w:t>70场次</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科技馆年度展品展项更新、维修数量</w:t>
      </w:r>
      <w:r>
        <w:rPr>
          <w:rFonts w:hint="default" w:ascii="Times New Roman" w:hAnsi="Times New Roman" w:eastAsia="仿宋_GB2312" w:cs="Times New Roman"/>
          <w:sz w:val="32"/>
          <w:szCs w:val="32"/>
          <w:highlight w:val="none"/>
        </w:rPr>
        <w:t>，指标值：</w:t>
      </w:r>
      <w:r>
        <w:rPr>
          <w:rFonts w:hint="eastAsia" w:ascii="宋体" w:hAnsi="宋体" w:eastAsia="宋体" w:cs="宋体"/>
          <w:color w:val="auto"/>
          <w:sz w:val="30"/>
          <w:szCs w:val="30"/>
          <w:highlight w:val="none"/>
        </w:rPr>
        <w:t>≧</w:t>
      </w:r>
      <w:r>
        <w:rPr>
          <w:rFonts w:hint="eastAsia" w:ascii="宋体" w:hAnsi="宋体" w:cs="宋体"/>
          <w:color w:val="auto"/>
          <w:sz w:val="30"/>
          <w:szCs w:val="30"/>
          <w:highlight w:val="none"/>
          <w:lang w:val="en-US" w:eastAsia="zh-CN"/>
        </w:rPr>
        <w:t>110个</w:t>
      </w:r>
      <w:r>
        <w:rPr>
          <w:rFonts w:hint="default" w:ascii="Times New Roman" w:hAnsi="Times New Roman" w:eastAsia="仿宋_GB2312" w:cs="Times New Roman"/>
          <w:sz w:val="32"/>
          <w:szCs w:val="32"/>
          <w:highlight w:val="none"/>
        </w:rPr>
        <w:t xml:space="preserve"> ，实际完成值：</w:t>
      </w:r>
      <w:r>
        <w:rPr>
          <w:rFonts w:hint="eastAsia" w:ascii="仿宋" w:hAnsi="仿宋" w:eastAsia="仿宋" w:cs="仿宋"/>
          <w:color w:val="auto"/>
          <w:sz w:val="30"/>
          <w:szCs w:val="30"/>
          <w:highlight w:val="none"/>
        </w:rPr>
        <w:t>=</w:t>
      </w:r>
      <w:r>
        <w:rPr>
          <w:rFonts w:hint="eastAsia" w:eastAsia="仿宋_GB2312" w:cs="Times New Roman"/>
          <w:sz w:val="32"/>
          <w:szCs w:val="32"/>
          <w:highlight w:val="none"/>
          <w:lang w:val="en-US" w:eastAsia="zh-CN"/>
        </w:rPr>
        <w:t>110个</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此项权重分值为10分，得分为9分。</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2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②</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质量指标：</w:t>
      </w:r>
      <w:r>
        <w:rPr>
          <w:rFonts w:hint="eastAsia" w:eastAsia="仿宋_GB2312" w:cs="Times New Roman"/>
          <w:sz w:val="32"/>
          <w:szCs w:val="32"/>
          <w:highlight w:val="none"/>
          <w:lang w:val="en-US" w:eastAsia="zh-CN"/>
        </w:rPr>
        <w:t>开展教育活动覆盖率</w:t>
      </w:r>
      <w:r>
        <w:rPr>
          <w:rFonts w:hint="default" w:ascii="Times New Roman" w:hAnsi="Times New Roman" w:eastAsia="仿宋_GB2312" w:cs="Times New Roman"/>
          <w:sz w:val="32"/>
          <w:szCs w:val="32"/>
          <w:highlight w:val="none"/>
        </w:rPr>
        <w:t>，指标值：</w:t>
      </w:r>
      <w:r>
        <w:rPr>
          <w:rFonts w:hint="eastAsia" w:ascii="仿宋" w:hAnsi="仿宋" w:eastAsia="仿宋" w:cs="仿宋"/>
          <w:color w:val="auto"/>
          <w:sz w:val="30"/>
          <w:szCs w:val="30"/>
          <w:highlight w:val="none"/>
        </w:rPr>
        <w:t>=</w:t>
      </w:r>
      <w:r>
        <w:rPr>
          <w:rFonts w:hint="eastAsia" w:ascii="宋体" w:hAnsi="宋体" w:cs="宋体"/>
          <w:color w:val="auto"/>
          <w:sz w:val="30"/>
          <w:szCs w:val="30"/>
          <w:highlight w:val="none"/>
          <w:lang w:val="en-US" w:eastAsia="zh-CN"/>
        </w:rPr>
        <w:t>100%</w:t>
      </w:r>
      <w:r>
        <w:rPr>
          <w:rFonts w:hint="default" w:ascii="Times New Roman" w:hAnsi="Times New Roman" w:eastAsia="仿宋_GB2312" w:cs="Times New Roman"/>
          <w:sz w:val="32"/>
          <w:szCs w:val="32"/>
          <w:highlight w:val="none"/>
        </w:rPr>
        <w:t xml:space="preserve"> ，实际完成值：</w:t>
      </w:r>
      <w:r>
        <w:rPr>
          <w:rFonts w:hint="eastAsia" w:ascii="仿宋" w:hAnsi="仿宋" w:eastAsia="仿宋" w:cs="仿宋"/>
          <w:color w:val="auto"/>
          <w:sz w:val="30"/>
          <w:szCs w:val="30"/>
          <w:highlight w:val="none"/>
        </w:rPr>
        <w:t>=</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此项权重分值为10分，得分为10分。</w:t>
      </w:r>
    </w:p>
    <w:p>
      <w:pPr>
        <w:shd w:val="clear"/>
        <w:spacing w:line="600" w:lineRule="exact"/>
        <w:ind w:firstLine="640" w:firstLineChars="200"/>
        <w:outlineLvl w:val="0"/>
        <w:rPr>
          <w:rFonts w:hint="default" w:ascii="Times New Roman" w:hAnsi="Times New Roman" w:cs="Times New Roman"/>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3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③</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时效指标：</w:t>
      </w:r>
      <w:r>
        <w:rPr>
          <w:rFonts w:hint="eastAsia" w:eastAsia="仿宋_GB2312" w:cs="Times New Roman"/>
          <w:sz w:val="32"/>
          <w:szCs w:val="32"/>
          <w:highlight w:val="none"/>
          <w:lang w:val="en-US" w:eastAsia="zh-CN"/>
        </w:rPr>
        <w:t>资金支付及时率</w:t>
      </w:r>
      <w:r>
        <w:rPr>
          <w:rFonts w:hint="default" w:ascii="Times New Roman" w:hAnsi="Times New Roman" w:eastAsia="仿宋_GB2312" w:cs="Times New Roman"/>
          <w:sz w:val="32"/>
          <w:szCs w:val="32"/>
          <w:highlight w:val="none"/>
        </w:rPr>
        <w:t>，指标值：</w:t>
      </w:r>
      <w:r>
        <w:rPr>
          <w:rFonts w:hint="eastAsia" w:ascii="仿宋" w:hAnsi="仿宋" w:eastAsia="仿宋" w:cs="仿宋"/>
          <w:color w:val="auto"/>
          <w:sz w:val="30"/>
          <w:szCs w:val="30"/>
          <w:highlight w:val="none"/>
        </w:rPr>
        <w:t>=</w:t>
      </w:r>
      <w:r>
        <w:rPr>
          <w:rFonts w:hint="eastAsia" w:ascii="宋体" w:hAnsi="宋体" w:cs="宋体"/>
          <w:color w:val="auto"/>
          <w:sz w:val="30"/>
          <w:szCs w:val="30"/>
          <w:highlight w:val="none"/>
          <w:lang w:val="en-US" w:eastAsia="zh-CN"/>
        </w:rPr>
        <w:t>100%</w:t>
      </w:r>
      <w:r>
        <w:rPr>
          <w:rFonts w:hint="default" w:ascii="Times New Roman" w:hAnsi="Times New Roman" w:eastAsia="仿宋_GB2312" w:cs="Times New Roman"/>
          <w:sz w:val="32"/>
          <w:szCs w:val="32"/>
          <w:highlight w:val="none"/>
        </w:rPr>
        <w:t xml:space="preserve"> ，实际完成值：</w:t>
      </w:r>
      <w:r>
        <w:rPr>
          <w:rFonts w:hint="eastAsia" w:ascii="仿宋" w:hAnsi="仿宋" w:eastAsia="仿宋" w:cs="仿宋"/>
          <w:color w:val="auto"/>
          <w:sz w:val="30"/>
          <w:szCs w:val="30"/>
          <w:highlight w:val="none"/>
        </w:rPr>
        <w:t>=</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60.75</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，偏差原因：按照合同签订时间支付，对科普活动、宣传等采购手续正在办理中。</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cs="Times New Roman"/>
          <w:highlight w:val="none"/>
        </w:rPr>
      </w:pPr>
      <w:r>
        <w:rPr>
          <w:rFonts w:hint="eastAsia" w:eastAsia="仿宋_GB2312" w:cs="Times New Roman"/>
          <w:sz w:val="32"/>
          <w:szCs w:val="32"/>
          <w:highlight w:val="none"/>
          <w:lang w:val="en-US" w:eastAsia="zh-CN"/>
        </w:rPr>
        <w:t>此项权重分值为10分，得分为9分。</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4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④</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成本指标：</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指标1：</w:t>
      </w:r>
      <w:r>
        <w:rPr>
          <w:rFonts w:hint="eastAsia" w:eastAsia="仿宋_GB2312" w:cs="Times New Roman"/>
          <w:sz w:val="32"/>
          <w:szCs w:val="32"/>
          <w:highlight w:val="none"/>
          <w:lang w:val="en-US" w:eastAsia="zh-CN"/>
        </w:rPr>
        <w:t>展品展项更新、维护成本</w:t>
      </w:r>
      <w:r>
        <w:rPr>
          <w:rFonts w:hint="default" w:ascii="Times New Roman" w:hAnsi="Times New Roman" w:eastAsia="仿宋_GB2312" w:cs="Times New Roman"/>
          <w:sz w:val="32"/>
          <w:szCs w:val="32"/>
          <w:highlight w:val="none"/>
        </w:rPr>
        <w:t>，指标值：</w:t>
      </w:r>
      <w:r>
        <w:rPr>
          <w:rFonts w:hint="eastAsia" w:ascii="宋体" w:hAnsi="宋体" w:eastAsia="宋体" w:cs="宋体"/>
          <w:color w:val="auto"/>
          <w:sz w:val="30"/>
          <w:szCs w:val="30"/>
          <w:highlight w:val="none"/>
        </w:rPr>
        <w:t>≦</w:t>
      </w:r>
      <w:r>
        <w:rPr>
          <w:rFonts w:hint="eastAsia" w:ascii="宋体" w:hAnsi="宋体" w:eastAsia="宋体" w:cs="宋体"/>
          <w:color w:val="auto"/>
          <w:sz w:val="30"/>
          <w:szCs w:val="30"/>
          <w:highlight w:val="none"/>
          <w:lang w:val="en-US" w:eastAsia="zh-CN"/>
        </w:rPr>
        <w:t>1</w:t>
      </w:r>
      <w:r>
        <w:rPr>
          <w:rFonts w:hint="eastAsia" w:ascii="宋体" w:hAnsi="宋体" w:cs="宋体"/>
          <w:color w:val="auto"/>
          <w:sz w:val="30"/>
          <w:szCs w:val="30"/>
          <w:highlight w:val="none"/>
          <w:lang w:val="en-US" w:eastAsia="zh-CN"/>
        </w:rPr>
        <w:t>5</w:t>
      </w:r>
      <w:r>
        <w:rPr>
          <w:rFonts w:hint="eastAsia" w:ascii="宋体" w:hAnsi="宋体" w:eastAsia="宋体" w:cs="宋体"/>
          <w:color w:val="auto"/>
          <w:sz w:val="30"/>
          <w:szCs w:val="30"/>
          <w:highlight w:val="none"/>
          <w:lang w:val="en-US" w:eastAsia="zh-CN"/>
        </w:rPr>
        <w:t>0</w:t>
      </w:r>
      <w:r>
        <w:rPr>
          <w:rFonts w:hint="eastAsia" w:ascii="宋体" w:hAnsi="宋体" w:cs="宋体"/>
          <w:color w:val="auto"/>
          <w:sz w:val="30"/>
          <w:szCs w:val="30"/>
          <w:highlight w:val="none"/>
          <w:lang w:val="en-US" w:eastAsia="zh-CN"/>
        </w:rPr>
        <w:t>万元</w:t>
      </w:r>
      <w:r>
        <w:rPr>
          <w:rFonts w:hint="default" w:ascii="Times New Roman" w:hAnsi="Times New Roman" w:eastAsia="仿宋_GB2312" w:cs="Times New Roman"/>
          <w:sz w:val="32"/>
          <w:szCs w:val="32"/>
          <w:highlight w:val="none"/>
        </w:rPr>
        <w:t xml:space="preserve"> ，实际完成值：</w:t>
      </w:r>
      <w:r>
        <w:rPr>
          <w:rFonts w:hint="eastAsia" w:ascii="仿宋" w:hAnsi="仿宋" w:eastAsia="仿宋" w:cs="仿宋"/>
          <w:color w:val="auto"/>
          <w:sz w:val="30"/>
          <w:szCs w:val="30"/>
          <w:highlight w:val="none"/>
        </w:rPr>
        <w:t>=</w:t>
      </w:r>
      <w:r>
        <w:rPr>
          <w:rFonts w:hint="eastAsia" w:eastAsia="仿宋_GB2312" w:cs="Times New Roman"/>
          <w:sz w:val="32"/>
          <w:szCs w:val="32"/>
          <w:highlight w:val="none"/>
          <w:lang w:val="en-US" w:eastAsia="zh-CN"/>
        </w:rPr>
        <w:t>104.66万元</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69.77</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，偏差原因：按照合同签订时间支付，对科普活动、宣传等采购手续正在办理中。</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支持乡村科普宣传教育实践活动成本</w:t>
      </w:r>
      <w:r>
        <w:rPr>
          <w:rFonts w:hint="default" w:ascii="Times New Roman" w:hAnsi="Times New Roman" w:eastAsia="仿宋_GB2312" w:cs="Times New Roman"/>
          <w:sz w:val="32"/>
          <w:szCs w:val="32"/>
          <w:highlight w:val="none"/>
        </w:rPr>
        <w:t>，指标值：</w:t>
      </w:r>
      <w:r>
        <w:rPr>
          <w:rFonts w:hint="eastAsia" w:ascii="宋体" w:hAnsi="宋体" w:eastAsia="宋体" w:cs="宋体"/>
          <w:color w:val="auto"/>
          <w:sz w:val="30"/>
          <w:szCs w:val="30"/>
          <w:highlight w:val="none"/>
        </w:rPr>
        <w:t>≦</w:t>
      </w:r>
      <w:r>
        <w:rPr>
          <w:rFonts w:hint="eastAsia" w:ascii="宋体" w:hAnsi="宋体" w:cs="宋体"/>
          <w:color w:val="auto"/>
          <w:sz w:val="30"/>
          <w:szCs w:val="30"/>
          <w:highlight w:val="none"/>
          <w:lang w:val="en-US" w:eastAsia="zh-CN"/>
        </w:rPr>
        <w:t>91万元</w:t>
      </w:r>
      <w:r>
        <w:rPr>
          <w:rFonts w:hint="default" w:ascii="Times New Roman" w:hAnsi="Times New Roman" w:eastAsia="仿宋_GB2312" w:cs="Times New Roman"/>
          <w:sz w:val="32"/>
          <w:szCs w:val="32"/>
          <w:highlight w:val="none"/>
        </w:rPr>
        <w:t xml:space="preserve"> ，实际完成值：</w:t>
      </w:r>
      <w:r>
        <w:rPr>
          <w:rFonts w:hint="eastAsia" w:ascii="仿宋" w:hAnsi="仿宋" w:eastAsia="仿宋" w:cs="仿宋"/>
          <w:color w:val="auto"/>
          <w:sz w:val="30"/>
          <w:szCs w:val="30"/>
          <w:highlight w:val="none"/>
        </w:rPr>
        <w:t>=</w:t>
      </w:r>
      <w:r>
        <w:rPr>
          <w:rFonts w:hint="eastAsia" w:eastAsia="仿宋_GB2312" w:cs="Times New Roman"/>
          <w:sz w:val="32"/>
          <w:szCs w:val="32"/>
          <w:highlight w:val="none"/>
          <w:lang w:val="en-US" w:eastAsia="zh-CN"/>
        </w:rPr>
        <w:t>24.36万元</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26.77</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，偏差原因：按照合同签订时间支付，对科普活动、宣传等采购手续正在办理中。</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科普宣传教育实践活动成本</w:t>
      </w:r>
      <w:r>
        <w:rPr>
          <w:rFonts w:hint="default" w:ascii="Times New Roman" w:hAnsi="Times New Roman" w:eastAsia="仿宋_GB2312" w:cs="Times New Roman"/>
          <w:sz w:val="32"/>
          <w:szCs w:val="32"/>
          <w:highlight w:val="none"/>
        </w:rPr>
        <w:t>，指标值：</w:t>
      </w:r>
      <w:r>
        <w:rPr>
          <w:rFonts w:hint="eastAsia" w:ascii="宋体" w:hAnsi="宋体" w:eastAsia="宋体" w:cs="宋体"/>
          <w:color w:val="auto"/>
          <w:sz w:val="30"/>
          <w:szCs w:val="30"/>
          <w:highlight w:val="none"/>
        </w:rPr>
        <w:t>≦</w:t>
      </w:r>
      <w:r>
        <w:rPr>
          <w:rFonts w:hint="eastAsia" w:ascii="宋体" w:hAnsi="宋体" w:cs="宋体"/>
          <w:color w:val="auto"/>
          <w:sz w:val="30"/>
          <w:szCs w:val="30"/>
          <w:highlight w:val="none"/>
          <w:lang w:val="en-US" w:eastAsia="zh-CN"/>
        </w:rPr>
        <w:t>71万元</w:t>
      </w:r>
      <w:r>
        <w:rPr>
          <w:rFonts w:hint="default" w:ascii="Times New Roman" w:hAnsi="Times New Roman" w:eastAsia="仿宋_GB2312" w:cs="Times New Roman"/>
          <w:sz w:val="32"/>
          <w:szCs w:val="32"/>
          <w:highlight w:val="none"/>
        </w:rPr>
        <w:t xml:space="preserve"> ，实际完成值：</w:t>
      </w:r>
      <w:r>
        <w:rPr>
          <w:rFonts w:hint="eastAsia" w:ascii="仿宋" w:hAnsi="仿宋" w:eastAsia="仿宋" w:cs="仿宋"/>
          <w:color w:val="auto"/>
          <w:sz w:val="30"/>
          <w:szCs w:val="30"/>
          <w:highlight w:val="none"/>
        </w:rPr>
        <w:t>=</w:t>
      </w:r>
      <w:r>
        <w:rPr>
          <w:rFonts w:hint="eastAsia" w:eastAsia="仿宋_GB2312" w:cs="Times New Roman"/>
          <w:sz w:val="32"/>
          <w:szCs w:val="32"/>
          <w:highlight w:val="none"/>
          <w:lang w:val="en-US" w:eastAsia="zh-CN"/>
        </w:rPr>
        <w:t>61.15万元</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86.13</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，偏差原因：采购手续正在办理中。</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此项权重分值为10分，得分为7分。</w:t>
      </w:r>
    </w:p>
    <w:p>
      <w:pPr>
        <w:pStyle w:val="12"/>
        <w:numPr>
          <w:ilvl w:val="0"/>
          <w:numId w:val="4"/>
        </w:numPr>
        <w:spacing w:line="560" w:lineRule="exact"/>
        <w:ind w:firstLine="643"/>
        <w:rPr>
          <w:rFonts w:hint="default" w:ascii="Times New Roman" w:hAnsi="Times New Roman" w:eastAsia="楷体_GB2312" w:cs="Times New Roman"/>
          <w:b/>
          <w:bCs/>
          <w:sz w:val="32"/>
          <w:szCs w:val="32"/>
          <w:highlight w:val="none"/>
          <w:lang w:val="en-US" w:eastAsia="zh-CN"/>
        </w:rPr>
      </w:pPr>
      <w:r>
        <w:rPr>
          <w:rFonts w:hint="default" w:ascii="Times New Roman" w:hAnsi="Times New Roman" w:eastAsia="楷体_GB2312" w:cs="Times New Roman"/>
          <w:b/>
          <w:bCs/>
          <w:sz w:val="32"/>
          <w:szCs w:val="32"/>
          <w:highlight w:val="none"/>
          <w:lang w:val="en-US" w:eastAsia="zh-CN"/>
        </w:rPr>
        <w:t>项目效益情况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项目效益类指标包括项目实施效益和满意度两方面的内容，由</w:t>
      </w:r>
      <w:r>
        <w:rPr>
          <w:rFonts w:hint="eastAsia"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lang w:val="en-US" w:eastAsia="zh-CN"/>
        </w:rPr>
        <w:t>个三级指标构成，权重分为20分，实际得分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%。具体效益指标及满意度指标完成情况如下：</w:t>
      </w:r>
    </w:p>
    <w:p>
      <w:pPr>
        <w:numPr>
          <w:ilvl w:val="0"/>
          <w:numId w:val="0"/>
        </w:numPr>
        <w:shd w:val="clear"/>
        <w:spacing w:line="600" w:lineRule="exact"/>
        <w:ind w:firstLine="320" w:firstLineChars="1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实施效益</w:t>
      </w:r>
      <w:r>
        <w:rPr>
          <w:rFonts w:hint="eastAsia" w:eastAsia="仿宋_GB2312" w:cs="Times New Roman"/>
          <w:sz w:val="32"/>
          <w:szCs w:val="32"/>
          <w:highlight w:val="none"/>
          <w:lang w:val="en-US" w:eastAsia="zh-CN"/>
        </w:rPr>
        <w:t>：</w:t>
      </w:r>
    </w:p>
    <w:p>
      <w:pPr>
        <w:numPr>
          <w:ilvl w:val="0"/>
          <w:numId w:val="0"/>
        </w:num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eastAsia"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rPr>
        <w:t>社会效益指标：</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年群众服务观众人次</w:t>
      </w:r>
      <w:r>
        <w:rPr>
          <w:rFonts w:hint="default" w:ascii="Times New Roman" w:hAnsi="Times New Roman" w:eastAsia="仿宋_GB2312" w:cs="Times New Roman"/>
          <w:sz w:val="32"/>
          <w:szCs w:val="32"/>
          <w:highlight w:val="none"/>
        </w:rPr>
        <w:t>，指标值：</w:t>
      </w:r>
      <w:r>
        <w:rPr>
          <w:rFonts w:hint="eastAsia" w:ascii="宋体" w:hAnsi="宋体" w:eastAsia="宋体" w:cs="宋体"/>
          <w:color w:val="auto"/>
          <w:sz w:val="30"/>
          <w:szCs w:val="30"/>
          <w:highlight w:val="none"/>
        </w:rPr>
        <w:t>≧</w:t>
      </w:r>
      <w:r>
        <w:rPr>
          <w:rFonts w:hint="eastAsia" w:ascii="宋体" w:hAnsi="宋体" w:cs="宋体"/>
          <w:color w:val="auto"/>
          <w:sz w:val="30"/>
          <w:szCs w:val="30"/>
          <w:highlight w:val="none"/>
          <w:lang w:val="en-US" w:eastAsia="zh-CN"/>
        </w:rPr>
        <w:t>24万人次</w:t>
      </w:r>
      <w:r>
        <w:rPr>
          <w:rFonts w:hint="default" w:ascii="Times New Roman" w:hAnsi="Times New Roman" w:eastAsia="仿宋_GB2312" w:cs="Times New Roman"/>
          <w:sz w:val="32"/>
          <w:szCs w:val="32"/>
          <w:highlight w:val="none"/>
        </w:rPr>
        <w:t xml:space="preserve"> ，实际完成值：</w:t>
      </w:r>
      <w:r>
        <w:rPr>
          <w:rFonts w:hint="eastAsia" w:ascii="仿宋" w:hAnsi="仿宋" w:eastAsia="仿宋" w:cs="仿宋"/>
          <w:color w:val="auto"/>
          <w:sz w:val="30"/>
          <w:szCs w:val="30"/>
          <w:highlight w:val="none"/>
        </w:rPr>
        <w:t>=</w:t>
      </w:r>
      <w:r>
        <w:rPr>
          <w:rFonts w:hint="eastAsia" w:ascii="宋体" w:hAnsi="宋体" w:cs="宋体"/>
          <w:color w:val="auto"/>
          <w:sz w:val="30"/>
          <w:szCs w:val="30"/>
          <w:highlight w:val="none"/>
          <w:lang w:val="en-US" w:eastAsia="zh-CN"/>
        </w:rPr>
        <w:t>24万人次</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网络科普资源浏览量</w:t>
      </w:r>
      <w:r>
        <w:rPr>
          <w:rFonts w:hint="default" w:ascii="Times New Roman" w:hAnsi="Times New Roman" w:eastAsia="仿宋_GB2312" w:cs="Times New Roman"/>
          <w:sz w:val="32"/>
          <w:szCs w:val="32"/>
          <w:highlight w:val="none"/>
        </w:rPr>
        <w:t>，指标值：</w:t>
      </w:r>
      <w:r>
        <w:rPr>
          <w:rFonts w:hint="eastAsia" w:ascii="宋体" w:hAnsi="宋体" w:eastAsia="宋体" w:cs="宋体"/>
          <w:color w:val="auto"/>
          <w:sz w:val="30"/>
          <w:szCs w:val="30"/>
          <w:highlight w:val="none"/>
        </w:rPr>
        <w:t>≧</w:t>
      </w:r>
      <w:r>
        <w:rPr>
          <w:rFonts w:hint="eastAsia" w:ascii="宋体" w:hAnsi="宋体" w:cs="宋体"/>
          <w:color w:val="auto"/>
          <w:sz w:val="30"/>
          <w:szCs w:val="30"/>
          <w:highlight w:val="none"/>
          <w:lang w:val="en-US" w:eastAsia="zh-CN"/>
        </w:rPr>
        <w:t>10万人次</w:t>
      </w:r>
      <w:r>
        <w:rPr>
          <w:rFonts w:hint="default" w:ascii="Times New Roman" w:hAnsi="Times New Roman" w:eastAsia="仿宋_GB2312" w:cs="Times New Roman"/>
          <w:sz w:val="32"/>
          <w:szCs w:val="32"/>
          <w:highlight w:val="none"/>
        </w:rPr>
        <w:t xml:space="preserve"> ，实际完成值：</w:t>
      </w:r>
      <w:r>
        <w:rPr>
          <w:rFonts w:hint="eastAsia" w:ascii="仿宋" w:hAnsi="仿宋" w:eastAsia="仿宋" w:cs="仿宋"/>
          <w:color w:val="auto"/>
          <w:sz w:val="30"/>
          <w:szCs w:val="30"/>
          <w:highlight w:val="none"/>
        </w:rPr>
        <w:t>=</w:t>
      </w:r>
      <w:r>
        <w:rPr>
          <w:rFonts w:hint="eastAsia" w:ascii="宋体" w:hAnsi="宋体" w:cs="宋体"/>
          <w:color w:val="auto"/>
          <w:sz w:val="30"/>
          <w:szCs w:val="30"/>
          <w:highlight w:val="none"/>
          <w:lang w:val="en-US" w:eastAsia="zh-CN"/>
        </w:rPr>
        <w:t>10万人次</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此项权重分值为10分，得分为10分。</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2.满意度</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受益群众满意度</w:t>
      </w:r>
      <w:r>
        <w:rPr>
          <w:rFonts w:hint="default" w:ascii="Times New Roman" w:hAnsi="Times New Roman" w:eastAsia="仿宋_GB2312" w:cs="Times New Roman"/>
          <w:sz w:val="32"/>
          <w:szCs w:val="32"/>
          <w:highlight w:val="none"/>
        </w:rPr>
        <w:t>，指标值：</w:t>
      </w:r>
      <w:r>
        <w:rPr>
          <w:rFonts w:hint="eastAsia" w:ascii="宋体" w:hAnsi="宋体" w:eastAsia="宋体" w:cs="宋体"/>
          <w:color w:val="auto"/>
          <w:sz w:val="30"/>
          <w:szCs w:val="30"/>
          <w:highlight w:val="none"/>
        </w:rPr>
        <w:t>≧</w:t>
      </w:r>
      <w:r>
        <w:rPr>
          <w:rFonts w:hint="eastAsia" w:ascii="宋体" w:hAnsi="宋体" w:cs="宋体"/>
          <w:color w:val="auto"/>
          <w:sz w:val="30"/>
          <w:szCs w:val="30"/>
          <w:highlight w:val="none"/>
          <w:lang w:val="en-US" w:eastAsia="zh-CN"/>
        </w:rPr>
        <w:t>95%</w:t>
      </w:r>
      <w:r>
        <w:rPr>
          <w:rFonts w:hint="default" w:ascii="Times New Roman" w:hAnsi="Times New Roman" w:eastAsia="仿宋_GB2312" w:cs="Times New Roman"/>
          <w:sz w:val="32"/>
          <w:szCs w:val="32"/>
          <w:highlight w:val="none"/>
        </w:rPr>
        <w:t>，实际完成值：</w:t>
      </w:r>
      <w:r>
        <w:rPr>
          <w:rFonts w:hint="eastAsia" w:ascii="仿宋" w:hAnsi="仿宋" w:eastAsia="仿宋" w:cs="仿宋"/>
          <w:color w:val="auto"/>
          <w:sz w:val="30"/>
          <w:szCs w:val="30"/>
          <w:highlight w:val="none"/>
        </w:rPr>
        <w:t>=</w:t>
      </w:r>
      <w:r>
        <w:rPr>
          <w:rFonts w:hint="eastAsia" w:ascii="宋体" w:hAnsi="宋体" w:cs="宋体"/>
          <w:color w:val="auto"/>
          <w:sz w:val="30"/>
          <w:szCs w:val="30"/>
          <w:highlight w:val="none"/>
          <w:lang w:val="en-US" w:eastAsia="zh-CN"/>
        </w:rPr>
        <w:t>95%</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此项权重分值为10分，得分为10分。</w:t>
      </w:r>
    </w:p>
    <w:p>
      <w:pPr>
        <w:spacing w:line="560" w:lineRule="exact"/>
        <w:ind w:firstLine="643" w:firstLineChars="200"/>
        <w:rPr>
          <w:rFonts w:hint="default" w:ascii="Times New Roman" w:hAnsi="Times New Roman" w:eastAsia="楷体_GB2312" w:cs="Times New Roman"/>
          <w:b/>
          <w:bCs/>
          <w:sz w:val="32"/>
          <w:szCs w:val="32"/>
          <w:highlight w:val="none"/>
          <w:lang w:val="en-US" w:eastAsia="zh-Hans"/>
        </w:rPr>
      </w:pPr>
      <w:r>
        <w:rPr>
          <w:rFonts w:hint="default" w:ascii="Times New Roman" w:hAnsi="Times New Roman" w:eastAsia="楷体_GB2312" w:cs="Times New Roman"/>
          <w:b/>
          <w:bCs/>
          <w:sz w:val="32"/>
          <w:szCs w:val="32"/>
          <w:highlight w:val="none"/>
          <w:lang w:val="en-US" w:eastAsia="zh-CN"/>
        </w:rPr>
        <w:t>（五）</w:t>
      </w:r>
      <w:r>
        <w:rPr>
          <w:rFonts w:hint="default" w:ascii="Times New Roman" w:hAnsi="Times New Roman" w:eastAsia="楷体_GB2312" w:cs="Times New Roman"/>
          <w:b/>
          <w:bCs/>
          <w:sz w:val="32"/>
          <w:szCs w:val="32"/>
          <w:highlight w:val="none"/>
          <w:lang w:val="en-US" w:eastAsia="zh-Hans"/>
        </w:rPr>
        <w:t>预算执行进度与绩效指标总体完成率偏差</w:t>
      </w:r>
    </w:p>
    <w:p>
      <w:pPr>
        <w:pStyle w:val="19"/>
        <w:spacing w:line="560" w:lineRule="exact"/>
        <w:ind w:firstLine="640"/>
        <w:rPr>
          <w:rFonts w:hint="eastAsia" w:ascii="仿宋" w:hAnsi="仿宋" w:eastAsia="仿宋" w:cs="仿宋"/>
          <w:sz w:val="32"/>
          <w:szCs w:val="32"/>
          <w:highlight w:val="none"/>
        </w:rPr>
      </w:pPr>
      <w:r>
        <w:rPr>
          <w:rFonts w:hint="eastAsia" w:ascii="仿宋" w:hAnsi="仿宋" w:eastAsia="仿宋" w:cs="仿宋"/>
          <w:sz w:val="32"/>
          <w:szCs w:val="32"/>
          <w:highlight w:val="none"/>
          <w:lang w:val="en-US" w:eastAsia="zh-CN"/>
        </w:rPr>
        <w:t>巴财教[2023]46号关于提前下达2024年中央科技馆免费开放补助资金</w:t>
      </w:r>
      <w:r>
        <w:rPr>
          <w:rFonts w:hint="eastAsia" w:ascii="仿宋" w:hAnsi="仿宋" w:eastAsia="仿宋" w:cs="仿宋"/>
          <w:sz w:val="32"/>
          <w:szCs w:val="32"/>
          <w:highlight w:val="none"/>
        </w:rPr>
        <w:t>项目年初预算</w:t>
      </w:r>
      <w:r>
        <w:rPr>
          <w:rFonts w:hint="eastAsia" w:ascii="仿宋" w:hAnsi="仿宋" w:eastAsia="仿宋" w:cs="仿宋"/>
          <w:sz w:val="32"/>
          <w:szCs w:val="32"/>
          <w:highlight w:val="none"/>
          <w:lang w:val="en-US" w:eastAsia="zh-CN"/>
        </w:rPr>
        <w:t>312</w:t>
      </w:r>
      <w:r>
        <w:rPr>
          <w:rFonts w:hint="eastAsia" w:ascii="仿宋" w:hAnsi="仿宋" w:eastAsia="仿宋" w:cs="仿宋"/>
          <w:sz w:val="32"/>
          <w:szCs w:val="32"/>
          <w:highlight w:val="none"/>
        </w:rPr>
        <w:t>万元，全年预算</w:t>
      </w:r>
      <w:r>
        <w:rPr>
          <w:rFonts w:hint="eastAsia" w:ascii="仿宋" w:hAnsi="仿宋" w:eastAsia="仿宋" w:cs="仿宋"/>
          <w:sz w:val="32"/>
          <w:szCs w:val="32"/>
          <w:highlight w:val="none"/>
          <w:lang w:val="en-US" w:eastAsia="zh-CN"/>
        </w:rPr>
        <w:t>312</w:t>
      </w:r>
      <w:r>
        <w:rPr>
          <w:rFonts w:hint="eastAsia" w:ascii="仿宋" w:hAnsi="仿宋" w:eastAsia="仿宋" w:cs="仿宋"/>
          <w:sz w:val="32"/>
          <w:szCs w:val="32"/>
          <w:highlight w:val="none"/>
        </w:rPr>
        <w:t>万元，实际支出</w:t>
      </w:r>
      <w:r>
        <w:rPr>
          <w:rFonts w:hint="eastAsia" w:ascii="仿宋" w:hAnsi="仿宋" w:eastAsia="仿宋" w:cs="仿宋"/>
          <w:sz w:val="32"/>
          <w:szCs w:val="32"/>
          <w:highlight w:val="none"/>
          <w:lang w:val="en-US" w:eastAsia="zh-CN"/>
        </w:rPr>
        <w:t>190.17</w:t>
      </w:r>
      <w:r>
        <w:rPr>
          <w:rFonts w:hint="eastAsia" w:ascii="仿宋" w:hAnsi="仿宋" w:eastAsia="仿宋" w:cs="仿宋"/>
          <w:sz w:val="32"/>
          <w:szCs w:val="32"/>
          <w:highlight w:val="none"/>
        </w:rPr>
        <w:t>万元，预算执行率为</w:t>
      </w:r>
      <w:r>
        <w:rPr>
          <w:rFonts w:hint="eastAsia" w:ascii="仿宋" w:hAnsi="仿宋" w:eastAsia="仿宋" w:cs="仿宋"/>
          <w:sz w:val="32"/>
          <w:szCs w:val="32"/>
          <w:highlight w:val="none"/>
          <w:lang w:val="en-US" w:eastAsia="zh-CN"/>
        </w:rPr>
        <w:t>60.95</w:t>
      </w:r>
      <w:r>
        <w:rPr>
          <w:rFonts w:hint="eastAsia" w:ascii="仿宋" w:hAnsi="仿宋" w:eastAsia="仿宋" w:cs="仿宋"/>
          <w:sz w:val="32"/>
          <w:szCs w:val="32"/>
          <w:highlight w:val="none"/>
        </w:rPr>
        <w:t>%，项目绩效指标总体完成率为</w:t>
      </w:r>
      <w:r>
        <w:rPr>
          <w:rFonts w:hint="eastAsia" w:ascii="仿宋" w:hAnsi="仿宋" w:eastAsia="仿宋" w:cs="仿宋"/>
          <w:sz w:val="32"/>
          <w:szCs w:val="32"/>
          <w:highlight w:val="none"/>
          <w:lang w:val="en-US" w:eastAsia="zh-CN"/>
        </w:rPr>
        <w:t>86.04</w:t>
      </w:r>
      <w:r>
        <w:rPr>
          <w:rFonts w:hint="eastAsia" w:ascii="仿宋" w:hAnsi="仿宋" w:eastAsia="仿宋" w:cs="仿宋"/>
          <w:sz w:val="32"/>
          <w:szCs w:val="32"/>
          <w:highlight w:val="none"/>
        </w:rPr>
        <w:t>%，</w:t>
      </w:r>
      <w:r>
        <w:rPr>
          <w:rFonts w:hint="eastAsia" w:ascii="仿宋" w:hAnsi="仿宋" w:eastAsia="仿宋" w:cs="仿宋"/>
          <w:sz w:val="32"/>
          <w:szCs w:val="32"/>
          <w:highlight w:val="none"/>
          <w:lang w:eastAsia="zh-Hans"/>
        </w:rPr>
        <w:t>总体</w:t>
      </w:r>
      <w:r>
        <w:rPr>
          <w:rFonts w:hint="eastAsia" w:ascii="仿宋" w:hAnsi="仿宋" w:eastAsia="仿宋" w:cs="仿宋"/>
          <w:sz w:val="32"/>
          <w:szCs w:val="32"/>
          <w:highlight w:val="none"/>
        </w:rPr>
        <w:t>偏差率为</w:t>
      </w:r>
      <w:r>
        <w:rPr>
          <w:rFonts w:hint="eastAsia" w:ascii="仿宋" w:hAnsi="仿宋" w:eastAsia="仿宋" w:cs="仿宋"/>
          <w:sz w:val="32"/>
          <w:szCs w:val="32"/>
          <w:highlight w:val="none"/>
          <w:lang w:val="en-US" w:eastAsia="zh-CN"/>
        </w:rPr>
        <w:t>25.09</w:t>
      </w:r>
      <w:r>
        <w:rPr>
          <w:rFonts w:hint="eastAsia" w:ascii="仿宋" w:hAnsi="仿宋" w:eastAsia="仿宋" w:cs="仿宋"/>
          <w:sz w:val="32"/>
          <w:szCs w:val="32"/>
          <w:highlight w:val="none"/>
        </w:rPr>
        <w:t>%</w:t>
      </w:r>
      <w:r>
        <w:rPr>
          <w:rFonts w:hint="eastAsia" w:ascii="仿宋" w:hAnsi="仿宋" w:eastAsia="仿宋" w:cs="仿宋"/>
          <w:highlight w:val="none"/>
          <w:lang w:eastAsia="zh-CN"/>
        </w:rPr>
        <w:t>，</w:t>
      </w:r>
      <w:r>
        <w:rPr>
          <w:rFonts w:hint="eastAsia" w:ascii="仿宋" w:hAnsi="仿宋" w:eastAsia="仿宋" w:cs="仿宋"/>
          <w:sz w:val="32"/>
          <w:szCs w:val="32"/>
          <w:highlight w:val="none"/>
          <w:lang w:eastAsia="zh-Hans"/>
        </w:rPr>
        <w:t>偏差</w:t>
      </w:r>
      <w:r>
        <w:rPr>
          <w:rFonts w:hint="eastAsia" w:ascii="仿宋" w:hAnsi="仿宋" w:eastAsia="仿宋" w:cs="仿宋"/>
          <w:sz w:val="32"/>
          <w:szCs w:val="32"/>
          <w:highlight w:val="none"/>
        </w:rPr>
        <w:t>原因</w:t>
      </w:r>
      <w:r>
        <w:rPr>
          <w:rFonts w:hint="eastAsia" w:ascii="仿宋" w:hAnsi="仿宋" w:eastAsia="仿宋" w:cs="仿宋"/>
          <w:sz w:val="32"/>
          <w:szCs w:val="32"/>
          <w:highlight w:val="none"/>
          <w:lang w:val="en-US" w:eastAsia="zh-CN"/>
        </w:rPr>
        <w:t>乡村科普馆新展项按照合同签订时间支付，对科普活动、宣传等采购手续正在办理中</w:t>
      </w:r>
      <w:r>
        <w:rPr>
          <w:rFonts w:hint="eastAsia" w:ascii="仿宋" w:hAnsi="仿宋" w:eastAsia="仿宋" w:cs="仿宋"/>
          <w:sz w:val="32"/>
          <w:szCs w:val="32"/>
          <w:highlight w:val="none"/>
        </w:rPr>
        <w:t>，</w:t>
      </w:r>
      <w:r>
        <w:rPr>
          <w:rFonts w:hint="eastAsia" w:ascii="仿宋" w:hAnsi="仿宋" w:eastAsia="仿宋" w:cs="仿宋"/>
          <w:sz w:val="32"/>
          <w:szCs w:val="32"/>
          <w:highlight w:val="none"/>
          <w:lang w:eastAsia="zh-Hans"/>
        </w:rPr>
        <w:t>改进</w:t>
      </w:r>
      <w:r>
        <w:rPr>
          <w:rFonts w:hint="eastAsia" w:ascii="仿宋" w:hAnsi="仿宋" w:eastAsia="仿宋" w:cs="仿宋"/>
          <w:sz w:val="32"/>
          <w:szCs w:val="32"/>
          <w:highlight w:val="none"/>
        </w:rPr>
        <w:t>措施</w:t>
      </w:r>
      <w:r>
        <w:rPr>
          <w:rFonts w:hint="eastAsia" w:ascii="仿宋" w:hAnsi="仿宋" w:eastAsia="仿宋" w:cs="仿宋"/>
          <w:sz w:val="32"/>
          <w:szCs w:val="32"/>
          <w:highlight w:val="none"/>
          <w:lang w:val="en-US" w:eastAsia="zh-CN"/>
        </w:rPr>
        <w:t>记录支付时间到期及时办理展项和采购支付手续，加快资金支付进度</w:t>
      </w:r>
      <w:r>
        <w:rPr>
          <w:rFonts w:hint="eastAsia" w:ascii="仿宋" w:hAnsi="仿宋" w:eastAsia="仿宋" w:cs="仿宋"/>
          <w:sz w:val="32"/>
          <w:szCs w:val="32"/>
          <w:highlight w:val="none"/>
        </w:rPr>
        <w:t>。</w:t>
      </w:r>
    </w:p>
    <w:p>
      <w:pPr>
        <w:spacing w:line="560" w:lineRule="exact"/>
        <w:ind w:firstLine="640" w:firstLineChars="200"/>
        <w:rPr>
          <w:rStyle w:val="18"/>
          <w:rFonts w:hint="default" w:ascii="Times New Roman" w:hAnsi="Times New Roman" w:cs="Times New Roman"/>
          <w:color w:val="auto"/>
          <w:highlight w:val="none"/>
        </w:rPr>
      </w:pPr>
      <w:r>
        <w:rPr>
          <w:rFonts w:hint="eastAsia" w:eastAsia="黑体" w:cs="Times New Roman"/>
          <w:sz w:val="32"/>
          <w:szCs w:val="32"/>
          <w:highlight w:val="none"/>
          <w:lang w:val="en-US" w:eastAsia="zh-CN"/>
        </w:rPr>
        <w:t>五</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黑体" w:cs="Times New Roman"/>
          <w:sz w:val="32"/>
          <w:szCs w:val="32"/>
          <w:highlight w:val="none"/>
        </w:rPr>
        <w:t>主要经验及做法、存在的问题及原因分析</w:t>
      </w:r>
    </w:p>
    <w:p>
      <w:pPr>
        <w:spacing w:line="560" w:lineRule="exact"/>
        <w:ind w:firstLine="627" w:firstLineChars="200"/>
        <w:rPr>
          <w:rFonts w:hint="default" w:ascii="Times New Roman" w:hAnsi="Times New Roman" w:eastAsia="楷体" w:cs="Times New Roman"/>
          <w:b/>
          <w:spacing w:val="-4"/>
          <w:sz w:val="32"/>
          <w:szCs w:val="32"/>
          <w:highlight w:val="none"/>
        </w:rPr>
      </w:pPr>
      <w:r>
        <w:rPr>
          <w:rFonts w:hint="default" w:ascii="Times New Roman" w:hAnsi="Times New Roman" w:eastAsia="楷体" w:cs="Times New Roman"/>
          <w:b/>
          <w:spacing w:val="-4"/>
          <w:sz w:val="32"/>
          <w:szCs w:val="32"/>
          <w:highlight w:val="none"/>
        </w:rPr>
        <w:t>（一）主要经验及做法</w:t>
      </w:r>
    </w:p>
    <w:p>
      <w:pPr>
        <w:spacing w:line="560" w:lineRule="exact"/>
        <w:ind w:firstLine="600" w:firstLineChars="200"/>
        <w:contextualSpacing/>
        <w:rPr>
          <w:rFonts w:hint="default" w:ascii="仿宋" w:hAnsi="仿宋" w:eastAsia="仿宋" w:cs="仿宋"/>
          <w:b w:val="0"/>
          <w:bCs w:val="0"/>
          <w:color w:val="auto"/>
          <w:kern w:val="2"/>
          <w:sz w:val="30"/>
          <w:szCs w:val="30"/>
          <w:highlight w:val="none"/>
          <w:lang w:val="en-US" w:eastAsia="zh-CN" w:bidi="ar-SA"/>
        </w:rPr>
      </w:pPr>
      <w:r>
        <w:rPr>
          <w:rFonts w:hint="default" w:ascii="仿宋" w:hAnsi="仿宋" w:eastAsia="仿宋" w:cs="仿宋"/>
          <w:b w:val="0"/>
          <w:bCs w:val="0"/>
          <w:color w:val="auto"/>
          <w:kern w:val="2"/>
          <w:sz w:val="30"/>
          <w:szCs w:val="30"/>
          <w:highlight w:val="none"/>
          <w:lang w:val="en-US" w:eastAsia="zh-CN" w:bidi="ar-SA"/>
        </w:rPr>
        <w:t>1. 强化组织领导，规范资金管理流程​</w:t>
      </w:r>
    </w:p>
    <w:p>
      <w:pPr>
        <w:spacing w:line="560" w:lineRule="exact"/>
        <w:ind w:firstLine="600" w:firstLineChars="200"/>
        <w:contextualSpacing/>
        <w:rPr>
          <w:rFonts w:hint="default" w:ascii="仿宋" w:hAnsi="仿宋" w:eastAsia="仿宋" w:cs="仿宋"/>
          <w:b w:val="0"/>
          <w:bCs w:val="0"/>
          <w:color w:val="auto"/>
          <w:kern w:val="2"/>
          <w:sz w:val="30"/>
          <w:szCs w:val="30"/>
          <w:highlight w:val="none"/>
          <w:lang w:val="en-US" w:eastAsia="zh-CN" w:bidi="ar-SA"/>
        </w:rPr>
      </w:pPr>
      <w:r>
        <w:rPr>
          <w:rFonts w:hint="default" w:ascii="仿宋" w:hAnsi="仿宋" w:eastAsia="仿宋" w:cs="仿宋"/>
          <w:b w:val="0"/>
          <w:bCs w:val="0"/>
          <w:color w:val="auto"/>
          <w:kern w:val="2"/>
          <w:sz w:val="30"/>
          <w:szCs w:val="30"/>
          <w:highlight w:val="none"/>
          <w:lang w:val="en-US" w:eastAsia="zh-CN" w:bidi="ar-SA"/>
        </w:rPr>
        <w:t>成立由科技馆领导班子牵头、各部门负责人参与的项目管理专项小组，明确各成员职责分工，将资金使用与项目执行纳入年度重点工作任务。严格遵循 “先预算，后支出；先研究，后执行” 的原则，在年初科学编制资金预算方案，细化展品更新、科普活动开展、场馆维护等各项支出科目。建立多级审核机制，对每一笔资金支出进行严格把关，确保资金使用规范、透明，有效提高了资金使用效率。​</w:t>
      </w:r>
    </w:p>
    <w:p>
      <w:pPr>
        <w:spacing w:line="560" w:lineRule="exact"/>
        <w:ind w:firstLine="600" w:firstLineChars="200"/>
        <w:contextualSpacing/>
        <w:rPr>
          <w:rFonts w:hint="default" w:ascii="仿宋" w:hAnsi="仿宋" w:eastAsia="仿宋" w:cs="仿宋"/>
          <w:b w:val="0"/>
          <w:bCs w:val="0"/>
          <w:color w:val="auto"/>
          <w:kern w:val="2"/>
          <w:sz w:val="30"/>
          <w:szCs w:val="30"/>
          <w:highlight w:val="none"/>
          <w:lang w:val="en-US" w:eastAsia="zh-CN" w:bidi="ar-SA"/>
        </w:rPr>
      </w:pPr>
      <w:r>
        <w:rPr>
          <w:rFonts w:hint="default" w:ascii="仿宋" w:hAnsi="仿宋" w:eastAsia="仿宋" w:cs="仿宋"/>
          <w:b w:val="0"/>
          <w:bCs w:val="0"/>
          <w:color w:val="auto"/>
          <w:kern w:val="2"/>
          <w:sz w:val="30"/>
          <w:szCs w:val="30"/>
          <w:highlight w:val="none"/>
          <w:lang w:val="en-US" w:eastAsia="zh-CN" w:bidi="ar-SA"/>
        </w:rPr>
        <w:t>2. 完善制度体系，健全监督考核机制​</w:t>
      </w:r>
    </w:p>
    <w:p>
      <w:pPr>
        <w:spacing w:line="560" w:lineRule="exact"/>
        <w:ind w:firstLine="600" w:firstLineChars="200"/>
        <w:contextualSpacing/>
        <w:rPr>
          <w:rFonts w:hint="default" w:ascii="仿宋" w:hAnsi="仿宋" w:eastAsia="仿宋" w:cs="仿宋"/>
          <w:b w:val="0"/>
          <w:bCs w:val="0"/>
          <w:color w:val="auto"/>
          <w:kern w:val="2"/>
          <w:sz w:val="30"/>
          <w:szCs w:val="30"/>
          <w:highlight w:val="none"/>
          <w:lang w:val="en-US" w:eastAsia="zh-CN" w:bidi="ar-SA"/>
        </w:rPr>
      </w:pPr>
      <w:r>
        <w:rPr>
          <w:rFonts w:hint="default" w:ascii="仿宋" w:hAnsi="仿宋" w:eastAsia="仿宋" w:cs="仿宋"/>
          <w:b w:val="0"/>
          <w:bCs w:val="0"/>
          <w:color w:val="auto"/>
          <w:kern w:val="2"/>
          <w:sz w:val="30"/>
          <w:szCs w:val="30"/>
          <w:highlight w:val="none"/>
          <w:lang w:val="en-US" w:eastAsia="zh-CN" w:bidi="ar-SA"/>
        </w:rPr>
        <w:t>结合本地实际情况，制定了涵盖项目立项、实施、验收等全流程的管理制度，包括《科技馆免费开放资金使用管理办法》《科普活动组织实施规范》《展品维护保养制度》等。同时，建立了内部监督与外部审计相结合的监督体系，定期对项目实施情况进行检查和评估，及时发现并解决问题。将项目绩效与部门和个人考核挂钩，对表现优秀的团队和个人给予奖励，对未达标的进行督促整改，形成了有效的激励约束机制，保障了各类科普项目顺利、规范、有序实施。​</w:t>
      </w:r>
    </w:p>
    <w:p>
      <w:pPr>
        <w:spacing w:line="560" w:lineRule="exact"/>
        <w:ind w:firstLine="600" w:firstLineChars="200"/>
        <w:contextualSpacing/>
        <w:rPr>
          <w:rFonts w:hint="default" w:ascii="仿宋" w:hAnsi="仿宋" w:eastAsia="仿宋" w:cs="仿宋"/>
          <w:b w:val="0"/>
          <w:bCs w:val="0"/>
          <w:color w:val="auto"/>
          <w:kern w:val="2"/>
          <w:sz w:val="30"/>
          <w:szCs w:val="30"/>
          <w:highlight w:val="none"/>
          <w:lang w:val="en-US" w:eastAsia="zh-CN" w:bidi="ar-SA"/>
        </w:rPr>
      </w:pPr>
      <w:r>
        <w:rPr>
          <w:rFonts w:hint="default" w:ascii="仿宋" w:hAnsi="仿宋" w:eastAsia="仿宋" w:cs="仿宋"/>
          <w:b w:val="0"/>
          <w:bCs w:val="0"/>
          <w:color w:val="auto"/>
          <w:kern w:val="2"/>
          <w:sz w:val="30"/>
          <w:szCs w:val="30"/>
          <w:highlight w:val="none"/>
          <w:lang w:val="en-US" w:eastAsia="zh-CN" w:bidi="ar-SA"/>
        </w:rPr>
        <w:t>3. 整合多方资源，提升科普服务效能​</w:t>
      </w:r>
    </w:p>
    <w:p>
      <w:pPr>
        <w:spacing w:line="560" w:lineRule="exact"/>
        <w:ind w:firstLine="600" w:firstLineChars="200"/>
        <w:contextualSpacing/>
        <w:rPr>
          <w:rFonts w:hint="default" w:ascii="Times New Roman" w:hAnsi="Times New Roman" w:eastAsia="仿宋_GB2312" w:cs="Times New Roman"/>
          <w:b w:val="0"/>
          <w:bCs w:val="0"/>
          <w:kern w:val="2"/>
          <w:sz w:val="32"/>
          <w:szCs w:val="32"/>
          <w:highlight w:val="none"/>
          <w:lang w:val="en-US" w:eastAsia="zh-CN" w:bidi="ar-SA"/>
        </w:rPr>
      </w:pPr>
      <w:r>
        <w:rPr>
          <w:rFonts w:hint="default" w:ascii="仿宋" w:hAnsi="仿宋" w:eastAsia="仿宋" w:cs="仿宋"/>
          <w:b w:val="0"/>
          <w:bCs w:val="0"/>
          <w:color w:val="auto"/>
          <w:kern w:val="2"/>
          <w:sz w:val="30"/>
          <w:szCs w:val="30"/>
          <w:highlight w:val="none"/>
          <w:lang w:val="en-US" w:eastAsia="zh-CN" w:bidi="ar-SA"/>
        </w:rPr>
        <w:t>积极整合政府、企业、学校、社会组织等多方资源，共同推进科技馆科普工作。与高校、科研机构合作，引入专业人才和先进技术，提升展品研发和科普活动策划水平；联合企业开展赞助合作，拓宽资金来源渠道，为科普活动的丰富开展提供支持；携手社区、学校，广泛开展科普进基层活动，扩大科普服务覆盖面。通过资源整合，实现了优势互补，充分发挥了科技馆在提升全民科学素质、服务社会发展中的重要作用，取得了显著的社会效益。</w:t>
      </w:r>
    </w:p>
    <w:p>
      <w:pPr>
        <w:keepNext/>
        <w:keepLines/>
        <w:numPr>
          <w:ilvl w:val="0"/>
          <w:numId w:val="5"/>
        </w:numPr>
        <w:spacing w:line="560" w:lineRule="exact"/>
        <w:ind w:firstLine="643" w:firstLineChars="200"/>
        <w:rPr>
          <w:rFonts w:hint="default" w:ascii="Times New Roman" w:hAnsi="Times New Roman" w:eastAsia="楷体_GB2312" w:cs="Times New Roman"/>
          <w:b/>
          <w:bCs/>
          <w:sz w:val="32"/>
          <w:szCs w:val="32"/>
          <w:highlight w:val="none"/>
        </w:rPr>
      </w:pPr>
      <w:r>
        <w:rPr>
          <w:rFonts w:hint="default" w:ascii="Times New Roman" w:hAnsi="Times New Roman" w:eastAsia="楷体_GB2312" w:cs="Times New Roman"/>
          <w:b/>
          <w:bCs/>
          <w:sz w:val="32"/>
          <w:szCs w:val="32"/>
          <w:highlight w:val="none"/>
        </w:rPr>
        <w:t>存在的问题及原因分析</w:t>
      </w:r>
    </w:p>
    <w:p>
      <w:pPr>
        <w:spacing w:line="560" w:lineRule="exact"/>
        <w:ind w:firstLine="600" w:firstLineChars="200"/>
        <w:contextualSpacing/>
        <w:rPr>
          <w:rFonts w:hint="eastAsia" w:ascii="仿宋" w:hAnsi="仿宋" w:eastAsia="仿宋" w:cs="仿宋"/>
          <w:b w:val="0"/>
          <w:bCs w:val="0"/>
          <w:color w:val="auto"/>
          <w:kern w:val="2"/>
          <w:sz w:val="30"/>
          <w:szCs w:val="30"/>
          <w:highlight w:val="none"/>
          <w:lang w:val="en-US" w:eastAsia="zh-CN" w:bidi="ar-SA"/>
        </w:rPr>
      </w:pPr>
      <w:r>
        <w:rPr>
          <w:rFonts w:hint="default" w:ascii="仿宋" w:hAnsi="仿宋" w:eastAsia="仿宋" w:cs="仿宋"/>
          <w:b w:val="0"/>
          <w:bCs w:val="0"/>
          <w:color w:val="auto"/>
          <w:kern w:val="2"/>
          <w:sz w:val="30"/>
          <w:szCs w:val="30"/>
          <w:highlight w:val="none"/>
          <w:lang w:val="en-US" w:eastAsia="zh-CN" w:bidi="ar-SA"/>
        </w:rPr>
        <w:t>1. 存在的问题​</w:t>
      </w:r>
    </w:p>
    <w:p>
      <w:pPr>
        <w:spacing w:line="560" w:lineRule="exact"/>
        <w:ind w:firstLine="600" w:firstLineChars="200"/>
        <w:contextualSpacing/>
        <w:rPr>
          <w:rFonts w:hint="eastAsia" w:ascii="仿宋" w:hAnsi="仿宋" w:eastAsia="仿宋" w:cs="仿宋"/>
          <w:b w:val="0"/>
          <w:bCs w:val="0"/>
          <w:color w:val="auto"/>
          <w:kern w:val="2"/>
          <w:sz w:val="30"/>
          <w:szCs w:val="30"/>
          <w:highlight w:val="none"/>
          <w:lang w:val="en-US" w:eastAsia="zh-CN" w:bidi="ar-SA"/>
        </w:rPr>
      </w:pPr>
      <w:r>
        <w:rPr>
          <w:rFonts w:hint="default" w:ascii="仿宋" w:hAnsi="仿宋" w:eastAsia="仿宋" w:cs="仿宋"/>
          <w:b w:val="0"/>
          <w:bCs w:val="0"/>
          <w:color w:val="auto"/>
          <w:kern w:val="2"/>
          <w:sz w:val="30"/>
          <w:szCs w:val="30"/>
          <w:highlight w:val="none"/>
          <w:lang w:val="en-US" w:eastAsia="zh-CN" w:bidi="ar-SA"/>
        </w:rPr>
        <w:t>人员结构不稳定：科技馆人员编制有限，大量聘用人员承担主要工作。由于聘用人员待遇相对较低、职业发展空间有限，导致人员流动性大，频繁的人员更替给场馆日常运营、科普活动组织以及展品维护等工作带来诸多困难，影响了工作的连续性和稳定性。​</w:t>
      </w:r>
    </w:p>
    <w:p>
      <w:pPr>
        <w:spacing w:line="560" w:lineRule="exact"/>
        <w:ind w:firstLine="600" w:firstLineChars="200"/>
        <w:contextualSpacing/>
        <w:rPr>
          <w:rFonts w:hint="eastAsia" w:ascii="仿宋" w:hAnsi="仿宋" w:eastAsia="仿宋" w:cs="仿宋"/>
          <w:b w:val="0"/>
          <w:bCs w:val="0"/>
          <w:color w:val="auto"/>
          <w:kern w:val="2"/>
          <w:sz w:val="30"/>
          <w:szCs w:val="30"/>
          <w:highlight w:val="none"/>
          <w:lang w:val="en-US" w:eastAsia="zh-CN" w:bidi="ar-SA"/>
        </w:rPr>
      </w:pPr>
      <w:r>
        <w:rPr>
          <w:rFonts w:hint="default" w:ascii="仿宋" w:hAnsi="仿宋" w:eastAsia="仿宋" w:cs="仿宋"/>
          <w:b w:val="0"/>
          <w:bCs w:val="0"/>
          <w:color w:val="auto"/>
          <w:kern w:val="2"/>
          <w:sz w:val="30"/>
          <w:szCs w:val="30"/>
          <w:highlight w:val="none"/>
          <w:lang w:val="en-US" w:eastAsia="zh-CN" w:bidi="ar-SA"/>
        </w:rPr>
        <w:t>展项维护压力大：随着科技馆知名度的提升，参观游客数量不断增加，展品展项使用频率大幅提高，损坏率居高不下。然而，馆内缺乏专业的维护维修团队，现有工作人员相关技能不足，遇到复杂的设备故障难以快速修复，导致部分展品长时间无法正常运行，降低了参观者的体验感。​</w:t>
      </w:r>
    </w:p>
    <w:p>
      <w:pPr>
        <w:spacing w:line="560" w:lineRule="exact"/>
        <w:ind w:firstLine="600" w:firstLineChars="200"/>
        <w:contextualSpacing/>
        <w:rPr>
          <w:rFonts w:hint="eastAsia" w:ascii="仿宋" w:hAnsi="仿宋" w:eastAsia="仿宋" w:cs="仿宋"/>
          <w:b w:val="0"/>
          <w:bCs w:val="0"/>
          <w:color w:val="auto"/>
          <w:kern w:val="2"/>
          <w:sz w:val="30"/>
          <w:szCs w:val="30"/>
          <w:highlight w:val="none"/>
          <w:lang w:val="en-US" w:eastAsia="zh-CN" w:bidi="ar-SA"/>
        </w:rPr>
      </w:pPr>
      <w:r>
        <w:rPr>
          <w:rFonts w:hint="default" w:ascii="仿宋" w:hAnsi="仿宋" w:eastAsia="仿宋" w:cs="仿宋"/>
          <w:b w:val="0"/>
          <w:bCs w:val="0"/>
          <w:color w:val="auto"/>
          <w:kern w:val="2"/>
          <w:sz w:val="30"/>
          <w:szCs w:val="30"/>
          <w:highlight w:val="none"/>
          <w:lang w:val="en-US" w:eastAsia="zh-CN" w:bidi="ar-SA"/>
        </w:rPr>
        <w:t>科普创新动力不足：受科普活动经费限制，科技馆在展览内容更新、科普形式创新方面投入有限。展览内容更新周期较长，难以紧跟科技发展前沿，无法及时展示最新的科技成果和应用；科普活动形式较为传统，多以讲解、展示为主，缺乏互动性、趣味性和创新性，难以充分激发参观者尤其是青少年的兴趣和参与热情。​</w:t>
      </w:r>
    </w:p>
    <w:p>
      <w:pPr>
        <w:spacing w:line="560" w:lineRule="exact"/>
        <w:ind w:firstLine="600" w:firstLineChars="200"/>
        <w:contextualSpacing/>
        <w:rPr>
          <w:rFonts w:hint="default" w:ascii="仿宋" w:hAnsi="仿宋" w:eastAsia="仿宋" w:cs="仿宋"/>
          <w:b w:val="0"/>
          <w:bCs w:val="0"/>
          <w:color w:val="auto"/>
          <w:kern w:val="2"/>
          <w:sz w:val="30"/>
          <w:szCs w:val="30"/>
          <w:highlight w:val="none"/>
          <w:lang w:val="en-US" w:eastAsia="zh-CN" w:bidi="ar-SA"/>
        </w:rPr>
      </w:pPr>
      <w:r>
        <w:rPr>
          <w:rFonts w:hint="default" w:ascii="仿宋" w:hAnsi="仿宋" w:eastAsia="仿宋" w:cs="仿宋"/>
          <w:b w:val="0"/>
          <w:bCs w:val="0"/>
          <w:color w:val="auto"/>
          <w:kern w:val="2"/>
          <w:sz w:val="30"/>
          <w:szCs w:val="30"/>
          <w:highlight w:val="none"/>
          <w:lang w:val="en-US" w:eastAsia="zh-CN" w:bidi="ar-SA"/>
        </w:rPr>
        <w:t>2. 原因分析​</w:t>
      </w:r>
    </w:p>
    <w:p>
      <w:pPr>
        <w:spacing w:line="560" w:lineRule="exact"/>
        <w:ind w:firstLine="600" w:firstLineChars="200"/>
        <w:contextualSpacing/>
        <w:rPr>
          <w:rFonts w:hint="eastAsia" w:ascii="仿宋" w:hAnsi="仿宋" w:eastAsia="仿宋" w:cs="仿宋"/>
          <w:b w:val="0"/>
          <w:bCs w:val="0"/>
          <w:color w:val="auto"/>
          <w:kern w:val="2"/>
          <w:sz w:val="30"/>
          <w:szCs w:val="30"/>
          <w:highlight w:val="none"/>
          <w:lang w:val="en-US" w:eastAsia="zh-CN" w:bidi="ar-SA"/>
        </w:rPr>
      </w:pPr>
      <w:r>
        <w:rPr>
          <w:rFonts w:hint="default" w:ascii="仿宋" w:hAnsi="仿宋" w:eastAsia="仿宋" w:cs="仿宋"/>
          <w:b w:val="0"/>
          <w:bCs w:val="0"/>
          <w:color w:val="auto"/>
          <w:kern w:val="2"/>
          <w:sz w:val="30"/>
          <w:szCs w:val="30"/>
          <w:highlight w:val="none"/>
          <w:lang w:val="en-US" w:eastAsia="zh-CN" w:bidi="ar-SA"/>
        </w:rPr>
        <w:t>体制机制制约：科技馆人员编制管理僵化，难以根据实际工作需求灵活调整人员数量和结构。在薪酬待遇方面，缺乏有效的激励机制，无法吸引和留住优秀人才，导致人员流失严重。同时，对于展品维护和更新，缺乏专项的资金保障和政策支持，使得展项维护和展览创新工作推进困难。​</w:t>
      </w:r>
    </w:p>
    <w:p>
      <w:pPr>
        <w:spacing w:line="560" w:lineRule="exact"/>
        <w:ind w:firstLine="600" w:firstLineChars="200"/>
        <w:contextualSpacing/>
        <w:rPr>
          <w:rFonts w:hint="eastAsia" w:ascii="仿宋" w:hAnsi="仿宋" w:eastAsia="仿宋" w:cs="仿宋"/>
          <w:b w:val="0"/>
          <w:bCs w:val="0"/>
          <w:color w:val="auto"/>
          <w:kern w:val="2"/>
          <w:sz w:val="30"/>
          <w:szCs w:val="30"/>
          <w:highlight w:val="none"/>
          <w:lang w:val="en-US" w:eastAsia="zh-CN" w:bidi="ar-SA"/>
        </w:rPr>
      </w:pPr>
      <w:r>
        <w:rPr>
          <w:rFonts w:hint="default" w:ascii="仿宋" w:hAnsi="仿宋" w:eastAsia="仿宋" w:cs="仿宋"/>
          <w:b w:val="0"/>
          <w:bCs w:val="0"/>
          <w:color w:val="auto"/>
          <w:kern w:val="2"/>
          <w:sz w:val="30"/>
          <w:szCs w:val="30"/>
          <w:highlight w:val="none"/>
          <w:lang w:val="en-US" w:eastAsia="zh-CN" w:bidi="ar-SA"/>
        </w:rPr>
        <w:t>专业人才匮乏：科普行业对专业人才的需求具有特殊性，既需要具备扎实的科学知识，又要掌握科普传播技巧和展品维护技能。但目前相关专业人才培养体系不完善，人才供给不足。科技馆自身在人才培养和引进方面缺乏吸引力，难以组建专业的维护维修和科普创新团队，限制了科普服务质量的提升。​</w:t>
      </w:r>
    </w:p>
    <w:p>
      <w:pPr>
        <w:spacing w:line="560" w:lineRule="exact"/>
        <w:ind w:firstLine="600" w:firstLineChars="200"/>
        <w:contextualSpacing/>
        <w:rPr>
          <w:rFonts w:hint="default" w:ascii="仿宋" w:hAnsi="仿宋" w:eastAsia="仿宋" w:cs="仿宋"/>
          <w:b w:val="0"/>
          <w:bCs w:val="0"/>
          <w:color w:val="auto"/>
          <w:kern w:val="2"/>
          <w:sz w:val="30"/>
          <w:szCs w:val="30"/>
          <w:highlight w:val="none"/>
          <w:lang w:val="en-US" w:eastAsia="zh-CN" w:bidi="ar-SA"/>
        </w:rPr>
      </w:pPr>
      <w:r>
        <w:rPr>
          <w:rFonts w:hint="default" w:ascii="仿宋" w:hAnsi="仿宋" w:eastAsia="仿宋" w:cs="仿宋"/>
          <w:b w:val="0"/>
          <w:bCs w:val="0"/>
          <w:color w:val="auto"/>
          <w:kern w:val="2"/>
          <w:sz w:val="30"/>
          <w:szCs w:val="30"/>
          <w:highlight w:val="none"/>
          <w:lang w:val="en-US" w:eastAsia="zh-CN" w:bidi="ar-SA"/>
        </w:rPr>
        <w:t>资金来源单一：科技馆运营和科普项目开展主要依赖财政拨款，社会资金参与度较低。随着科普事业的发展和公众对科普服务需求的不断增加，有限的财政资金难以满足科技馆在人员、设备、活动等多方面的支出需求，资金短缺成为制约科技馆发展的重要因素，导致科普活动经费紧张、展览更新缓慢等问题。</w:t>
      </w:r>
    </w:p>
    <w:p>
      <w:pPr>
        <w:spacing w:line="560" w:lineRule="exact"/>
        <w:ind w:firstLine="640" w:firstLineChars="200"/>
        <w:rPr>
          <w:rFonts w:hint="eastAsia" w:ascii="仿宋" w:hAnsi="仿宋" w:eastAsia="仿宋" w:cs="仿宋"/>
          <w:b w:val="0"/>
          <w:bCs w:val="0"/>
          <w:color w:val="auto"/>
          <w:kern w:val="2"/>
          <w:sz w:val="30"/>
          <w:szCs w:val="30"/>
          <w:highlight w:val="none"/>
          <w:lang w:val="en-US" w:eastAsia="zh-CN" w:bidi="ar-SA"/>
        </w:rPr>
      </w:pPr>
      <w:r>
        <w:rPr>
          <w:rFonts w:hint="eastAsia" w:ascii="Times New Roman" w:hAnsi="Times New Roman" w:eastAsia="黑体" w:cs="Times New Roman"/>
          <w:sz w:val="32"/>
          <w:szCs w:val="32"/>
          <w:highlight w:val="none"/>
          <w:lang w:val="en-US" w:eastAsia="zh-CN"/>
        </w:rPr>
        <w:t>六</w:t>
      </w:r>
      <w:r>
        <w:rPr>
          <w:rFonts w:hint="default" w:ascii="Times New Roman" w:hAnsi="Times New Roman" w:eastAsia="黑体" w:cs="Times New Roman"/>
          <w:sz w:val="32"/>
          <w:szCs w:val="32"/>
          <w:highlight w:val="none"/>
          <w:lang w:val="en-US" w:eastAsia="zh-CN"/>
        </w:rPr>
        <w:t>.</w:t>
      </w:r>
      <w:r>
        <w:rPr>
          <w:rFonts w:hint="default" w:ascii="Times New Roman" w:hAnsi="Times New Roman" w:eastAsia="黑体" w:cs="Times New Roman"/>
          <w:sz w:val="32"/>
          <w:szCs w:val="32"/>
          <w:highlight w:val="none"/>
        </w:rPr>
        <w:t>有关建议</w:t>
      </w:r>
    </w:p>
    <w:p>
      <w:pPr>
        <w:spacing w:line="560" w:lineRule="exact"/>
        <w:ind w:firstLine="600" w:firstLineChars="200"/>
        <w:contextualSpacing/>
        <w:rPr>
          <w:rFonts w:hint="default" w:ascii="仿宋" w:hAnsi="仿宋" w:eastAsia="仿宋" w:cs="仿宋"/>
          <w:b w:val="0"/>
          <w:bCs w:val="0"/>
          <w:color w:val="auto"/>
          <w:kern w:val="2"/>
          <w:sz w:val="30"/>
          <w:szCs w:val="30"/>
          <w:highlight w:val="none"/>
          <w:lang w:val="en-US" w:eastAsia="zh-CN" w:bidi="ar-SA"/>
        </w:rPr>
      </w:pPr>
      <w:r>
        <w:rPr>
          <w:rFonts w:hint="default" w:ascii="仿宋" w:hAnsi="仿宋" w:eastAsia="仿宋" w:cs="仿宋"/>
          <w:b w:val="0"/>
          <w:bCs w:val="0"/>
          <w:color w:val="auto"/>
          <w:kern w:val="2"/>
          <w:sz w:val="30"/>
          <w:szCs w:val="30"/>
          <w:highlight w:val="none"/>
          <w:lang w:val="en-US" w:eastAsia="zh-CN" w:bidi="ar-SA"/>
        </w:rPr>
        <w:t>一、优化人员管理体制，稳定人才队伍​</w:t>
      </w:r>
    </w:p>
    <w:p>
      <w:pPr>
        <w:spacing w:line="560" w:lineRule="exact"/>
        <w:ind w:firstLine="600" w:firstLineChars="200"/>
        <w:contextualSpacing/>
        <w:rPr>
          <w:rFonts w:hint="default" w:ascii="仿宋" w:hAnsi="仿宋" w:eastAsia="仿宋" w:cs="仿宋"/>
          <w:b w:val="0"/>
          <w:bCs w:val="0"/>
          <w:color w:val="auto"/>
          <w:kern w:val="2"/>
          <w:sz w:val="30"/>
          <w:szCs w:val="30"/>
          <w:highlight w:val="none"/>
          <w:lang w:val="en-US" w:eastAsia="zh-CN" w:bidi="ar-SA"/>
        </w:rPr>
      </w:pPr>
      <w:r>
        <w:rPr>
          <w:rFonts w:hint="default" w:ascii="仿宋" w:hAnsi="仿宋" w:eastAsia="仿宋" w:cs="仿宋"/>
          <w:b w:val="0"/>
          <w:bCs w:val="0"/>
          <w:color w:val="auto"/>
          <w:kern w:val="2"/>
          <w:sz w:val="30"/>
          <w:szCs w:val="30"/>
          <w:highlight w:val="none"/>
          <w:lang w:val="en-US" w:eastAsia="zh-CN" w:bidi="ar-SA"/>
        </w:rPr>
        <w:t>积极与编制管理部门沟通，结合科技馆实际工作需求，申请增加专业技术人员编制，尤其是科普策划、展品维护等关键岗位编制。同时，建议出台针对科技馆聘用人员的优惠政策，如给予岗位补贴、提供晋升通道等，提高聘用人员待遇和职业归属感，降低人员流失率。​</w:t>
      </w:r>
    </w:p>
    <w:p>
      <w:pPr>
        <w:spacing w:line="560" w:lineRule="exact"/>
        <w:ind w:firstLine="600" w:firstLineChars="200"/>
        <w:contextualSpacing/>
        <w:rPr>
          <w:rFonts w:hint="default" w:ascii="仿宋" w:hAnsi="仿宋" w:eastAsia="仿宋" w:cs="仿宋"/>
          <w:b w:val="0"/>
          <w:bCs w:val="0"/>
          <w:color w:val="auto"/>
          <w:kern w:val="2"/>
          <w:sz w:val="30"/>
          <w:szCs w:val="30"/>
          <w:highlight w:val="none"/>
          <w:lang w:val="en-US" w:eastAsia="zh-CN" w:bidi="ar-SA"/>
        </w:rPr>
      </w:pPr>
      <w:r>
        <w:rPr>
          <w:rFonts w:hint="default" w:ascii="仿宋" w:hAnsi="仿宋" w:eastAsia="仿宋" w:cs="仿宋"/>
          <w:b w:val="0"/>
          <w:bCs w:val="0"/>
          <w:color w:val="auto"/>
          <w:kern w:val="2"/>
          <w:sz w:val="30"/>
          <w:szCs w:val="30"/>
          <w:highlight w:val="none"/>
          <w:lang w:val="en-US" w:eastAsia="zh-CN" w:bidi="ar-SA"/>
        </w:rPr>
        <w:t>二、加强展项维护力量，提升服务质量​</w:t>
      </w:r>
    </w:p>
    <w:p>
      <w:pPr>
        <w:spacing w:line="560" w:lineRule="exact"/>
        <w:ind w:firstLine="600" w:firstLineChars="200"/>
        <w:contextualSpacing/>
        <w:rPr>
          <w:rFonts w:hint="default" w:ascii="仿宋" w:hAnsi="仿宋" w:eastAsia="仿宋" w:cs="仿宋"/>
          <w:b w:val="0"/>
          <w:bCs w:val="0"/>
          <w:color w:val="auto"/>
          <w:kern w:val="2"/>
          <w:sz w:val="30"/>
          <w:szCs w:val="30"/>
          <w:highlight w:val="none"/>
          <w:lang w:val="en-US" w:eastAsia="zh-CN" w:bidi="ar-SA"/>
        </w:rPr>
      </w:pPr>
      <w:r>
        <w:rPr>
          <w:rFonts w:hint="default" w:ascii="仿宋" w:hAnsi="仿宋" w:eastAsia="仿宋" w:cs="仿宋"/>
          <w:b w:val="0"/>
          <w:bCs w:val="0"/>
          <w:color w:val="auto"/>
          <w:kern w:val="2"/>
          <w:sz w:val="30"/>
          <w:szCs w:val="30"/>
          <w:highlight w:val="none"/>
          <w:lang w:val="en-US" w:eastAsia="zh-CN" w:bidi="ar-SA"/>
        </w:rPr>
        <w:t>通过公开招聘、与专业机构合作等方式，引进具有机械、电子等专业背景的技术人才，组建专业的展品维护维修团队。同时，与设备供应商建立长期合作关系，定期邀请厂家技术人员对团队进行培训和指导，提高团队维修技术水平。​​</w:t>
      </w:r>
    </w:p>
    <w:p>
      <w:pPr>
        <w:spacing w:line="560" w:lineRule="exact"/>
        <w:ind w:firstLine="600" w:firstLineChars="200"/>
        <w:contextualSpacing/>
        <w:rPr>
          <w:rFonts w:hint="default" w:ascii="仿宋" w:hAnsi="仿宋" w:eastAsia="仿宋" w:cs="仿宋"/>
          <w:b w:val="0"/>
          <w:bCs w:val="0"/>
          <w:color w:val="auto"/>
          <w:kern w:val="2"/>
          <w:sz w:val="30"/>
          <w:szCs w:val="30"/>
          <w:highlight w:val="none"/>
          <w:lang w:val="en-US" w:eastAsia="zh-CN" w:bidi="ar-SA"/>
        </w:rPr>
      </w:pPr>
      <w:r>
        <w:rPr>
          <w:rFonts w:hint="default" w:ascii="仿宋" w:hAnsi="仿宋" w:eastAsia="仿宋" w:cs="仿宋"/>
          <w:b w:val="0"/>
          <w:bCs w:val="0"/>
          <w:color w:val="auto"/>
          <w:kern w:val="2"/>
          <w:sz w:val="30"/>
          <w:szCs w:val="30"/>
          <w:highlight w:val="none"/>
          <w:lang w:val="en-US" w:eastAsia="zh-CN" w:bidi="ar-SA"/>
        </w:rPr>
        <w:t>三、拓宽资金来源渠道，增强创新动力​</w:t>
      </w:r>
    </w:p>
    <w:p>
      <w:pPr>
        <w:spacing w:line="560" w:lineRule="exact"/>
        <w:ind w:firstLine="600" w:firstLineChars="200"/>
        <w:contextualSpacing/>
        <w:rPr>
          <w:rFonts w:hint="default" w:ascii="仿宋" w:hAnsi="仿宋" w:eastAsia="仿宋" w:cs="仿宋"/>
          <w:b w:val="0"/>
          <w:bCs w:val="0"/>
          <w:color w:val="auto"/>
          <w:kern w:val="2"/>
          <w:sz w:val="30"/>
          <w:szCs w:val="30"/>
          <w:highlight w:val="none"/>
          <w:lang w:val="en-US" w:eastAsia="zh-CN" w:bidi="ar-SA"/>
        </w:rPr>
      </w:pPr>
      <w:r>
        <w:rPr>
          <w:rFonts w:hint="default" w:ascii="仿宋" w:hAnsi="仿宋" w:eastAsia="仿宋" w:cs="仿宋"/>
          <w:b w:val="0"/>
          <w:bCs w:val="0"/>
          <w:color w:val="auto"/>
          <w:kern w:val="2"/>
          <w:sz w:val="30"/>
          <w:szCs w:val="30"/>
          <w:highlight w:val="none"/>
          <w:lang w:val="en-US" w:eastAsia="zh-CN" w:bidi="ar-SA"/>
        </w:rPr>
        <w:t>向财政部门申请设立科技馆专项发展资金，用于展览内容更新、科普活动创新和设备升级等。同时，建议提高科普活动经费在财政拨款中的比例，确保科技馆能够及时引入最新科技成果，丰富展览内容。​</w:t>
      </w:r>
    </w:p>
    <w:p>
      <w:pPr>
        <w:spacing w:line="560" w:lineRule="exact"/>
        <w:ind w:firstLine="600" w:firstLineChars="200"/>
        <w:contextualSpacing/>
        <w:rPr>
          <w:rFonts w:hint="default" w:ascii="仿宋" w:hAnsi="仿宋" w:eastAsia="仿宋" w:cs="仿宋"/>
          <w:b w:val="0"/>
          <w:bCs w:val="0"/>
          <w:color w:val="auto"/>
          <w:kern w:val="2"/>
          <w:sz w:val="30"/>
          <w:szCs w:val="30"/>
          <w:highlight w:val="none"/>
          <w:lang w:val="en-US" w:eastAsia="zh-CN" w:bidi="ar-SA"/>
        </w:rPr>
      </w:pPr>
      <w:r>
        <w:rPr>
          <w:rFonts w:hint="default" w:ascii="仿宋" w:hAnsi="仿宋" w:eastAsia="仿宋" w:cs="仿宋"/>
          <w:b w:val="0"/>
          <w:bCs w:val="0"/>
          <w:color w:val="auto"/>
          <w:kern w:val="2"/>
          <w:sz w:val="30"/>
          <w:szCs w:val="30"/>
          <w:highlight w:val="none"/>
          <w:lang w:val="en-US" w:eastAsia="zh-CN" w:bidi="ar-SA"/>
        </w:rPr>
        <w:t>制定科技馆社会捐赠和合作赞助管理办法，鼓励企业、社会组织和个人通过捐赠、冠名、合作等方式支持科技馆发展。开发多样化的合作项目，如科普教育基地共建、主题展览合作等，为社会资本参与提供更多途径，实现互利共赢。</w:t>
      </w:r>
    </w:p>
    <w:p>
      <w:pPr>
        <w:spacing w:line="560" w:lineRule="exact"/>
        <w:ind w:firstLine="600" w:firstLineChars="200"/>
        <w:contextualSpacing/>
        <w:rPr>
          <w:rFonts w:hint="default" w:ascii="仿宋" w:hAnsi="仿宋" w:eastAsia="仿宋" w:cs="仿宋"/>
          <w:b w:val="0"/>
          <w:bCs w:val="0"/>
          <w:color w:val="auto"/>
          <w:kern w:val="2"/>
          <w:sz w:val="30"/>
          <w:szCs w:val="30"/>
          <w:highlight w:val="none"/>
          <w:lang w:val="en-US" w:eastAsia="zh-CN" w:bidi="ar-SA"/>
        </w:rPr>
      </w:pPr>
      <w:r>
        <w:rPr>
          <w:rFonts w:hint="default" w:ascii="仿宋" w:hAnsi="仿宋" w:eastAsia="仿宋" w:cs="仿宋"/>
          <w:b w:val="0"/>
          <w:bCs w:val="0"/>
          <w:color w:val="auto"/>
          <w:kern w:val="2"/>
          <w:sz w:val="30"/>
          <w:szCs w:val="30"/>
          <w:highlight w:val="none"/>
          <w:lang w:val="en-US" w:eastAsia="zh-CN" w:bidi="ar-SA"/>
        </w:rPr>
        <w:t>利用科技馆的场地、设备和人才资源，开展科普研学课程收费、科普产品开发销售等业务，增加自主收入。同时，加强与周边景区、学校、社区的合作，推出科普旅游线路、联合举办科普活动等，拓展服务领域，提升科技馆的综合影响力和盈利能力。</w:t>
      </w:r>
    </w:p>
    <w:p>
      <w:pPr>
        <w:spacing w:line="560" w:lineRule="exact"/>
        <w:ind w:firstLine="640" w:firstLineChars="200"/>
        <w:rPr>
          <w:rFonts w:hint="default" w:ascii="Times New Roman" w:hAnsi="Times New Roman" w:eastAsia="黑体" w:cs="Times New Roman"/>
          <w:sz w:val="32"/>
          <w:szCs w:val="32"/>
          <w:highlight w:val="none"/>
        </w:rPr>
      </w:pPr>
      <w:r>
        <w:rPr>
          <w:rFonts w:hint="eastAsia" w:eastAsia="黑体" w:cs="Times New Roman"/>
          <w:sz w:val="32"/>
          <w:szCs w:val="32"/>
          <w:highlight w:val="none"/>
          <w:lang w:val="en-US" w:eastAsia="zh-CN"/>
        </w:rPr>
        <w:t>七</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黑体" w:cs="Times New Roman"/>
          <w:sz w:val="32"/>
          <w:szCs w:val="32"/>
          <w:highlight w:val="none"/>
        </w:rPr>
        <w:t>其他需要说</w:t>
      </w:r>
      <w:bookmarkStart w:id="0" w:name="page8"/>
      <w:bookmarkEnd w:id="0"/>
      <w:r>
        <w:rPr>
          <w:rFonts w:hint="default" w:ascii="Times New Roman" w:hAnsi="Times New Roman" w:eastAsia="黑体" w:cs="Times New Roman"/>
          <w:sz w:val="32"/>
          <w:szCs w:val="32"/>
          <w:highlight w:val="none"/>
        </w:rPr>
        <w:t>明的问题</w:t>
      </w:r>
    </w:p>
    <w:p>
      <w:pPr>
        <w:pStyle w:val="13"/>
        <w:spacing w:after="0" w:line="560" w:lineRule="exact"/>
        <w:ind w:left="0" w:leftChars="0" w:firstLine="640"/>
        <w:rPr>
          <w:rFonts w:hint="eastAsia" w:ascii="Times New Roman" w:hAnsi="Times New Roman" w:eastAsia="仿宋_GB2312" w:cs="Times New Roman"/>
          <w:b/>
          <w:bCs/>
          <w:color w:val="FF0000"/>
          <w:sz w:val="32"/>
          <w:szCs w:val="32"/>
          <w:highlight w:val="none"/>
          <w:lang w:val="en-US" w:eastAsia="zh-CN"/>
        </w:rPr>
        <w:sectPr>
          <w:footerReference r:id="rId3" w:type="default"/>
          <w:pgSz w:w="11906" w:h="16838"/>
          <w:pgMar w:top="1440" w:right="1558" w:bottom="1440" w:left="1800" w:header="851" w:footer="992" w:gutter="0"/>
          <w:pgNumType w:start="1"/>
          <w:cols w:space="425" w:num="1"/>
          <w:docGrid w:type="lines" w:linePitch="312" w:charSpace="0"/>
        </w:sectPr>
      </w:pPr>
      <w:r>
        <w:rPr>
          <w:rFonts w:hint="eastAsia" w:ascii="仿宋" w:hAnsi="仿宋" w:eastAsia="仿宋" w:cs="仿宋"/>
          <w:b w:val="0"/>
          <w:bCs w:val="0"/>
          <w:color w:val="auto"/>
          <w:kern w:val="2"/>
          <w:sz w:val="30"/>
          <w:szCs w:val="30"/>
          <w:highlight w:val="none"/>
          <w:lang w:val="en-US" w:eastAsia="zh-CN" w:bidi="ar-SA"/>
        </w:rPr>
        <w:t>无</w:t>
      </w:r>
    </w:p>
    <w:p>
      <w:pPr>
        <w:rPr>
          <w:rFonts w:hint="default" w:ascii="Times New Roman" w:hAnsi="Times New Roman" w:cs="Times New Roman"/>
          <w:highlight w:val="none"/>
        </w:rPr>
      </w:pPr>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楷体_GB2312">
    <w:altName w:val="楷体"/>
    <w:panose1 w:val="00000000000000000000"/>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Segoe UI">
    <w:panose1 w:val="020B0502040204020203"/>
    <w:charset w:val="00"/>
    <w:family w:val="auto"/>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68962"/>
    </w:sdtPr>
    <w:sdtContent>
      <w:p>
        <w:pPr>
          <w:pStyle w:val="7"/>
          <w:jc w:val="center"/>
        </w:pPr>
        <w:r>
          <w:fldChar w:fldCharType="begin"/>
        </w:r>
        <w:r>
          <w:instrText xml:space="preserve">PAGE   \* MERGEFORMAT</w:instrText>
        </w:r>
        <w:r>
          <w:fldChar w:fldCharType="separate"/>
        </w:r>
        <w:r>
          <w:rPr>
            <w:lang w:val="zh-CN"/>
          </w:rPr>
          <w:t>13</w:t>
        </w:r>
        <w:r>
          <w:fldChar w:fldCharType="end"/>
        </w:r>
      </w:p>
    </w:sdtContent>
  </w:sdt>
  <w:p>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4CD2B0F"/>
    <w:multiLevelType w:val="singleLevel"/>
    <w:tmpl w:val="F4CD2B0F"/>
    <w:lvl w:ilvl="0" w:tentative="0">
      <w:start w:val="1"/>
      <w:numFmt w:val="decimal"/>
      <w:suff w:val="nothing"/>
      <w:lvlText w:val="（%1）"/>
      <w:lvlJc w:val="left"/>
    </w:lvl>
  </w:abstractNum>
  <w:abstractNum w:abstractNumId="1">
    <w:nsid w:val="FF9379A8"/>
    <w:multiLevelType w:val="singleLevel"/>
    <w:tmpl w:val="FF9379A8"/>
    <w:lvl w:ilvl="0" w:tentative="0">
      <w:start w:val="2"/>
      <w:numFmt w:val="chineseCounting"/>
      <w:suff w:val="nothing"/>
      <w:lvlText w:val="（%1）"/>
      <w:lvlJc w:val="left"/>
      <w:rPr>
        <w:rFonts w:hint="eastAsia"/>
      </w:rPr>
    </w:lvl>
  </w:abstractNum>
  <w:abstractNum w:abstractNumId="2">
    <w:nsid w:val="116B29BF"/>
    <w:multiLevelType w:val="singleLevel"/>
    <w:tmpl w:val="116B29BF"/>
    <w:lvl w:ilvl="0" w:tentative="0">
      <w:start w:val="3"/>
      <w:numFmt w:val="chineseCounting"/>
      <w:suff w:val="nothing"/>
      <w:lvlText w:val="%1、"/>
      <w:lvlJc w:val="left"/>
      <w:rPr>
        <w:rFonts w:hint="eastAsia"/>
      </w:rPr>
    </w:lvl>
  </w:abstractNum>
  <w:abstractNum w:abstractNumId="3">
    <w:nsid w:val="27813159"/>
    <w:multiLevelType w:val="singleLevel"/>
    <w:tmpl w:val="27813159"/>
    <w:lvl w:ilvl="0" w:tentative="0">
      <w:start w:val="3"/>
      <w:numFmt w:val="chineseCounting"/>
      <w:suff w:val="nothing"/>
      <w:lvlText w:val="（%1）"/>
      <w:lvlJc w:val="left"/>
      <w:rPr>
        <w:rFonts w:hint="eastAsia"/>
      </w:rPr>
    </w:lvl>
  </w:abstractNum>
  <w:abstractNum w:abstractNumId="4">
    <w:nsid w:val="6FAA0AB1"/>
    <w:multiLevelType w:val="singleLevel"/>
    <w:tmpl w:val="6FAA0AB1"/>
    <w:lvl w:ilvl="0" w:tentative="0">
      <w:start w:val="2"/>
      <w:numFmt w:val="chineseCounting"/>
      <w:suff w:val="nothing"/>
      <w:lvlText w:val="（%1）"/>
      <w:lvlJc w:val="left"/>
      <w:rPr>
        <w:rFonts w:hint="eastAsia"/>
      </w:rPr>
    </w:lvl>
  </w:abstractNum>
  <w:num w:numId="1">
    <w:abstractNumId w:val="0"/>
  </w:num>
  <w:num w:numId="2">
    <w:abstractNumId w:val="3"/>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JhMWIyZTRjNmEzZjg5NDIzZDA4ZGE4MTM1N2Y4Y2QifQ=="/>
  </w:docVars>
  <w:rsids>
    <w:rsidRoot w:val="FF6C4049"/>
    <w:rsid w:val="006F7242"/>
    <w:rsid w:val="007B168A"/>
    <w:rsid w:val="008B2CFE"/>
    <w:rsid w:val="00F26FF6"/>
    <w:rsid w:val="01610122"/>
    <w:rsid w:val="016245C6"/>
    <w:rsid w:val="02510197"/>
    <w:rsid w:val="02AE11E5"/>
    <w:rsid w:val="03EC461B"/>
    <w:rsid w:val="041D73B0"/>
    <w:rsid w:val="0461077D"/>
    <w:rsid w:val="04C6300F"/>
    <w:rsid w:val="067B3A34"/>
    <w:rsid w:val="06913051"/>
    <w:rsid w:val="07397B77"/>
    <w:rsid w:val="07852DBD"/>
    <w:rsid w:val="09D82ACA"/>
    <w:rsid w:val="0AD007F3"/>
    <w:rsid w:val="0C0D15D3"/>
    <w:rsid w:val="0E3C619F"/>
    <w:rsid w:val="100F38EC"/>
    <w:rsid w:val="10172A20"/>
    <w:rsid w:val="11170296"/>
    <w:rsid w:val="11A82BCE"/>
    <w:rsid w:val="121C60CC"/>
    <w:rsid w:val="12C66037"/>
    <w:rsid w:val="12CD1ABC"/>
    <w:rsid w:val="13471461"/>
    <w:rsid w:val="13B90F01"/>
    <w:rsid w:val="155E4C4D"/>
    <w:rsid w:val="15CC605B"/>
    <w:rsid w:val="1780009A"/>
    <w:rsid w:val="18100480"/>
    <w:rsid w:val="181066D2"/>
    <w:rsid w:val="18D0693B"/>
    <w:rsid w:val="1C671E73"/>
    <w:rsid w:val="1D322C47"/>
    <w:rsid w:val="1D54147E"/>
    <w:rsid w:val="1E810287"/>
    <w:rsid w:val="1FF80C7E"/>
    <w:rsid w:val="20D12777"/>
    <w:rsid w:val="23616034"/>
    <w:rsid w:val="23696C97"/>
    <w:rsid w:val="24480FA2"/>
    <w:rsid w:val="24C745BD"/>
    <w:rsid w:val="25227A45"/>
    <w:rsid w:val="25DD571A"/>
    <w:rsid w:val="26AC3A6A"/>
    <w:rsid w:val="26CF1507"/>
    <w:rsid w:val="26E33204"/>
    <w:rsid w:val="2B9D7E25"/>
    <w:rsid w:val="2C2D4FF4"/>
    <w:rsid w:val="2C6C46B3"/>
    <w:rsid w:val="2C7C7A3B"/>
    <w:rsid w:val="2E872E59"/>
    <w:rsid w:val="2F364819"/>
    <w:rsid w:val="2FD63906"/>
    <w:rsid w:val="30547CAF"/>
    <w:rsid w:val="30E958BB"/>
    <w:rsid w:val="31932A5B"/>
    <w:rsid w:val="34983880"/>
    <w:rsid w:val="351E0C0A"/>
    <w:rsid w:val="36F40B16"/>
    <w:rsid w:val="37215DAE"/>
    <w:rsid w:val="37DC3A83"/>
    <w:rsid w:val="38CA40DD"/>
    <w:rsid w:val="395F2B56"/>
    <w:rsid w:val="3BBA0580"/>
    <w:rsid w:val="3BECE841"/>
    <w:rsid w:val="3CDE204C"/>
    <w:rsid w:val="3D363C36"/>
    <w:rsid w:val="3E6F6179"/>
    <w:rsid w:val="3E9C3F6D"/>
    <w:rsid w:val="3FF7797D"/>
    <w:rsid w:val="41436B12"/>
    <w:rsid w:val="440E1469"/>
    <w:rsid w:val="46690BD8"/>
    <w:rsid w:val="467557CF"/>
    <w:rsid w:val="49F70BF1"/>
    <w:rsid w:val="4B4340EE"/>
    <w:rsid w:val="503D507A"/>
    <w:rsid w:val="5074423F"/>
    <w:rsid w:val="50D662B1"/>
    <w:rsid w:val="51FA74D0"/>
    <w:rsid w:val="52AA4A52"/>
    <w:rsid w:val="55D02C8E"/>
    <w:rsid w:val="56636930"/>
    <w:rsid w:val="58180BF9"/>
    <w:rsid w:val="59943D66"/>
    <w:rsid w:val="59E051FD"/>
    <w:rsid w:val="59E6355E"/>
    <w:rsid w:val="5B527B97"/>
    <w:rsid w:val="5B821531"/>
    <w:rsid w:val="5BFF6039"/>
    <w:rsid w:val="5CD36B60"/>
    <w:rsid w:val="5D76A616"/>
    <w:rsid w:val="5D7F20B9"/>
    <w:rsid w:val="5DAC7D0E"/>
    <w:rsid w:val="5F0C2040"/>
    <w:rsid w:val="5F98B5AF"/>
    <w:rsid w:val="5FFE8511"/>
    <w:rsid w:val="5FFEACE2"/>
    <w:rsid w:val="609D5BF6"/>
    <w:rsid w:val="61073070"/>
    <w:rsid w:val="61B9080E"/>
    <w:rsid w:val="61DF3FED"/>
    <w:rsid w:val="642B176B"/>
    <w:rsid w:val="643EE26D"/>
    <w:rsid w:val="653A50AE"/>
    <w:rsid w:val="656019A0"/>
    <w:rsid w:val="65F242EE"/>
    <w:rsid w:val="66293A88"/>
    <w:rsid w:val="666D7E19"/>
    <w:rsid w:val="68376930"/>
    <w:rsid w:val="68490412"/>
    <w:rsid w:val="68F91E38"/>
    <w:rsid w:val="6B3158B9"/>
    <w:rsid w:val="6B683EFD"/>
    <w:rsid w:val="6BA02A3F"/>
    <w:rsid w:val="6C1E5A53"/>
    <w:rsid w:val="6D92247B"/>
    <w:rsid w:val="6F5C41AC"/>
    <w:rsid w:val="6FAF6C78"/>
    <w:rsid w:val="716167CC"/>
    <w:rsid w:val="718A7AD1"/>
    <w:rsid w:val="72A44BC2"/>
    <w:rsid w:val="7317C656"/>
    <w:rsid w:val="734ED73F"/>
    <w:rsid w:val="73C82B32"/>
    <w:rsid w:val="73F94DAE"/>
    <w:rsid w:val="74220495"/>
    <w:rsid w:val="747D1B6F"/>
    <w:rsid w:val="749E5641"/>
    <w:rsid w:val="76271066"/>
    <w:rsid w:val="77FD8BE9"/>
    <w:rsid w:val="78000AED"/>
    <w:rsid w:val="78C81DBE"/>
    <w:rsid w:val="79A9BD3F"/>
    <w:rsid w:val="7B776F12"/>
    <w:rsid w:val="7BFFFDD0"/>
    <w:rsid w:val="7C336E5F"/>
    <w:rsid w:val="7C8D4919"/>
    <w:rsid w:val="7D6438CC"/>
    <w:rsid w:val="7D7A5F86"/>
    <w:rsid w:val="7E4B683A"/>
    <w:rsid w:val="7E5E656D"/>
    <w:rsid w:val="7E8F2BCB"/>
    <w:rsid w:val="7F37BB4E"/>
    <w:rsid w:val="7FEF918E"/>
    <w:rsid w:val="7FF4FB6F"/>
    <w:rsid w:val="7FF7FF27"/>
    <w:rsid w:val="7FFDF714"/>
    <w:rsid w:val="AF3FCD8C"/>
    <w:rsid w:val="B9FA2A43"/>
    <w:rsid w:val="BF7BA1E4"/>
    <w:rsid w:val="BFDF04FA"/>
    <w:rsid w:val="BFE227EF"/>
    <w:rsid w:val="CF2A1ABD"/>
    <w:rsid w:val="DA7D3CD9"/>
    <w:rsid w:val="DBDC0ADA"/>
    <w:rsid w:val="DEDE2B06"/>
    <w:rsid w:val="EBFA31C2"/>
    <w:rsid w:val="F3F4A11B"/>
    <w:rsid w:val="F9FD7907"/>
    <w:rsid w:val="FAEF933D"/>
    <w:rsid w:val="FB3A4A6A"/>
    <w:rsid w:val="FF6C4049"/>
    <w:rsid w:val="FF78F63F"/>
    <w:rsid w:val="FF8D20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22"/>
    <w:qFormat/>
    <w:uiPriority w:val="0"/>
    <w:pPr>
      <w:jc w:val="left"/>
    </w:pPr>
  </w:style>
  <w:style w:type="paragraph" w:styleId="4">
    <w:name w:val="Body Text"/>
    <w:basedOn w:val="1"/>
    <w:qFormat/>
    <w:uiPriority w:val="0"/>
    <w:pPr>
      <w:spacing w:after="120"/>
    </w:pPr>
  </w:style>
  <w:style w:type="paragraph" w:styleId="5">
    <w:name w:val="Body Text Indent"/>
    <w:basedOn w:val="1"/>
    <w:qFormat/>
    <w:uiPriority w:val="0"/>
    <w:pPr>
      <w:spacing w:after="120"/>
      <w:ind w:left="420" w:leftChars="200"/>
    </w:pPr>
    <w:rPr>
      <w:rFonts w:ascii="Calibri" w:hAnsi="Calibri"/>
    </w:rPr>
  </w:style>
  <w:style w:type="paragraph" w:styleId="6">
    <w:name w:val="Balloon Text"/>
    <w:basedOn w:val="1"/>
    <w:link w:val="20"/>
    <w:qFormat/>
    <w:uiPriority w:val="0"/>
    <w:rPr>
      <w:sz w:val="18"/>
      <w:szCs w:val="18"/>
    </w:rPr>
  </w:style>
  <w:style w:type="paragraph" w:styleId="7">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8">
    <w:name w:val="header"/>
    <w:basedOn w:val="1"/>
    <w:link w:val="21"/>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0">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1">
    <w:name w:val="annotation subject"/>
    <w:basedOn w:val="3"/>
    <w:next w:val="3"/>
    <w:link w:val="23"/>
    <w:qFormat/>
    <w:uiPriority w:val="0"/>
    <w:rPr>
      <w:b/>
      <w:bCs/>
    </w:rPr>
  </w:style>
  <w:style w:type="paragraph" w:styleId="12">
    <w:name w:val="Body Text First Indent"/>
    <w:basedOn w:val="4"/>
    <w:qFormat/>
    <w:uiPriority w:val="0"/>
    <w:pPr>
      <w:spacing w:after="0"/>
      <w:ind w:firstLine="200" w:firstLineChars="200"/>
    </w:pPr>
  </w:style>
  <w:style w:type="paragraph" w:styleId="13">
    <w:name w:val="Body Text First Indent 2"/>
    <w:basedOn w:val="5"/>
    <w:qFormat/>
    <w:uiPriority w:val="0"/>
    <w:pPr>
      <w:ind w:firstLine="420" w:firstLineChars="200"/>
    </w:pPr>
  </w:style>
  <w:style w:type="character" w:styleId="16">
    <w:name w:val="Strong"/>
    <w:basedOn w:val="15"/>
    <w:qFormat/>
    <w:uiPriority w:val="0"/>
    <w:rPr>
      <w:b/>
      <w:bCs/>
    </w:rPr>
  </w:style>
  <w:style w:type="character" w:styleId="17">
    <w:name w:val="annotation reference"/>
    <w:basedOn w:val="15"/>
    <w:qFormat/>
    <w:uiPriority w:val="0"/>
    <w:rPr>
      <w:sz w:val="21"/>
      <w:szCs w:val="21"/>
    </w:rPr>
  </w:style>
  <w:style w:type="character" w:customStyle="1" w:styleId="18">
    <w:name w:val="fontstyle01"/>
    <w:qFormat/>
    <w:uiPriority w:val="0"/>
    <w:rPr>
      <w:rFonts w:ascii="仿宋_GB2312" w:hAnsi="仿宋_GB2312" w:eastAsia="仿宋_GB2312" w:cs="仿宋_GB2312"/>
      <w:color w:val="000000"/>
      <w:sz w:val="32"/>
      <w:szCs w:val="32"/>
    </w:rPr>
  </w:style>
  <w:style w:type="paragraph" w:customStyle="1" w:styleId="19">
    <w:name w:val="闻政-正文段落文字"/>
    <w:basedOn w:val="1"/>
    <w:qFormat/>
    <w:uiPriority w:val="3"/>
    <w:pPr>
      <w:spacing w:line="500" w:lineRule="exact"/>
      <w:ind w:firstLine="200"/>
    </w:pPr>
    <w:rPr>
      <w:kern w:val="0"/>
      <w:szCs w:val="28"/>
    </w:rPr>
  </w:style>
  <w:style w:type="character" w:customStyle="1" w:styleId="20">
    <w:name w:val="批注框文本 字符"/>
    <w:basedOn w:val="15"/>
    <w:link w:val="6"/>
    <w:qFormat/>
    <w:uiPriority w:val="0"/>
    <w:rPr>
      <w:rFonts w:ascii="Times New Roman" w:hAnsi="Times New Roman" w:eastAsia="宋体" w:cs="Times New Roman"/>
      <w:kern w:val="2"/>
      <w:sz w:val="18"/>
      <w:szCs w:val="18"/>
    </w:rPr>
  </w:style>
  <w:style w:type="character" w:customStyle="1" w:styleId="21">
    <w:name w:val="页眉 字符"/>
    <w:basedOn w:val="15"/>
    <w:link w:val="8"/>
    <w:qFormat/>
    <w:uiPriority w:val="0"/>
    <w:rPr>
      <w:rFonts w:ascii="Times New Roman" w:hAnsi="Times New Roman" w:eastAsia="宋体" w:cs="Times New Roman"/>
      <w:kern w:val="2"/>
      <w:sz w:val="18"/>
      <w:szCs w:val="18"/>
    </w:rPr>
  </w:style>
  <w:style w:type="character" w:customStyle="1" w:styleId="22">
    <w:name w:val="批注文字 字符"/>
    <w:basedOn w:val="15"/>
    <w:link w:val="3"/>
    <w:qFormat/>
    <w:uiPriority w:val="0"/>
    <w:rPr>
      <w:rFonts w:ascii="Times New Roman" w:hAnsi="Times New Roman" w:eastAsia="宋体" w:cs="Times New Roman"/>
      <w:kern w:val="2"/>
      <w:sz w:val="21"/>
      <w:szCs w:val="24"/>
    </w:rPr>
  </w:style>
  <w:style w:type="character" w:customStyle="1" w:styleId="23">
    <w:name w:val="批注主题 字符"/>
    <w:basedOn w:val="22"/>
    <w:link w:val="11"/>
    <w:qFormat/>
    <w:uiPriority w:val="0"/>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34</Pages>
  <Words>9886</Words>
  <Characters>10309</Characters>
  <Lines>58</Lines>
  <Paragraphs>16</Paragraphs>
  <TotalTime>33</TotalTime>
  <ScaleCrop>false</ScaleCrop>
  <LinksUpToDate>false</LinksUpToDate>
  <CharactersWithSpaces>10330</CharactersWithSpaces>
  <Application>WPS Office_11.8.2.10972_F1E327BC-269C-435d-A152-05C5408002CA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2023-03-08T13:13:00Z</dcterms:created>
  <dc:creator>审核人</dc:creator>
  <cp:lastModifiedBy>lenovo</cp:lastModifiedBy>
  <cp:lastPrinted>2025-04-27T10:46:00Z</cp:lastPrinted>
  <dcterms:modified xsi:type="dcterms:W3CDTF">2025-09-02T03:35:09Z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F1A32EB7C53F433780EB4BD1AD3DECDF_13</vt:lpwstr>
  </property>
  <property fmtid="{D5CDD505-2E9C-101B-9397-08002B2CF9AE}" pid="4" name="KSOTemplateDocerSaveRecord">
    <vt:lpwstr>eyJoZGlkIjoiNDkwZjI0MTNjMmVkYTY5NTIwZDAzMTc1YWM2ZTkzZDIiLCJ1c2VySWQiOiI4NDg4MzExNDUifQ==</vt:lpwstr>
  </property>
</Properties>
</file>