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库尔勒市妇女联合会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1、坚持正确的政治方向，团结、教育全市各族妇女以及各类妇女组织同党中央在思想上、政治上、行动上保持高度一致，维护祖国统一，反对民族分裂。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2、紧密围绕党和政府的中心任务开展工作，团结、动员、组织妇女群众投身改革开放和社会主义精神文明、物质文明建设，积极促进经济发展和社会全面进步，为维护改革开放稳定的大局服务。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3、宣传马克思主义妇女观和男女平等思想，教育、引导妇女 群众树立正确的世界观、人生观、价值观，弘扬“自尊、自信、自 立、自强”精神，积极推动和开展对妇女的科技文化及生产劳动技能教育，全面提高妇女素质。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4、代表各族妇女参与国家社会事务的民主监督，关注并加强研究涉及妇女切身利益的“热点、难点”问题，及时向市委、市人民政府反映社情民意，提出对策建议；参与有关妇女儿童法律、法规、 规章的制定，从源头上强化维护妇女儿童合法权益工作。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5、坚持为妇女儿童服务、为基层服务，加强与社会各界的联系，协调和推动社会各界为妇女儿童办实事、办好事。 </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rPr>
        <w:t>6、负责指导市属各乡（镇、场、街道）妇联、各库尔勒市妇女联合会妇委会（女工委）的工作，促进妇女儿童事业的健康发展。</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库尔勒市妇女联合会2024年度，实有人数23人，其中：在职人员9人，较上年无变化；离休人员0人，较上年无变化；退休人员14人，增加1人。</w:t>
      </w:r>
    </w:p>
    <w:p>
      <w:pPr>
        <w:widowControl/>
        <w:ind w:firstLine="640" w:firstLineChars="200"/>
      </w:pPr>
      <w:r>
        <w:rPr>
          <w:rFonts w:ascii="仿宋_GB2312" w:eastAsia="仿宋_GB2312"/>
          <w:b w:val="0"/>
          <w:sz w:val="32"/>
          <w:szCs w:val="32"/>
        </w:rPr>
        <w:t>库尔勒市妇女联合会</w:t>
      </w:r>
      <w:r>
        <w:rPr>
          <w:rFonts w:hint="eastAsia" w:ascii="仿宋_GB2312" w:hAnsi="黑体" w:eastAsia="仿宋_GB2312" w:cs="宋体"/>
          <w:bCs/>
          <w:kern w:val="0"/>
          <w:sz w:val="32"/>
          <w:szCs w:val="32"/>
        </w:rPr>
        <w:t>无下属预算单位，下设3个处室，分别是：综合室、妇女发展维权室、妇儿工委办公室</w:t>
      </w:r>
      <w:r>
        <w:rPr>
          <w:rFonts w:hint="eastAsia" w:ascii="仿宋_GB2312" w:hAnsi="宋体" w:eastAsia="仿宋_GB2312" w:cs="宋体"/>
          <w:kern w:val="0"/>
          <w:sz w:val="32"/>
          <w:szCs w:val="32"/>
        </w:rPr>
        <w:t>。</w:t>
      </w: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2024年度收入总计183.74万元，其中：本年收入合计183.74万元，使用非财政拨款结余（含专用结余）0.00万元，年初结转和结余0.00万元。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2024年度支出总计183.74万元，其中：本年支出合计183.74万元，结余分配0.00万元，年末结转和结余0.00万元。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收入支出总体与上年相比，增加8.95万元，增长5.12%，主要原因是：</w:t>
      </w:r>
      <w:r>
        <w:rPr>
          <w:rFonts w:hint="default" w:ascii="Times New Roman" w:hAnsi="Times New Roman" w:eastAsia="仿宋_GB2312" w:cs="Times New Roman"/>
          <w:b w:val="0"/>
          <w:sz w:val="32"/>
          <w:szCs w:val="32"/>
        </w:rPr>
        <w:t>人员工资增长，社保、公积金基数调增，人员经费增加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本年收入183.74万元，其中：财政拨款收入183.74万元,占100.00%；上级补助收入0.00万元,占0.00%；事业收入0.00万元，占0.00%；经营收入0.00万元,占0.00%；附属单位上缴收入0.00万元，占0.00%；其他收入0.00万元，占0.00%。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本年支出183.74万元，其中：基本支出183.42万元，占99.83%；项目支出0.33万元，占0.18%；上缴上级支出0.00万元，占0.00%；经营支出0.00万元，占0.00%；对附属单位补助支出0.00万元，占0.00%。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2024年度财政拨款收入总计183.74万元，其中：年初财政拨款结转和结余0.00万元，本年财政拨款收入183.74万元。财政拨款支出总计183.74万元，其中：年末财政拨款结转和结余0.00万元，本年财政拨款支出183.74万元。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财政拨款收入支出总体与上年相比，增加8.95万元，增长5.12%，主要原因是：</w:t>
      </w:r>
      <w:r>
        <w:rPr>
          <w:rFonts w:hint="default" w:ascii="Times New Roman" w:hAnsi="Times New Roman" w:eastAsia="仿宋_GB2312" w:cs="Times New Roman"/>
          <w:b w:val="0"/>
          <w:sz w:val="32"/>
          <w:szCs w:val="32"/>
        </w:rPr>
        <w:t>人员工资增长，社保、公积金基数调增，人员经费增加</w:t>
      </w:r>
      <w:r>
        <w:rPr>
          <w:rFonts w:ascii="仿宋_GB2312" w:eastAsia="仿宋_GB2312"/>
          <w:b w:val="0"/>
          <w:sz w:val="32"/>
          <w:szCs w:val="32"/>
        </w:rPr>
        <w:t>。与年初预算相比，年初预算数219.74万元，决算数183.74万元，预决算差异率-16.38%，主要原因是：</w:t>
      </w:r>
      <w:r>
        <w:rPr>
          <w:rFonts w:hint="eastAsia" w:ascii="仿宋_GB2312" w:eastAsia="仿宋_GB2312"/>
          <w:sz w:val="32"/>
          <w:szCs w:val="32"/>
        </w:rPr>
        <w:t>单位在正常运行下，</w:t>
      </w:r>
      <w:r>
        <w:rPr>
          <w:rFonts w:hint="eastAsia" w:ascii="仿宋_GB2312" w:eastAsia="仿宋_GB2312"/>
          <w:sz w:val="32"/>
          <w:szCs w:val="32"/>
          <w:lang w:val="en-US" w:eastAsia="zh-CN"/>
        </w:rPr>
        <w:t>厉行节约</w:t>
      </w:r>
      <w:r>
        <w:rPr>
          <w:rFonts w:hint="eastAsia" w:ascii="仿宋_GB2312" w:eastAsia="仿宋_GB2312"/>
          <w:sz w:val="32"/>
          <w:szCs w:val="32"/>
        </w:rPr>
        <w:t>精简支出，财政按需拨款，支出减少导致预决算差异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2024年度一般公共预算财政拨款支出183.74万元，占本年支出合计的100.00%。与上年相比，增加8.95万元，增长5.12%，主要原因是：</w:t>
      </w:r>
      <w:r>
        <w:rPr>
          <w:rFonts w:hint="default" w:ascii="Times New Roman" w:hAnsi="Times New Roman" w:eastAsia="仿宋_GB2312" w:cs="Times New Roman"/>
          <w:b w:val="0"/>
          <w:sz w:val="32"/>
          <w:szCs w:val="32"/>
        </w:rPr>
        <w:t>人员工资增长，社保、公积金基数调增，人员经费增加</w:t>
      </w:r>
      <w:r>
        <w:rPr>
          <w:rFonts w:ascii="仿宋_GB2312" w:eastAsia="仿宋_GB2312"/>
          <w:b w:val="0"/>
          <w:sz w:val="32"/>
          <w:szCs w:val="32"/>
        </w:rPr>
        <w:t>。与年初预算相比，年初预算数219.74万元，决算数183.74万元，预决算差异率-16.38%，主要原因是：</w:t>
      </w:r>
      <w:r>
        <w:rPr>
          <w:rFonts w:hint="eastAsia" w:ascii="仿宋_GB2312" w:eastAsia="仿宋_GB2312"/>
          <w:sz w:val="32"/>
          <w:szCs w:val="32"/>
        </w:rPr>
        <w:t>单位在正常运行下，</w:t>
      </w:r>
      <w:r>
        <w:rPr>
          <w:rFonts w:hint="eastAsia" w:ascii="仿宋_GB2312" w:eastAsia="仿宋_GB2312"/>
          <w:sz w:val="32"/>
          <w:szCs w:val="32"/>
          <w:lang w:val="en-US" w:eastAsia="zh-CN"/>
        </w:rPr>
        <w:t>厉行节约</w:t>
      </w:r>
      <w:r>
        <w:rPr>
          <w:rFonts w:hint="eastAsia" w:ascii="仿宋_GB2312" w:eastAsia="仿宋_GB2312"/>
          <w:sz w:val="32"/>
          <w:szCs w:val="32"/>
        </w:rPr>
        <w:t>精简支出，财政按需拨款，支出减少导致预决算差异</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一般公共服务支出（类）122.44万元，占66.64%。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教育支出（类）0.88万元，占0.48%。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社会保障和就业支出（类）37.37万元，占20.34%。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卫生健康支出（类）10.00万元，占5.44%。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住房保障支出（类）13.06万元，占7.11%。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一般公共服务支出（类）群众团体事务（款）行政运行（项）：支出决算数为122.11万元，比上年决算增加9.61万元，增长8.54%，主要原因是：</w:t>
      </w:r>
      <w:r>
        <w:rPr>
          <w:rFonts w:hint="default" w:ascii="Times New Roman" w:hAnsi="Times New Roman" w:eastAsia="仿宋_GB2312" w:cs="Times New Roman"/>
          <w:b w:val="0"/>
          <w:sz w:val="32"/>
          <w:szCs w:val="32"/>
        </w:rPr>
        <w:t>人员工资增长，社保、公积金基数调增，人员经费增加</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yellow"/>
        </w:rPr>
      </w:pPr>
      <w:r>
        <w:rPr>
          <w:rFonts w:ascii="仿宋_GB2312" w:eastAsia="仿宋_GB2312"/>
          <w:b w:val="0"/>
          <w:sz w:val="32"/>
          <w:szCs w:val="32"/>
          <w:highlight w:val="none"/>
        </w:rPr>
        <w:t>一般公共服务支出（类）群众团体事务（款）其他群众团体事务支出（项）：支出决算数为0.33万元，比上年决算减少5.90万元，下降94.70%，主要原因是：</w:t>
      </w:r>
      <w:r>
        <w:rPr>
          <w:rFonts w:hint="eastAsia" w:eastAsia="仿宋_GB2312"/>
          <w:color w:val="auto"/>
          <w:sz w:val="32"/>
          <w:szCs w:val="32"/>
          <w:highlight w:val="none"/>
          <w:lang w:val="zh-CN"/>
        </w:rPr>
        <w:t>单位在正常运行下，</w:t>
      </w:r>
      <w:r>
        <w:rPr>
          <w:rFonts w:hint="eastAsia" w:eastAsia="仿宋_GB2312"/>
          <w:color w:val="auto"/>
          <w:sz w:val="32"/>
          <w:szCs w:val="32"/>
          <w:highlight w:val="none"/>
          <w:lang w:val="en-US" w:eastAsia="zh-CN"/>
        </w:rPr>
        <w:t>厉行节约</w:t>
      </w:r>
      <w:r>
        <w:rPr>
          <w:rFonts w:hint="eastAsia" w:eastAsia="仿宋_GB2312"/>
          <w:color w:val="auto"/>
          <w:sz w:val="32"/>
          <w:szCs w:val="32"/>
          <w:highlight w:val="none"/>
          <w:lang w:val="zh-CN"/>
        </w:rPr>
        <w:t>精简支出，财政按需拨款，支出减少。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教育支出（类）进修及培训（款）培训支出（项）：支出决算数为0.88万元，比上年决算增加0.61万元，增长225.93%，主要原因是：</w:t>
      </w:r>
      <w:r>
        <w:rPr>
          <w:rFonts w:hint="eastAsia" w:eastAsia="仿宋_GB2312"/>
          <w:color w:val="auto"/>
          <w:sz w:val="32"/>
          <w:szCs w:val="32"/>
          <w:highlight w:val="none"/>
          <w:lang w:val="zh-CN"/>
        </w:rPr>
        <w:t>外出培训学习职工较上年有增加，相应费用增加。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社会保障和就业支出（类）行政事业单位养老支出（款）行政单位离退休（项）：支出决算数为9.92万元，比上年决算增加1.86万元，增长23.08%，主要原因是：</w:t>
      </w:r>
      <w:r>
        <w:rPr>
          <w:rFonts w:hint="eastAsia" w:eastAsia="仿宋_GB2312"/>
          <w:sz w:val="32"/>
          <w:szCs w:val="32"/>
          <w:lang w:val="zh-CN"/>
        </w:rPr>
        <w:t>202</w:t>
      </w:r>
      <w:r>
        <w:rPr>
          <w:rFonts w:hint="eastAsia" w:eastAsia="仿宋_GB2312"/>
          <w:sz w:val="32"/>
          <w:szCs w:val="32"/>
          <w:lang w:val="en-US" w:eastAsia="zh-CN"/>
        </w:rPr>
        <w:t>4</w:t>
      </w:r>
      <w:r>
        <w:rPr>
          <w:rFonts w:hint="eastAsia" w:eastAsia="仿宋_GB2312"/>
          <w:sz w:val="32"/>
          <w:szCs w:val="32"/>
          <w:lang w:val="zh-CN"/>
        </w:rPr>
        <w:t>年单位退休1人。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社会保障和就业支出（类）行政事业单位养老支出（款）机关事业单位基本养老保险缴费支出（项）：支出决算数为16.79万元，比上年决算增加3.49万元，增长26.24%，主要原因是：</w:t>
      </w:r>
      <w:r>
        <w:rPr>
          <w:rFonts w:hint="eastAsia" w:ascii="仿宋_GB2312" w:eastAsia="仿宋_GB2312"/>
          <w:b w:val="0"/>
          <w:sz w:val="32"/>
          <w:szCs w:val="32"/>
          <w:lang w:val="en-US" w:eastAsia="zh-CN"/>
        </w:rPr>
        <w:t>本年度基数调增，导致</w:t>
      </w:r>
      <w:r>
        <w:rPr>
          <w:rFonts w:ascii="仿宋_GB2312" w:eastAsia="仿宋_GB2312"/>
          <w:b w:val="0"/>
          <w:sz w:val="32"/>
          <w:szCs w:val="32"/>
          <w:highlight w:val="none"/>
        </w:rPr>
        <w:t>基本养老保险缴费支出</w:t>
      </w:r>
      <w:r>
        <w:rPr>
          <w:rFonts w:hint="eastAsia" w:ascii="仿宋_GB2312" w:eastAsia="仿宋_GB2312"/>
          <w:b w:val="0"/>
          <w:sz w:val="32"/>
          <w:szCs w:val="32"/>
          <w:lang w:val="en-US" w:eastAsia="zh-CN"/>
        </w:rPr>
        <w:t>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yellow"/>
        </w:rPr>
      </w:pPr>
      <w:r>
        <w:rPr>
          <w:rFonts w:ascii="仿宋_GB2312" w:eastAsia="仿宋_GB2312"/>
          <w:b w:val="0"/>
          <w:sz w:val="32"/>
          <w:szCs w:val="32"/>
          <w:highlight w:val="none"/>
        </w:rPr>
        <w:t>社会保障和就业支出（类）行政事业单位养老支出（款）机关事业单位职业年金缴费支出（项）：支出决算数为10.66万元，比上年决算增加4.53万元，增长73.90%，主要原因是：</w:t>
      </w:r>
      <w:r>
        <w:rPr>
          <w:rFonts w:hint="eastAsia" w:ascii="仿宋_GB2312" w:eastAsia="仿宋_GB2312"/>
          <w:b w:val="0"/>
          <w:sz w:val="32"/>
          <w:szCs w:val="32"/>
          <w:lang w:val="en-US" w:eastAsia="zh-CN"/>
        </w:rPr>
        <w:t>本年度基数调增，导致</w:t>
      </w:r>
      <w:r>
        <w:rPr>
          <w:rFonts w:ascii="仿宋_GB2312" w:eastAsia="仿宋_GB2312"/>
          <w:b w:val="0"/>
          <w:sz w:val="32"/>
          <w:szCs w:val="32"/>
          <w:highlight w:val="none"/>
        </w:rPr>
        <w:t>职业年金缴费支出</w:t>
      </w:r>
      <w:r>
        <w:rPr>
          <w:rFonts w:hint="eastAsia" w:ascii="仿宋_GB2312" w:eastAsia="仿宋_GB2312"/>
          <w:b w:val="0"/>
          <w:sz w:val="32"/>
          <w:szCs w:val="32"/>
          <w:lang w:val="en-US" w:eastAsia="zh-CN"/>
        </w:rPr>
        <w:t>增加</w:t>
      </w:r>
      <w:r>
        <w:rPr>
          <w:rFonts w:hint="eastAsia" w:ascii="仿宋_GB2312" w:eastAsia="仿宋_GB2312"/>
          <w:b w:val="0"/>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卫生健康支出（类）行政事业单位医疗（款）行政单位医疗（项）：支出决算数为7.59万元，比上年决算减少7.98万元，下降51.25%，主要原因是：</w:t>
      </w:r>
      <w:r>
        <w:rPr>
          <w:rFonts w:hint="eastAsia" w:ascii="仿宋_GB2312" w:eastAsia="仿宋_GB2312"/>
          <w:b w:val="0"/>
          <w:sz w:val="32"/>
          <w:szCs w:val="32"/>
          <w:lang w:val="en-US" w:eastAsia="zh-CN"/>
        </w:rPr>
        <w:t>本年在职人员转退休1人，在职人员减少，导致本年</w:t>
      </w:r>
      <w:r>
        <w:rPr>
          <w:rFonts w:ascii="仿宋_GB2312" w:eastAsia="仿宋_GB2312"/>
          <w:b w:val="0"/>
          <w:sz w:val="32"/>
          <w:szCs w:val="32"/>
        </w:rPr>
        <w:t>行政单位医疗</w:t>
      </w:r>
      <w:r>
        <w:rPr>
          <w:rFonts w:hint="eastAsia" w:ascii="仿宋_GB2312" w:eastAsia="仿宋_GB2312"/>
          <w:b w:val="0"/>
          <w:sz w:val="32"/>
          <w:szCs w:val="32"/>
          <w:lang w:val="en-US" w:eastAsia="zh-CN"/>
        </w:rPr>
        <w:t>支出下降。</w:t>
      </w:r>
    </w:p>
    <w:p>
      <w:r>
        <w:rPr>
          <w:rFonts w:ascii="仿宋_GB2312" w:eastAsia="仿宋_GB2312"/>
          <w:b w:val="0"/>
          <w:sz w:val="32"/>
          <w:szCs w:val="32"/>
        </w:rPr>
        <w:t>卫生健康支出（类）行政事业单位医疗（款）公务员医疗补助（项）：支出决算数为2.41万元，比上年决算增加0.13万元，增长5.70%，主要原因是：</w:t>
      </w:r>
      <w:r>
        <w:rPr>
          <w:rFonts w:hint="eastAsia" w:ascii="仿宋_GB2312" w:eastAsia="仿宋_GB2312"/>
          <w:b w:val="0"/>
          <w:sz w:val="32"/>
          <w:szCs w:val="32"/>
          <w:lang w:val="en-US" w:eastAsia="zh-CN"/>
        </w:rPr>
        <w:t>本年度基数调增，导致</w:t>
      </w:r>
      <w:r>
        <w:rPr>
          <w:rFonts w:ascii="仿宋_GB2312" w:eastAsia="仿宋_GB2312"/>
          <w:b w:val="0"/>
          <w:sz w:val="32"/>
          <w:szCs w:val="32"/>
        </w:rPr>
        <w:t>公务员医疗补助支出</w:t>
      </w:r>
      <w:r>
        <w:rPr>
          <w:rFonts w:hint="eastAsia" w:ascii="仿宋_GB2312" w:eastAsia="仿宋_GB2312"/>
          <w:b w:val="0"/>
          <w:sz w:val="32"/>
          <w:szCs w:val="32"/>
          <w:lang w:val="en-US" w:eastAsia="zh-CN"/>
        </w:rPr>
        <w:t>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住房保障支出（类）住房改革支出（款）住房公积金（项）：支出决算数为13.06万元，比上年决算增加2.62万元，增长25.10%，主要原因是：</w:t>
      </w:r>
      <w:r>
        <w:rPr>
          <w:rFonts w:hint="eastAsia" w:ascii="仿宋_GB2312" w:eastAsia="仿宋_GB2312"/>
          <w:b w:val="0"/>
          <w:sz w:val="32"/>
          <w:szCs w:val="32"/>
          <w:lang w:val="en-US" w:eastAsia="zh-CN"/>
        </w:rPr>
        <w:t>本年度公积金基数调增，导致</w:t>
      </w:r>
      <w:r>
        <w:rPr>
          <w:rFonts w:ascii="仿宋_GB2312" w:eastAsia="仿宋_GB2312"/>
          <w:b w:val="0"/>
          <w:sz w:val="32"/>
          <w:szCs w:val="32"/>
        </w:rPr>
        <w:t>住房公积金支出</w:t>
      </w:r>
      <w:r>
        <w:rPr>
          <w:rFonts w:hint="eastAsia" w:ascii="仿宋_GB2312" w:eastAsia="仿宋_GB2312"/>
          <w:b w:val="0"/>
          <w:sz w:val="32"/>
          <w:szCs w:val="32"/>
          <w:lang w:val="en-US" w:eastAsia="zh-CN"/>
        </w:rPr>
        <w:t>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183.42万元，其中：人员经费177.42万元，包括：基本工资、津贴补贴、奖金、机关事业单位基本养老保险缴费、职业年金缴费、职工基本医疗保险缴费、公务员医疗补助缴费、其他社会保障缴费、住房公积金、其他工资福利支出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公用经费6.00万元，包括：办公费、印刷费、邮电费、培训费、工会经费、福利费和公务用车运行维护费。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2024年度财政拨款“三公”经费支出0.71万元，比上年减少0.30万元，下降29.70%，主要原因是：</w:t>
      </w:r>
      <w:r>
        <w:rPr>
          <w:rFonts w:hint="eastAsia" w:ascii="仿宋_GB2312" w:eastAsia="仿宋_GB2312"/>
          <w:b w:val="0"/>
          <w:sz w:val="32"/>
          <w:szCs w:val="32"/>
          <w:lang w:val="en-US" w:eastAsia="zh-CN"/>
        </w:rPr>
        <w:t>本年度</w:t>
      </w:r>
      <w:r>
        <w:rPr>
          <w:rFonts w:ascii="仿宋_GB2312" w:eastAsia="仿宋_GB2312"/>
          <w:b w:val="0"/>
          <w:sz w:val="32"/>
          <w:szCs w:val="32"/>
        </w:rPr>
        <w:t>公务用车购置及运行维护费</w:t>
      </w:r>
      <w:r>
        <w:rPr>
          <w:rFonts w:hint="eastAsia" w:ascii="仿宋_GB2312" w:eastAsia="仿宋_GB2312"/>
          <w:b w:val="0"/>
          <w:sz w:val="32"/>
          <w:szCs w:val="32"/>
          <w:lang w:val="en-US" w:eastAsia="zh-CN"/>
        </w:rPr>
        <w:t>较上年减少</w:t>
      </w:r>
      <w:r>
        <w:rPr>
          <w:rFonts w:ascii="仿宋_GB2312" w:eastAsia="仿宋_GB2312"/>
          <w:b w:val="0"/>
          <w:sz w:val="32"/>
          <w:szCs w:val="32"/>
        </w:rPr>
        <w:t>。其中：因公出国（境）费支出0.00万元,占0.00%，与上年相比无变化，主要原因是：</w:t>
      </w:r>
      <w:r>
        <w:rPr>
          <w:rFonts w:hint="eastAsia" w:ascii="仿宋_GB2312" w:eastAsia="仿宋_GB2312"/>
          <w:sz w:val="32"/>
          <w:szCs w:val="32"/>
          <w:lang w:val="zh-CN"/>
        </w:rPr>
        <w:t>我单位无因公出国（境）费支出</w:t>
      </w:r>
      <w:r>
        <w:rPr>
          <w:rFonts w:ascii="仿宋_GB2312" w:eastAsia="仿宋_GB2312"/>
          <w:b w:val="0"/>
          <w:sz w:val="32"/>
          <w:szCs w:val="32"/>
        </w:rPr>
        <w:t>；公务用车购置及运行维护费支出0.71万元，占100.00%，比上年减少0.30万元，下降29.70%，主要原因是：</w:t>
      </w:r>
      <w:r>
        <w:rPr>
          <w:rFonts w:hint="eastAsia" w:ascii="仿宋_GB2312" w:eastAsia="仿宋_GB2312"/>
          <w:b w:val="0"/>
          <w:sz w:val="32"/>
          <w:szCs w:val="32"/>
          <w:lang w:val="en-US" w:eastAsia="zh-CN"/>
        </w:rPr>
        <w:t>2023年支付了2022年车辆维修费，2024年无其他支出，导致本年度</w:t>
      </w:r>
      <w:r>
        <w:rPr>
          <w:rFonts w:ascii="仿宋_GB2312" w:eastAsia="仿宋_GB2312"/>
          <w:b w:val="0"/>
          <w:sz w:val="32"/>
          <w:szCs w:val="32"/>
        </w:rPr>
        <w:t>公务用车购置及运行维护费</w:t>
      </w:r>
      <w:r>
        <w:rPr>
          <w:rFonts w:hint="eastAsia" w:ascii="仿宋_GB2312" w:eastAsia="仿宋_GB2312"/>
          <w:b w:val="0"/>
          <w:sz w:val="32"/>
          <w:szCs w:val="32"/>
          <w:lang w:val="en-US" w:eastAsia="zh-CN"/>
        </w:rPr>
        <w:t>较上年减少</w:t>
      </w:r>
      <w:r>
        <w:rPr>
          <w:rFonts w:ascii="仿宋_GB2312" w:eastAsia="仿宋_GB2312"/>
          <w:b w:val="0"/>
          <w:sz w:val="32"/>
          <w:szCs w:val="32"/>
        </w:rPr>
        <w:t>；公务接待费支出0.00万元，占0.00%，与上年相比无变化，主要原因是：</w:t>
      </w:r>
      <w:r>
        <w:rPr>
          <w:rFonts w:hint="eastAsia" w:ascii="仿宋_GB2312" w:eastAsia="仿宋_GB2312"/>
          <w:sz w:val="32"/>
          <w:szCs w:val="32"/>
          <w:lang w:val="zh-CN"/>
        </w:rPr>
        <w:t>我单位无公务接待费支出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公务用车购置及运行维护费0.71万元，其中：公务用车购置费0.00万元，公务用车运行维护费0.71万元。公务用车运行维护费开支内容包括</w:t>
      </w:r>
      <w:r>
        <w:rPr>
          <w:rFonts w:hint="eastAsia" w:ascii="仿宋_GB2312" w:eastAsia="仿宋_GB2312"/>
          <w:b w:val="0"/>
          <w:sz w:val="32"/>
          <w:szCs w:val="32"/>
          <w:lang w:val="en-US" w:eastAsia="zh-CN"/>
        </w:rPr>
        <w:t>保险费、维护修理费</w:t>
      </w:r>
      <w:r>
        <w:rPr>
          <w:rFonts w:ascii="仿宋_GB2312" w:eastAsia="仿宋_GB2312"/>
          <w:b w:val="0"/>
          <w:sz w:val="32"/>
          <w:szCs w:val="32"/>
        </w:rPr>
        <w:t>。公务用车购置数0辆，公务用车保有量1辆。国有资产占用情况中固定资产车辆1辆，与公务用车保有量差异原因是：</w:t>
      </w:r>
      <w:r>
        <w:rPr>
          <w:rFonts w:hint="eastAsia" w:ascii="仿宋_GB2312" w:eastAsia="仿宋_GB2312"/>
          <w:color w:val="auto"/>
          <w:sz w:val="32"/>
          <w:szCs w:val="32"/>
          <w:highlight w:val="none"/>
          <w:lang w:val="zh-CN" w:eastAsia="zh-CN"/>
        </w:rPr>
        <w:t>国有资产占用情况中固定资产车辆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保有量一致，无差异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r>
        <w:rPr>
          <w:rFonts w:ascii="仿宋_GB2312" w:eastAsia="仿宋_GB2312"/>
          <w:b w:val="0"/>
          <w:sz w:val="32"/>
          <w:szCs w:val="32"/>
        </w:rPr>
        <w:t>与全年预算相比，财政拨款“三公”经费支出全年预算数0.71万元，决算数0.71万元，预决算差异率0.00%，主要原因是：</w:t>
      </w:r>
      <w:r>
        <w:rPr>
          <w:rFonts w:hint="eastAsia" w:ascii="仿宋_GB2312" w:eastAsia="仿宋_GB2312"/>
          <w:sz w:val="32"/>
          <w:szCs w:val="32"/>
          <w:lang w:val="en-US" w:eastAsia="zh-CN"/>
        </w:rPr>
        <w:t>厉行节约</w:t>
      </w:r>
      <w:r>
        <w:rPr>
          <w:rFonts w:hint="eastAsia" w:ascii="仿宋_GB2312" w:eastAsia="仿宋_GB2312"/>
          <w:sz w:val="32"/>
          <w:szCs w:val="32"/>
          <w:lang w:val="zh-CN"/>
        </w:rPr>
        <w:t>精简支出，</w:t>
      </w:r>
      <w:r>
        <w:rPr>
          <w:rFonts w:hint="eastAsia" w:ascii="仿宋_GB2312" w:eastAsia="仿宋_GB2312"/>
          <w:sz w:val="32"/>
          <w:szCs w:val="32"/>
        </w:rPr>
        <w:t>预决算保持一致</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sz w:val="32"/>
          <w:szCs w:val="32"/>
          <w:lang w:val="zh-CN"/>
        </w:rPr>
        <w:t>我单位无因公出国（境）费支出</w:t>
      </w:r>
    </w:p>
    <w:p>
      <w:pPr>
        <w:rPr>
          <w:rFonts w:ascii="仿宋_GB2312" w:eastAsia="仿宋_GB2312"/>
          <w:sz w:val="32"/>
          <w:szCs w:val="32"/>
        </w:rPr>
      </w:pP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sz w:val="32"/>
          <w:szCs w:val="32"/>
          <w:lang w:val="zh-CN"/>
        </w:rPr>
        <w:t>我单位无</w:t>
      </w:r>
      <w:r>
        <w:rPr>
          <w:rFonts w:hint="eastAsia" w:ascii="仿宋_GB2312" w:eastAsia="仿宋_GB2312"/>
          <w:sz w:val="32"/>
          <w:szCs w:val="32"/>
        </w:rPr>
        <w:t>公务用车购置费支出</w:t>
      </w:r>
      <w:r>
        <w:rPr>
          <w:rFonts w:hint="eastAsia" w:ascii="仿宋_GB2312" w:eastAsia="仿宋_GB2312"/>
          <w:sz w:val="32"/>
          <w:szCs w:val="32"/>
          <w:lang w:eastAsia="zh-CN"/>
        </w:rPr>
        <w:t>。</w:t>
      </w:r>
      <w:r>
        <w:rPr>
          <w:rFonts w:ascii="仿宋_GB2312" w:eastAsia="仿宋_GB2312"/>
          <w:b w:val="0"/>
          <w:sz w:val="32"/>
          <w:szCs w:val="32"/>
        </w:rPr>
        <w:t>公务用车运行维护费全年预算数0.71万元，决算数0.71万元，预决算差异率0.00%，主要原因是：</w:t>
      </w:r>
      <w:r>
        <w:rPr>
          <w:rFonts w:hint="eastAsia" w:ascii="仿宋_GB2312" w:eastAsia="仿宋_GB2312"/>
          <w:sz w:val="32"/>
          <w:szCs w:val="32"/>
          <w:lang w:val="en-US" w:eastAsia="zh-CN"/>
        </w:rPr>
        <w:t>厉行节约</w:t>
      </w:r>
      <w:bookmarkStart w:id="0" w:name="_GoBack"/>
      <w:bookmarkEnd w:id="0"/>
      <w:r>
        <w:rPr>
          <w:rFonts w:hint="eastAsia" w:ascii="仿宋_GB2312" w:eastAsia="仿宋_GB2312"/>
          <w:sz w:val="32"/>
          <w:szCs w:val="32"/>
          <w:lang w:val="zh-CN"/>
        </w:rPr>
        <w:t>精简支出，</w:t>
      </w:r>
      <w:r>
        <w:rPr>
          <w:rFonts w:hint="eastAsia" w:ascii="仿宋_GB2312" w:eastAsia="仿宋_GB2312"/>
          <w:sz w:val="32"/>
          <w:szCs w:val="32"/>
        </w:rPr>
        <w:t>预决算保持一致</w:t>
      </w:r>
      <w:r>
        <w:rPr>
          <w:rFonts w:ascii="仿宋_GB2312" w:eastAsia="仿宋_GB2312"/>
          <w:b w:val="0"/>
          <w:sz w:val="32"/>
          <w:szCs w:val="32"/>
        </w:rPr>
        <w:t>。公务接待费全年预算数0.00万元，决算数0.00万元，预决算差异率0.00%，主要原因是：</w:t>
      </w:r>
      <w:r>
        <w:rPr>
          <w:rFonts w:hint="eastAsia" w:ascii="仿宋_GB2312" w:eastAsia="仿宋_GB2312"/>
          <w:sz w:val="32"/>
          <w:szCs w:val="32"/>
          <w:lang w:val="zh-CN"/>
        </w:rPr>
        <w:t>我单位无公务接待费支出。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2024年度库尔勒市妇女联合会部门机关运行经费支出6.00万元，比上年增加3.76万元，增长167.86%，主要原因是：。</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2024年度政府采购支出总额4.23万元，其中：政府采购货物支出1.41万元、政府采购工程支出0.00万元、政府采购服务支出2.82万元。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授予中小企业合同金额4.23万元，占政府采购支出总额的100.00%，其中：授予小微企业合同金额1.27万元，占政府采购支出总额的30.02%。</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11.16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b w:val="0"/>
          <w:sz w:val="32"/>
          <w:szCs w:val="32"/>
        </w:rPr>
        <w:t>单位公务用车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根据预算绩效管理要求，本部门2024年度预算绩效管理形成整体支出绩效自评表1个，全年预算总额</w:t>
      </w:r>
      <w:r>
        <w:rPr>
          <w:rFonts w:hint="eastAsia" w:ascii="仿宋_GB2312" w:eastAsia="仿宋_GB2312"/>
          <w:b w:val="0"/>
          <w:sz w:val="32"/>
          <w:szCs w:val="32"/>
          <w:lang w:val="en-US" w:eastAsia="zh-CN"/>
        </w:rPr>
        <w:t>183.74</w:t>
      </w:r>
      <w:r>
        <w:rPr>
          <w:rFonts w:ascii="仿宋_GB2312" w:eastAsia="仿宋_GB2312"/>
          <w:b w:val="0"/>
          <w:sz w:val="32"/>
          <w:szCs w:val="32"/>
        </w:rPr>
        <w:t>万元，实际执行总额</w:t>
      </w:r>
      <w:r>
        <w:rPr>
          <w:rFonts w:hint="eastAsia" w:ascii="仿宋_GB2312" w:eastAsia="仿宋_GB2312"/>
          <w:b w:val="0"/>
          <w:sz w:val="32"/>
          <w:szCs w:val="32"/>
          <w:lang w:val="en-US" w:eastAsia="zh-CN"/>
        </w:rPr>
        <w:t>183.74</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1</w:t>
      </w:r>
      <w:r>
        <w:rPr>
          <w:rFonts w:ascii="仿宋_GB2312" w:eastAsia="仿宋_GB2312"/>
          <w:b w:val="0"/>
          <w:sz w:val="32"/>
          <w:szCs w:val="32"/>
        </w:rPr>
        <w:t>个，全年预算数</w:t>
      </w:r>
      <w:r>
        <w:rPr>
          <w:rFonts w:hint="eastAsia" w:ascii="仿宋_GB2312" w:eastAsia="仿宋_GB2312"/>
          <w:b w:val="0"/>
          <w:sz w:val="32"/>
          <w:szCs w:val="32"/>
          <w:lang w:val="en-US" w:eastAsia="zh-CN"/>
        </w:rPr>
        <w:t>1</w:t>
      </w:r>
      <w:r>
        <w:rPr>
          <w:rFonts w:ascii="仿宋_GB2312" w:eastAsia="仿宋_GB2312"/>
          <w:b w:val="0"/>
          <w:sz w:val="32"/>
          <w:szCs w:val="32"/>
        </w:rPr>
        <w:t>万元，全年执行数</w:t>
      </w:r>
      <w:r>
        <w:rPr>
          <w:rFonts w:hint="eastAsia" w:ascii="仿宋_GB2312" w:eastAsia="仿宋_GB2312"/>
          <w:b w:val="0"/>
          <w:sz w:val="32"/>
          <w:szCs w:val="32"/>
          <w:lang w:val="en-US" w:eastAsia="zh-CN"/>
        </w:rPr>
        <w:t>0.33</w:t>
      </w:r>
      <w:r>
        <w:rPr>
          <w:rFonts w:ascii="仿宋_GB2312" w:eastAsia="仿宋_GB2312"/>
          <w:b w:val="0"/>
          <w:sz w:val="32"/>
          <w:szCs w:val="32"/>
        </w:rPr>
        <w:t>万元。</w:t>
      </w:r>
      <w:r>
        <w:rPr>
          <w:rFonts w:hint="eastAsia" w:ascii="仿宋_GB2312" w:eastAsia="仿宋_GB2312"/>
          <w:b w:val="0"/>
          <w:sz w:val="32"/>
          <w:szCs w:val="32"/>
        </w:rPr>
        <w:t>预算绩效管理取得的成效：一是通过绩效评价分析部门整体支出对单位基本运转及单位职能履职的保障作用，总结经验做法，找出资金使用和管理中的薄弱环节，进一步加强预算管理，提高财政资金使用效益。发现的问题及原因：（1）预算绩效观念不深入。在日常绩效工作中存在着一定程度的“重分配、轻管理、重支出、轻绩效”的情况，造成该问题的主要原因是自身绩效理念较薄弱，单位绩效目标编制仍有缺失，需要进一步加强对资金绩效管理的重视程度。（2）预算绩效规范管理有盲点。财务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一是建立健全的预算绩效管理体制，加强对预算绩效相关知识的了解和掌握，促进绩效管理工作向广度和深度延伸，切实提高部门预算收支管理水平；二是加强财务管理，严格财务审核，在费用报账支付时，按照预算规定费用项目和用途进行资金使用审核、列报支付、财务核算，杜绝超支现象发生。</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-409575</wp:posOffset>
            </wp:positionH>
            <wp:positionV relativeFrom="paragraph">
              <wp:posOffset>-9525</wp:posOffset>
            </wp:positionV>
            <wp:extent cx="6614795" cy="7520940"/>
            <wp:effectExtent l="0" t="0" r="14605" b="381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614795" cy="752094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bidi w:val="0"/>
        <w:rPr>
          <w:rFonts w:asciiTheme="minorHAnsi" w:hAnsiTheme="minorHAnsi" w:eastAsiaTheme="minorEastAsia" w:cstheme="minorBidi"/>
          <w:sz w:val="21"/>
          <w:szCs w:val="22"/>
        </w:rPr>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tabs>
          <w:tab w:val="left" w:pos="1493"/>
        </w:tabs>
        <w:bidi w:val="0"/>
        <w:jc w:val="left"/>
        <w:rPr>
          <w:rFonts w:hint="eastAsia"/>
          <w:lang w:eastAsia="zh-CN"/>
        </w:rPr>
      </w:pPr>
      <w:r>
        <w:rPr>
          <w:rFonts w:hint="eastAsia"/>
          <w:lang w:eastAsia="zh-CN"/>
        </w:rPr>
        <w:tab/>
      </w:r>
    </w:p>
    <w:p>
      <w:pPr>
        <w:tabs>
          <w:tab w:val="left" w:pos="1493"/>
        </w:tabs>
        <w:bidi w:val="0"/>
        <w:jc w:val="left"/>
        <w:rPr>
          <w:rFonts w:hint="eastAsia"/>
          <w:lang w:eastAsia="zh-CN"/>
        </w:rPr>
      </w:pPr>
    </w:p>
    <w:p>
      <w:pPr>
        <w:tabs>
          <w:tab w:val="left" w:pos="1493"/>
        </w:tabs>
        <w:bidi w:val="0"/>
        <w:jc w:val="left"/>
        <w:rPr>
          <w:rFonts w:hint="eastAsia"/>
          <w:lang w:eastAsia="zh-CN"/>
        </w:rPr>
      </w:pPr>
      <w:r>
        <w:drawing>
          <wp:anchor distT="0" distB="0" distL="114300" distR="114300" simplePos="0" relativeHeight="251660288" behindDoc="0" locked="0" layoutInCell="1" allowOverlap="1">
            <wp:simplePos x="0" y="0"/>
            <wp:positionH relativeFrom="column">
              <wp:posOffset>-419100</wp:posOffset>
            </wp:positionH>
            <wp:positionV relativeFrom="paragraph">
              <wp:posOffset>19050</wp:posOffset>
            </wp:positionV>
            <wp:extent cx="6582410" cy="7701280"/>
            <wp:effectExtent l="0" t="0" r="8890" b="1397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582410" cy="7701280"/>
                    </a:xfrm>
                    <a:prstGeom prst="rect">
                      <a:avLst/>
                    </a:prstGeom>
                    <a:noFill/>
                    <a:ln>
                      <a:noFill/>
                    </a:ln>
                  </pic:spPr>
                </pic:pic>
              </a:graphicData>
            </a:graphic>
          </wp:anchor>
        </w:drawing>
      </w: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r>
        <w:drawing>
          <wp:anchor distT="0" distB="0" distL="114300" distR="114300" simplePos="0" relativeHeight="251661312" behindDoc="0" locked="0" layoutInCell="1" allowOverlap="1">
            <wp:simplePos x="0" y="0"/>
            <wp:positionH relativeFrom="column">
              <wp:posOffset>-476250</wp:posOffset>
            </wp:positionH>
            <wp:positionV relativeFrom="paragraph">
              <wp:posOffset>29210</wp:posOffset>
            </wp:positionV>
            <wp:extent cx="6786245" cy="6248400"/>
            <wp:effectExtent l="0" t="0" r="1460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786245" cy="6248400"/>
                    </a:xfrm>
                    <a:prstGeom prst="rect">
                      <a:avLst/>
                    </a:prstGeom>
                    <a:noFill/>
                    <a:ln>
                      <a:noFill/>
                    </a:ln>
                  </pic:spPr>
                </pic:pic>
              </a:graphicData>
            </a:graphic>
          </wp:anchor>
        </w:drawing>
      </w: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r>
        <w:drawing>
          <wp:anchor distT="0" distB="0" distL="114300" distR="114300" simplePos="0" relativeHeight="251662336" behindDoc="0" locked="0" layoutInCell="1" allowOverlap="1">
            <wp:simplePos x="0" y="0"/>
            <wp:positionH relativeFrom="column">
              <wp:posOffset>-381000</wp:posOffset>
            </wp:positionH>
            <wp:positionV relativeFrom="paragraph">
              <wp:posOffset>48260</wp:posOffset>
            </wp:positionV>
            <wp:extent cx="6417945" cy="7987665"/>
            <wp:effectExtent l="0" t="0" r="1905" b="1333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6417945" cy="7987665"/>
                    </a:xfrm>
                    <a:prstGeom prst="rect">
                      <a:avLst/>
                    </a:prstGeom>
                    <a:noFill/>
                    <a:ln>
                      <a:noFill/>
                    </a:ln>
                  </pic:spPr>
                </pic:pic>
              </a:graphicData>
            </a:graphic>
          </wp:anchor>
        </w:drawing>
      </w: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r>
        <w:drawing>
          <wp:anchor distT="0" distB="0" distL="114300" distR="114300" simplePos="0" relativeHeight="251663360" behindDoc="0" locked="0" layoutInCell="1" allowOverlap="1">
            <wp:simplePos x="0" y="0"/>
            <wp:positionH relativeFrom="column">
              <wp:posOffset>-419100</wp:posOffset>
            </wp:positionH>
            <wp:positionV relativeFrom="paragraph">
              <wp:posOffset>0</wp:posOffset>
            </wp:positionV>
            <wp:extent cx="6529705" cy="7616190"/>
            <wp:effectExtent l="0" t="0" r="4445" b="381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6529705" cy="7616190"/>
                    </a:xfrm>
                    <a:prstGeom prst="rect">
                      <a:avLst/>
                    </a:prstGeom>
                    <a:noFill/>
                    <a:ln>
                      <a:noFill/>
                    </a:ln>
                  </pic:spPr>
                </pic:pic>
              </a:graphicData>
            </a:graphic>
          </wp:anchor>
        </w:drawing>
      </w: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r>
        <w:drawing>
          <wp:anchor distT="0" distB="0" distL="114300" distR="114300" simplePos="0" relativeHeight="251664384" behindDoc="0" locked="0" layoutInCell="1" allowOverlap="1">
            <wp:simplePos x="0" y="0"/>
            <wp:positionH relativeFrom="column">
              <wp:posOffset>-447675</wp:posOffset>
            </wp:positionH>
            <wp:positionV relativeFrom="paragraph">
              <wp:posOffset>76200</wp:posOffset>
            </wp:positionV>
            <wp:extent cx="6664325" cy="7565390"/>
            <wp:effectExtent l="0" t="0" r="3175" b="1651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6664325" cy="7565390"/>
                    </a:xfrm>
                    <a:prstGeom prst="rect">
                      <a:avLst/>
                    </a:prstGeom>
                    <a:noFill/>
                    <a:ln>
                      <a:noFill/>
                    </a:ln>
                  </pic:spPr>
                </pic:pic>
              </a:graphicData>
            </a:graphic>
          </wp:anchor>
        </w:drawing>
      </w: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r>
        <w:drawing>
          <wp:anchor distT="0" distB="0" distL="114300" distR="114300" simplePos="0" relativeHeight="251665408" behindDoc="0" locked="0" layoutInCell="1" allowOverlap="1">
            <wp:simplePos x="0" y="0"/>
            <wp:positionH relativeFrom="column">
              <wp:posOffset>-381000</wp:posOffset>
            </wp:positionH>
            <wp:positionV relativeFrom="paragraph">
              <wp:posOffset>19050</wp:posOffset>
            </wp:positionV>
            <wp:extent cx="6572885" cy="4263390"/>
            <wp:effectExtent l="0" t="0" r="18415" b="381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6572885" cy="4263390"/>
                    </a:xfrm>
                    <a:prstGeom prst="rect">
                      <a:avLst/>
                    </a:prstGeom>
                    <a:noFill/>
                    <a:ln>
                      <a:noFill/>
                    </a:ln>
                  </pic:spPr>
                </pic:pic>
              </a:graphicData>
            </a:graphic>
          </wp:anchor>
        </w:drawing>
      </w: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r>
        <w:drawing>
          <wp:anchor distT="0" distB="0" distL="114300" distR="114300" simplePos="0" relativeHeight="251666432" behindDoc="0" locked="0" layoutInCell="1" allowOverlap="1">
            <wp:simplePos x="0" y="0"/>
            <wp:positionH relativeFrom="column">
              <wp:posOffset>-390525</wp:posOffset>
            </wp:positionH>
            <wp:positionV relativeFrom="paragraph">
              <wp:posOffset>57785</wp:posOffset>
            </wp:positionV>
            <wp:extent cx="6737985" cy="4417060"/>
            <wp:effectExtent l="0" t="0" r="5715" b="254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6737985" cy="4417060"/>
                    </a:xfrm>
                    <a:prstGeom prst="rect">
                      <a:avLst/>
                    </a:prstGeom>
                    <a:noFill/>
                    <a:ln>
                      <a:noFill/>
                    </a:ln>
                  </pic:spPr>
                </pic:pic>
              </a:graphicData>
            </a:graphic>
          </wp:anchor>
        </w:drawing>
      </w: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r>
        <w:drawing>
          <wp:anchor distT="0" distB="0" distL="114300" distR="114300" simplePos="0" relativeHeight="251667456" behindDoc="0" locked="0" layoutInCell="1" allowOverlap="1">
            <wp:simplePos x="0" y="0"/>
            <wp:positionH relativeFrom="column">
              <wp:posOffset>-390525</wp:posOffset>
            </wp:positionH>
            <wp:positionV relativeFrom="paragraph">
              <wp:posOffset>124460</wp:posOffset>
            </wp:positionV>
            <wp:extent cx="6657340" cy="4117340"/>
            <wp:effectExtent l="0" t="0" r="10160" b="1651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6657340" cy="4117340"/>
                    </a:xfrm>
                    <a:prstGeom prst="rect">
                      <a:avLst/>
                    </a:prstGeom>
                    <a:noFill/>
                    <a:ln>
                      <a:noFill/>
                    </a:ln>
                  </pic:spPr>
                </pic:pic>
              </a:graphicData>
            </a:graphic>
          </wp:anchor>
        </w:drawing>
      </w: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p>
      <w:pPr>
        <w:tabs>
          <w:tab w:val="left" w:pos="1493"/>
        </w:tabs>
        <w:bidi w:val="0"/>
        <w:jc w:val="left"/>
        <w:rPr>
          <w:rFonts w:hint="eastAsia"/>
          <w:lang w:eastAsia="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E76092"/>
    <w:rsid w:val="23F267BF"/>
    <w:rsid w:val="3745014E"/>
    <w:rsid w:val="416377FB"/>
    <w:rsid w:val="4BC1357E"/>
    <w:rsid w:val="4C1357DD"/>
    <w:rsid w:val="53DE4F2C"/>
    <w:rsid w:val="6E792119"/>
    <w:rsid w:val="7245026F"/>
    <w:rsid w:val="72811B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2025-08-15T07:08:00Z</dcterms:created>
  <dc:creator>Administrator</dc:creator>
  <cp:lastModifiedBy>lenovo</cp:lastModifiedBy>
  <dcterms:modified xsi:type="dcterms:W3CDTF">2025-09-02T04:10:11Z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D5DBAD65989943D3BB406B6F01814141</vt:lpwstr>
  </property>
</Properties>
</file>