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center"/>
        <w:outlineLvl w:val="0"/>
        <w:rPr>
          <w:rFonts w:ascii="宋体" w:eastAsia="黑体"/>
          <w:sz w:val="44"/>
          <w:szCs w:val="44"/>
          <w:highlight w:val="none"/>
        </w:rPr>
      </w:pPr>
      <w:r>
        <w:rPr>
          <w:rFonts w:ascii="宋体" w:eastAsia="黑体"/>
          <w:b w:val="0"/>
          <w:sz w:val="44"/>
          <w:szCs w:val="44"/>
          <w:highlight w:val="none"/>
        </w:rPr>
        <w:t>库尔勒市天山街道办事处</w:t>
      </w:r>
    </w:p>
    <w:p>
      <w:pPr>
        <w:widowControl/>
        <w:spacing w:before="0" w:beforeLines="0" w:beforeAutospacing="0" w:after="0" w:afterLines="0" w:afterAutospacing="0" w:line="240" w:lineRule="auto"/>
        <w:jc w:val="center"/>
        <w:outlineLvl w:val="0"/>
        <w:rPr>
          <w:rFonts w:ascii="黑体" w:eastAsia="黑体"/>
          <w:sz w:val="44"/>
          <w:szCs w:val="44"/>
          <w:highlight w:val="none"/>
        </w:rPr>
      </w:pPr>
      <w:r>
        <w:rPr>
          <w:rFonts w:ascii="黑体" w:eastAsia="黑体"/>
          <w:b w:val="0"/>
          <w:sz w:val="44"/>
          <w:szCs w:val="44"/>
          <w:highlight w:val="none"/>
        </w:rPr>
        <w:t>2024年度部门决算公开说明</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rPr>
          <w:rFonts w:ascii="黑体" w:eastAsia="黑体"/>
          <w:sz w:val="32"/>
          <w:szCs w:val="32"/>
          <w:highlight w:val="none"/>
        </w:rPr>
      </w:pPr>
      <w:r>
        <w:rPr>
          <w:rFonts w:ascii="黑体" w:eastAsia="黑体"/>
          <w:b/>
          <w:sz w:val="32"/>
          <w:szCs w:val="32"/>
          <w:highlight w:val="none"/>
        </w:rPr>
        <w:t>目录</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第一部分单位概况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一、主要职能</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二、机构设置及人员情况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（二）政府采购情况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十二、其他需说明的事项</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第三部分专业名词解释</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1）贯彻执行党和国家的各项方针、政策、法令、法规上级人民政府关于街道工作方面的决定，制定具体的管理办法并组织实施。（2）负责辖区内的社会管理综合治理，人民调解、法律服务工作，依照有关规定管理外来流动人员。（3）开展社区服务、拥军优属工作，负责社区优抚、社会救济、社会福利工作，做好社区文化、科普、体育、教育工作。（4）按照职责范围做好计划生育、爱国卫生、绿化、环境保护、劳动就业、安全生产等管理工作。（5）配合有关部门做好防汛、防风、防火、防震、抢险和防灾救灾工作。（6）会同有关部门做好本辖区综治等工作；（7）负责辖区内市容市貌和环境卫生的日常管理工作，发动辖区单位和群众保护环境，开展爱国卫生运动；（8）指导和帮助居民委员会的工作，调解解决行政事务、社会管理和公共服务方面的问题，促进居民委员会的依法建设。（9）协助武装部门做好国防动员、民兵训练和公民服兵役工作；（10）维护老年人、妇女、青少年、儿童和残疾人的合法权益。（11）动员和领导居民及各单位、各部门开展社区建设工作；制定并实施社区建设规划和年度计划；（12）向市党委、市政府反映居民群众的意见和要求，办理人民群众的来信来访等事项。（13）承办市党委、市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库尔勒市天山街道办事处2024年度，实有人数110人，其中：在职人员82人，增加1人；离休人员0人，较上年无变化；退休人员28人，增加3人。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库尔勒市天山街道办事处无下属预算单位，下设7个</w:t>
      </w:r>
      <w:r>
        <w:rPr>
          <w:rFonts w:hint="default" w:ascii="Times New Roman" w:hAnsi="Times New Roman" w:eastAsia="仿宋_GB2312" w:cs="Times New Roman"/>
          <w:b w:val="0"/>
          <w:sz w:val="31"/>
          <w:szCs w:val="31"/>
          <w:lang w:val="en-US" w:eastAsia="zh-CN"/>
        </w:rPr>
        <w:t>处室</w:t>
      </w:r>
      <w:r>
        <w:rPr>
          <w:rFonts w:ascii="仿宋_GB2312" w:eastAsia="仿宋_GB2312"/>
          <w:b w:val="0"/>
          <w:sz w:val="32"/>
          <w:szCs w:val="32"/>
          <w:highlight w:val="none"/>
        </w:rPr>
        <w:t>，分别是：党建工作办公室、综合协调办公室、综合执法办公室、党群服务中心、社会事务服务中心（退役军人服务站）、综治和网格化服务中心、经济发展中心。</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2024年度收入总计2,251.83万元，其中：本年收入合计2,251.83万元，使用非财政拨款结余（含专用结余）0.00万元，年初结转和结余0.00万元。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2024年度支出总计2,251.83万元，其中：本年支出合计2,251.83万元，结余分配0.00万元，年末结转和结余0.00万元。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收入支出总体与上年相比，减少177.37万元，下降7.30%，主要原因是：本年度1名事业编制人员辞职</w:t>
      </w:r>
      <w:r>
        <w:rPr>
          <w:rFonts w:hint="eastAsia" w:ascii="仿宋_GB2312" w:eastAsia="仿宋_GB2312"/>
          <w:b w:val="0"/>
          <w:sz w:val="32"/>
          <w:szCs w:val="32"/>
          <w:highlight w:val="none"/>
          <w:lang w:val="en-US" w:eastAsia="zh-CN"/>
        </w:rPr>
        <w:t>;</w:t>
      </w:r>
      <w:r>
        <w:rPr>
          <w:rFonts w:ascii="仿宋_GB2312" w:eastAsia="仿宋_GB2312"/>
          <w:b w:val="0"/>
          <w:sz w:val="32"/>
          <w:szCs w:val="32"/>
          <w:highlight w:val="none"/>
        </w:rPr>
        <w:t>临聘人员减少32名</w:t>
      </w:r>
      <w:r>
        <w:rPr>
          <w:rFonts w:hint="eastAsia" w:ascii="仿宋_GB2312" w:eastAsia="仿宋_GB2312"/>
          <w:b w:val="0"/>
          <w:sz w:val="32"/>
          <w:szCs w:val="32"/>
          <w:highlight w:val="none"/>
          <w:lang w:val="en-US" w:eastAsia="zh-CN"/>
        </w:rPr>
        <w:t>;</w:t>
      </w:r>
      <w:r>
        <w:rPr>
          <w:rFonts w:ascii="仿宋_GB2312" w:eastAsia="仿宋_GB2312"/>
          <w:b w:val="0"/>
          <w:sz w:val="32"/>
          <w:szCs w:val="32"/>
          <w:highlight w:val="none"/>
        </w:rPr>
        <w:t>在编人员3人退休；</w:t>
      </w:r>
      <w:r>
        <w:rPr>
          <w:rFonts w:hint="eastAsia" w:ascii="仿宋_GB2312" w:eastAsia="仿宋_GB2312"/>
          <w:b w:val="0"/>
          <w:sz w:val="32"/>
          <w:szCs w:val="32"/>
          <w:highlight w:val="none"/>
          <w:lang w:val="en-US" w:eastAsia="zh-CN"/>
        </w:rPr>
        <w:t>2023年支付了</w:t>
      </w:r>
      <w:r>
        <w:rPr>
          <w:rFonts w:ascii="仿宋_GB2312" w:eastAsia="仿宋_GB2312"/>
          <w:b w:val="0"/>
          <w:sz w:val="32"/>
          <w:szCs w:val="32"/>
          <w:highlight w:val="none"/>
        </w:rPr>
        <w:t>延续项目-新財教（2019）205号巴财教（2019）79号提前下达2020年中央专项彩票公益金支持地方体育</w:t>
      </w:r>
      <w:r>
        <w:rPr>
          <w:rFonts w:hint="eastAsia" w:ascii="仿宋_GB2312" w:eastAsia="仿宋_GB2312"/>
          <w:b w:val="0"/>
          <w:sz w:val="32"/>
          <w:szCs w:val="32"/>
          <w:highlight w:val="none"/>
          <w:lang w:val="en-US" w:eastAsia="zh-CN"/>
        </w:rPr>
        <w:t>事业</w:t>
      </w:r>
      <w:r>
        <w:rPr>
          <w:rFonts w:ascii="仿宋_GB2312" w:eastAsia="仿宋_GB2312"/>
          <w:b w:val="0"/>
          <w:sz w:val="32"/>
          <w:szCs w:val="32"/>
          <w:highlight w:val="none"/>
        </w:rPr>
        <w:t>专项资金预算天山街道双拥社区健身中心工程</w:t>
      </w:r>
      <w:r>
        <w:rPr>
          <w:rFonts w:hint="eastAsia" w:ascii="仿宋_GB2312" w:eastAsia="仿宋_GB2312"/>
          <w:b w:val="0"/>
          <w:sz w:val="32"/>
          <w:szCs w:val="32"/>
          <w:highlight w:val="none"/>
          <w:lang w:val="en-US" w:eastAsia="zh-CN"/>
        </w:rPr>
        <w:t>尾款</w:t>
      </w:r>
      <w:r>
        <w:rPr>
          <w:rFonts w:ascii="仿宋_GB2312" w:eastAsia="仿宋_GB2312"/>
          <w:b w:val="0"/>
          <w:sz w:val="32"/>
          <w:szCs w:val="32"/>
          <w:highlight w:val="none"/>
        </w:rPr>
        <w:t>，该项目款</w:t>
      </w:r>
      <w:r>
        <w:rPr>
          <w:rFonts w:hint="eastAsia" w:ascii="仿宋_GB2312" w:eastAsia="仿宋_GB2312"/>
          <w:b w:val="0"/>
          <w:sz w:val="32"/>
          <w:szCs w:val="32"/>
          <w:highlight w:val="none"/>
          <w:lang w:val="en-US" w:eastAsia="zh-CN"/>
        </w:rPr>
        <w:t>于2023年度</w:t>
      </w:r>
      <w:r>
        <w:rPr>
          <w:rFonts w:ascii="仿宋_GB2312" w:eastAsia="仿宋_GB2312"/>
          <w:b w:val="0"/>
          <w:sz w:val="32"/>
          <w:szCs w:val="32"/>
          <w:highlight w:val="none"/>
        </w:rPr>
        <w:t>全部结清</w:t>
      </w:r>
      <w:r>
        <w:rPr>
          <w:rFonts w:hint="eastAsia" w:ascii="仿宋_GB2312" w:eastAsia="仿宋_GB2312"/>
          <w:b w:val="0"/>
          <w:sz w:val="32"/>
          <w:szCs w:val="32"/>
          <w:highlight w:val="none"/>
          <w:lang w:val="en-US" w:eastAsia="zh-CN"/>
        </w:rPr>
        <w:t>，综合以上2024</w:t>
      </w:r>
      <w:r>
        <w:rPr>
          <w:rFonts w:ascii="仿宋_GB2312" w:eastAsia="仿宋_GB2312"/>
          <w:b w:val="0"/>
          <w:sz w:val="32"/>
          <w:szCs w:val="32"/>
          <w:highlight w:val="none"/>
        </w:rPr>
        <w:t>年度</w:t>
      </w:r>
      <w:r>
        <w:rPr>
          <w:rFonts w:hint="eastAsia" w:ascii="仿宋_GB2312" w:eastAsia="仿宋_GB2312"/>
          <w:b w:val="0"/>
          <w:sz w:val="32"/>
          <w:szCs w:val="32"/>
          <w:highlight w:val="none"/>
          <w:lang w:val="en-US" w:eastAsia="zh-CN"/>
        </w:rPr>
        <w:t>收入支出总体较上年减少</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本年收入2,251.83万元，其中：财政拨款收入2,251.83万元,占100.00%；上级补助收入0.00万元,占0.00%；事业收入0.00万元，占0.00%；经营收入0.00万元,占0.00%；附属单位上缴收入0.00万元，占0.00%；其他收入0.00万元，占0.00%。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三、支出决算情况说明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highlight w:val="none"/>
          <w:lang w:val="en-US" w:eastAsia="zh-CN"/>
        </w:rPr>
      </w:pPr>
      <w:r>
        <w:rPr>
          <w:rFonts w:ascii="仿宋_GB2312" w:eastAsia="仿宋_GB2312"/>
          <w:b w:val="0"/>
          <w:sz w:val="32"/>
          <w:szCs w:val="32"/>
          <w:highlight w:val="none"/>
        </w:rPr>
        <w:t>本年支出2,251.83万元，其中：基本支出2,198.00万元，占97.61%；项目支出53.83万元，占2.39%；上缴上级支出0.00万元，占0.00%；经营支出0.00万元，占0.00%；对附属单位补助支出0.00万元，占0.00%</w:t>
      </w:r>
      <w:r>
        <w:rPr>
          <w:rFonts w:hint="eastAsia" w:ascii="仿宋_GB2312" w:eastAsia="仿宋_GB2312"/>
          <w:b w:val="0"/>
          <w:sz w:val="32"/>
          <w:szCs w:val="32"/>
          <w:highlight w:val="none"/>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收入总计2,251.83万元，其中：年初财政拨款结转和结余0.00万元，本年财政拨款收入2,251.83万元。财政拨款支出总计2,251.83万元，其中：年末财政拨款结转和结余0.00万元，本年财政拨款支出2,251.83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财政拨款收入支出总体与上年相比，减少177.37万元，下降7.30%，主要原因是：本年度1名事业编制人员辞职，临聘人员减少32名，在编人员3人退休；</w:t>
      </w:r>
      <w:r>
        <w:rPr>
          <w:rFonts w:hint="eastAsia" w:ascii="仿宋_GB2312" w:eastAsia="仿宋_GB2312"/>
          <w:b w:val="0"/>
          <w:sz w:val="32"/>
          <w:szCs w:val="32"/>
          <w:highlight w:val="none"/>
          <w:lang w:val="en-US" w:eastAsia="zh-CN"/>
        </w:rPr>
        <w:t>2023年支付了</w:t>
      </w:r>
      <w:r>
        <w:rPr>
          <w:rFonts w:ascii="仿宋_GB2312" w:eastAsia="仿宋_GB2312"/>
          <w:b w:val="0"/>
          <w:sz w:val="32"/>
          <w:szCs w:val="32"/>
          <w:highlight w:val="none"/>
        </w:rPr>
        <w:t>延续项目-新財教（2019）205号巴财教（2019）79号提前下达2020年中央专项彩票公益金支持地方体育</w:t>
      </w:r>
      <w:r>
        <w:rPr>
          <w:rFonts w:hint="eastAsia" w:ascii="仿宋_GB2312" w:eastAsia="仿宋_GB2312"/>
          <w:b w:val="0"/>
          <w:sz w:val="32"/>
          <w:szCs w:val="32"/>
          <w:highlight w:val="none"/>
          <w:lang w:val="en-US" w:eastAsia="zh-CN"/>
        </w:rPr>
        <w:t>事业</w:t>
      </w:r>
      <w:r>
        <w:rPr>
          <w:rFonts w:ascii="仿宋_GB2312" w:eastAsia="仿宋_GB2312"/>
          <w:b w:val="0"/>
          <w:sz w:val="32"/>
          <w:szCs w:val="32"/>
          <w:highlight w:val="none"/>
        </w:rPr>
        <w:t>专项资金预算天山街道双拥社区健身中心工程</w:t>
      </w:r>
      <w:r>
        <w:rPr>
          <w:rFonts w:hint="eastAsia" w:ascii="仿宋_GB2312" w:eastAsia="仿宋_GB2312"/>
          <w:b w:val="0"/>
          <w:sz w:val="32"/>
          <w:szCs w:val="32"/>
          <w:highlight w:val="none"/>
          <w:lang w:val="en-US" w:eastAsia="zh-CN"/>
        </w:rPr>
        <w:t>尾款</w:t>
      </w:r>
      <w:r>
        <w:rPr>
          <w:rFonts w:ascii="仿宋_GB2312" w:eastAsia="仿宋_GB2312"/>
          <w:b w:val="0"/>
          <w:sz w:val="32"/>
          <w:szCs w:val="32"/>
          <w:highlight w:val="none"/>
        </w:rPr>
        <w:t>，该项目款</w:t>
      </w:r>
      <w:r>
        <w:rPr>
          <w:rFonts w:hint="eastAsia" w:ascii="仿宋_GB2312" w:eastAsia="仿宋_GB2312"/>
          <w:b w:val="0"/>
          <w:sz w:val="32"/>
          <w:szCs w:val="32"/>
          <w:highlight w:val="none"/>
          <w:lang w:val="en-US" w:eastAsia="zh-CN"/>
        </w:rPr>
        <w:t>于2023年度</w:t>
      </w:r>
      <w:r>
        <w:rPr>
          <w:rFonts w:ascii="仿宋_GB2312" w:eastAsia="仿宋_GB2312"/>
          <w:b w:val="0"/>
          <w:sz w:val="32"/>
          <w:szCs w:val="32"/>
          <w:highlight w:val="none"/>
        </w:rPr>
        <w:t>全部结清</w:t>
      </w:r>
      <w:r>
        <w:rPr>
          <w:rFonts w:hint="eastAsia" w:ascii="仿宋_GB2312" w:eastAsia="仿宋_GB2312"/>
          <w:b w:val="0"/>
          <w:sz w:val="32"/>
          <w:szCs w:val="32"/>
          <w:highlight w:val="none"/>
          <w:lang w:val="en-US" w:eastAsia="zh-CN"/>
        </w:rPr>
        <w:t>，故2024</w:t>
      </w:r>
      <w:r>
        <w:rPr>
          <w:rFonts w:ascii="仿宋_GB2312" w:eastAsia="仿宋_GB2312"/>
          <w:b w:val="0"/>
          <w:sz w:val="32"/>
          <w:szCs w:val="32"/>
          <w:highlight w:val="none"/>
        </w:rPr>
        <w:t>年度财政拨款</w:t>
      </w:r>
      <w:r>
        <w:rPr>
          <w:rFonts w:hint="eastAsia" w:ascii="仿宋_GB2312" w:eastAsia="仿宋_GB2312"/>
          <w:b w:val="0"/>
          <w:sz w:val="32"/>
          <w:szCs w:val="32"/>
          <w:highlight w:val="none"/>
          <w:lang w:val="en-US" w:eastAsia="zh-CN"/>
        </w:rPr>
        <w:t>收入总体较上年减少</w:t>
      </w:r>
      <w:r>
        <w:rPr>
          <w:rFonts w:ascii="仿宋_GB2312" w:eastAsia="仿宋_GB2312"/>
          <w:b w:val="0"/>
          <w:sz w:val="32"/>
          <w:szCs w:val="32"/>
          <w:highlight w:val="none"/>
        </w:rPr>
        <w:t>。与年初预算相比，年初预算数2,688.06万元，决算数2,251.83万元，预决算差异率-16.23%，主要原因是：本年度1名事业编制人员辞职，临聘人员减少32名，在编人员3人退休，访惠聚工作队员减少，由32人减少至6人，工作队补贴标准由每人每月3030元减少至1800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支出2,198.00万元，占本年支出合计的97.61%。与上年相比，减少50.60万元，下降2.25%，主要原因是：本年度1名事业编制人员辞职，临聘人员减少32名，在编人员3人退休。与年初预算相比，年初预算数2,687.92万元，决算数2,198.00万元，预决算差异率-18.23%，主要原因是：本年度1名事业编制人员辞职，临聘人员减少32名，在编人员3人退休，访惠聚工作队员减少，由32人减少至6人，工作队补贴标准由每人每月3030元减少至1800元。</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一般公共服务支出（类）1,786.08万元，占81.26%。</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教育支出（类）2.44万元，占0.11%。</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文化旅游体育与传媒支出（类）8.70万元，占0.40%。</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社会保障和就业支出（类）232.55万元，占10.58%。</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卫生健康支出（类）62.84万元，占2.86%。</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住房保障支出（类）103.38万元，占4.70%。</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其他支出（类）2.00万元，占0.09%。</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一般公共服务支出（类）人大事务（款）代表工作（项）：支出决算数为0.43万元，比上年决算增加0.43万元，增长100.00%，主要原因是：上年度未安排此项预算，2024年度新增库尔勒市十一届人大代表履职补贴项目，所以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一般公共服务支出（类）人大事务（款）其他人大事务支出（项）：支出决算数为1.00万元，比上年决算增加1.00万元，增长100.00%，主要原因是：上年度未安排此项预算，2024年度新增巴财行（2022）33号关于提前下达2023年基层人大补助经费的通知项目，所以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一般公共服务支出（类）政府办公厅（室）及相关机构事务（款）行政运行（项）：支出决算数为1,569.99万元，比上年决算增加21.94万元，增长1.42%，主要原因是：在职人员工资增</w:t>
      </w:r>
      <w:r>
        <w:rPr>
          <w:rFonts w:hint="eastAsia" w:ascii="仿宋_GB2312" w:eastAsia="仿宋_GB2312"/>
          <w:b w:val="0"/>
          <w:sz w:val="32"/>
          <w:szCs w:val="32"/>
          <w:highlight w:val="none"/>
          <w:lang w:val="en-US" w:eastAsia="zh-CN"/>
        </w:rPr>
        <w:t>长</w:t>
      </w:r>
      <w:r>
        <w:rPr>
          <w:rFonts w:ascii="仿宋_GB2312" w:eastAsia="仿宋_GB2312"/>
          <w:b w:val="0"/>
          <w:sz w:val="32"/>
          <w:szCs w:val="32"/>
          <w:highlight w:val="none"/>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一般公共服务支出（类）政府办公厅（室）及相关机构事务（款）其他政府办公厅（室）及相关机构事务支出（项）：支出决算数为152.76万元，比上年决算增加94.96万元，增长164.29%，主要原因是：本年度新增支付了临聘人员劳务费，所以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一般公共服务支出（类）纪检监察事务（款）其他纪检监察事务支出（项）：支出决算数为3.00万元，比上年决算增加1.50万元，增长100.00%，主要原因是：2024年度新增巴财行(2023)23号2023年新时代廉洁文化建设经费，所以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一般公共服务支出（类）组织事务（款）其他组织事务支出（项）：支出决算数为56.14万元，比上年决算减少59.75万元，下降51.56%，主要原因是：访惠聚工作队员减少，由32人减少至6人，工作队补贴标准由每人每月3030元减少至1800元，相关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一般公共服务支出（类）统战事务（款）宗教事务（项）：支出决算数为0.94万元，比上年决算减少0.06万元，下降6.00%，主要原因是：秉持厉行节约的原则，提高资金使用效率，严格控制支出。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一般公共服务支出（类）统战事务（款）其他统战事务支出（项）：支出决算数为1.82万元，比上年决算减少1.07万元，下降37.02%，主要原因是：根据要求将2名寺管会人员补贴退回国库。</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教育支出（类）进修及培训（款）培训支出（项）：支出决算数为2.44万元，比上年决算减少3.51万元，下降58.99%，主要原因是：本年度单位厉行节约，减少外出培训人数及次数，培训费用减少。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文化旅游体育与传媒支出（类）文化和旅游（款）其他文化和旅游支出（项）：支出决算数为4.70万元，比上年决算增加0.70万元，增长17.50%，主要原因是：2024年度新增巴财教[2023]51号关于提前下达2024年自治区补助地方美术馆、公共图书馆、文化馆[站]免费开放补助资金预算的通知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文化旅游体育与传媒支出（类）其他文化旅游体育与传媒支出（款）其他文化旅游体育与传媒支出（项）：支出决算数为4.00万元，比上年决算减少27.00万元，下降87.10%，主要原因是：2023年新增库尔勒市华凌商圈党群服务中心项目，且项目结束，项目款全部结清，2024年无此项目，相关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行政单位离退休（项）：支出决算数为19.60万元，比上年决算增加6.01万元，增长44.22%，主要原因是：3名在编人员退休，退休人员津补贴提高，相关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基本养老保险缴费支出（项）：支出决算数为125.87万元，比上年决算增加13.20万元，增长11.72%，主要原因是：新增事业编干部以及在职人员社保基数提高，基本养老保险缴费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职业年金缴费支出（项）：支出决算数为36.06万元，比上年决算增加23.64万元，增长190.34%，主要原因是：3名在编人员退休，职业年金缴费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b w:val="0"/>
          <w:sz w:val="32"/>
          <w:szCs w:val="32"/>
          <w:highlight w:val="none"/>
        </w:rPr>
      </w:pPr>
      <w:r>
        <w:rPr>
          <w:rFonts w:ascii="仿宋_GB2312" w:eastAsia="仿宋_GB2312"/>
          <w:b w:val="0"/>
          <w:sz w:val="32"/>
          <w:szCs w:val="32"/>
          <w:highlight w:val="none"/>
        </w:rPr>
        <w:t>社会保障和就业支出（类）企业改革补助（款）其他企业改革发展补助（项）：支出决算数为51.02万元，比上年决算减少8.59万元，下降14.41%，主要原因是：2024年度水电三处退休人员因去世人数减少，生活补贴、取暖费支出均有所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b w:val="0"/>
          <w:sz w:val="32"/>
          <w:szCs w:val="32"/>
          <w:highlight w:val="none"/>
        </w:rPr>
      </w:pPr>
      <w:r>
        <w:rPr>
          <w:rFonts w:ascii="仿宋_GB2312" w:eastAsia="仿宋_GB2312"/>
          <w:b w:val="0"/>
          <w:sz w:val="32"/>
          <w:szCs w:val="32"/>
          <w:highlight w:val="none"/>
        </w:rPr>
        <w:t>社会保障和就业支出（类）就业补助（款）公益性岗位补贴（项）：支出决算数为0.00万元，比上年决算减少132.31万元，下降100.00%，主要原因是：</w:t>
      </w:r>
      <w:r>
        <w:rPr>
          <w:rFonts w:hint="default" w:ascii="仿宋_GB2312" w:eastAsia="仿宋_GB2312"/>
          <w:b w:val="0"/>
          <w:sz w:val="32"/>
          <w:szCs w:val="32"/>
          <w:highlight w:val="none"/>
          <w:lang w:eastAsia="zh-CN"/>
        </w:rPr>
        <w:t>本年</w:t>
      </w:r>
      <w:r>
        <w:rPr>
          <w:rFonts w:hint="eastAsia" w:ascii="仿宋_GB2312" w:eastAsia="仿宋_GB2312"/>
          <w:b w:val="0"/>
          <w:sz w:val="32"/>
          <w:szCs w:val="32"/>
          <w:highlight w:val="none"/>
          <w:lang w:val="en-US" w:eastAsia="zh-CN"/>
        </w:rPr>
        <w:t>度</w:t>
      </w:r>
      <w:r>
        <w:rPr>
          <w:rFonts w:hint="default" w:ascii="仿宋_GB2312" w:eastAsia="仿宋_GB2312"/>
          <w:b w:val="0"/>
          <w:sz w:val="32"/>
          <w:szCs w:val="32"/>
          <w:highlight w:val="none"/>
        </w:rPr>
        <w:t>公益性岗位</w:t>
      </w:r>
      <w:r>
        <w:rPr>
          <w:rFonts w:hint="default" w:ascii="仿宋_GB2312" w:eastAsia="仿宋_GB2312"/>
          <w:b w:val="0"/>
          <w:sz w:val="32"/>
          <w:szCs w:val="32"/>
          <w:highlight w:val="none"/>
          <w:lang w:eastAsia="zh-CN"/>
        </w:rPr>
        <w:t>人员交由劳务派遣公司管理</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无此项预算</w:t>
      </w:r>
      <w:r>
        <w:rPr>
          <w:rFonts w:hint="default" w:ascii="仿宋_GB2312" w:eastAsia="仿宋_GB2312"/>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b w:val="0"/>
          <w:sz w:val="32"/>
          <w:szCs w:val="32"/>
          <w:highlight w:val="none"/>
        </w:rPr>
      </w:pPr>
      <w:r>
        <w:rPr>
          <w:rFonts w:ascii="仿宋_GB2312" w:eastAsia="仿宋_GB2312"/>
          <w:b w:val="0"/>
          <w:sz w:val="32"/>
          <w:szCs w:val="32"/>
          <w:highlight w:val="none"/>
        </w:rPr>
        <w:t>卫生健康支出（类）行政事业单位医疗（款）行政单位医疗（项）：支出决算数为57.37万元，比上年决算增加4.50万元，增长8.51%，主要原因是：</w:t>
      </w:r>
      <w:r>
        <w:rPr>
          <w:rFonts w:hint="default" w:ascii="Times New Roman" w:hAnsi="Times New Roman" w:eastAsia="仿宋_GB2312" w:cs="Times New Roman"/>
          <w:b w:val="0"/>
          <w:sz w:val="31"/>
          <w:szCs w:val="31"/>
          <w:highlight w:val="none"/>
          <w:lang w:val="en-US" w:eastAsia="zh-CN"/>
        </w:rPr>
        <w:t>医保缴费基数提高</w:t>
      </w:r>
      <w:r>
        <w:rPr>
          <w:rFonts w:hint="eastAsia" w:ascii="Times New Roman" w:hAnsi="Times New Roman" w:eastAsia="仿宋_GB2312" w:cs="Times New Roman"/>
          <w:b w:val="0"/>
          <w:sz w:val="31"/>
          <w:szCs w:val="31"/>
          <w:highlight w:val="none"/>
          <w:lang w:val="en-US"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卫生健康支出（类）行政事业单位医疗（款）公务员医疗补助（项）：支出决算数为5.48万元，比上年决算减少0.25万元，下降4.36%，主要原因是：2名行政编人员退休，相关费用支出减少。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住房保障支出（类）住房改革支出（款）住房公积金（项）：支出决算数为103.38万元，比上年决算增加12.05万元，增长13.19%，主要原因是：2024年度在职人员公积金基数提高，相关费用支出增加。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其他支出（类）其他支出（款）其他支出（项）：支出决算数为2.00万元，比上年决算增加2.00万元，增长100.00%，主要原因是：2024年新增巴财预[2024]16号2024年自治区驻村工作专项经费（11名州派挂职第一书记经费）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基本支出2,198.00万元，其中：人员经费2,003.75万元，包括：基本工资、津贴补贴、奖金、机关事业单位基本养老保险缴费、职业年金缴费、职工基本医疗保险缴费、公务员医疗补助缴费、其他社会保障缴费、住房公积金、其他工资福利支出、退休费、抚恤金、生活补助、医疗费补助、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公用经费194.25万元，包括：办公费、水费、电费、邮电费、取暖费、培训费、劳务费、工会经费、公务用车运行维护费、其他交通费用和办公设备购置。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2024年度国有资本经营预算财政拨款收入总计53.83万元，其中：年初结转和结余0.00万元，本年收入53.83万元。国有资本经营预算财政拨款支出总计53.83万元，其中：年末结转和结余0.00万元，本年支出53.83万元。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国有资本经营预算财政拨款收入支出总体与上年相比，减少21.76万元，下降28.79%，主要原因是：本年度厉行节约，压缩经费支出。与年初预算相比，年初预算数0.14万元，决算数53.83万元，预决算差异率38,350.00%，主要原因是：预算时仅包含上年结转费用，不含本年下达资金。年中新增巴财企[2023]62号关于提前下达2024年国有企业退休人员社会化管理补助资金预算的通知项目，相关支出增加。</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国有资本经营预算财政拨款支出53.83万元。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国有资本经营预算支出（类）解决历史遗留问题及改革成本支出（款）国有企业退休人员社会化管理补助支出（项）：支出决算数为53.83万元，比上年决算减少21.76万元，下降28.79%，主要原因是：本年度厉行节约，严格控制经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三公”经费支出5.20万元，与上年相比无变化，主要原因是：厉行节约，严格控制公务用车运行费，与上年保持一致。其中：因公出国（境）费支出0.00万元,占0.00%，与上年相比无变化，主要原因是：本年无因公出国（境）费支出，与上年相比无变动；公务用车购置及运行维护费支出5.20万元，占100.00%，与上年相比无变化，主要原因是：厉行节约，严格控制公务用车运行费，与上年保持一致；公务接待费支出0.00万元，占0.00%，与上年相比无变化，主要原因是：本年无公务接待费支出，与上年相比无变动。</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因公出国（境）费支出0.00万元，开支内容包括本年未安排因公出国（境）费支出，无开支内容。单位全年安排的因公出国（境）团组0个，因公出国（境）0人次。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公务用车购置及运行维护费5.20万元，其中：公务用车购置费0.00万元，公务用车运行维护费5.20万元。公务用车运行维护费开支内容包括日常公务、环境执法、社区工作监督检查、项目验收督导等公务用车的车辆维修保养费用、加油费以及保险费和年检费用。公务用车购置数0辆，公务用车保有量7辆。国有资产占用情况中固定资产车辆10辆，与公务用车保有量差异原因是：</w:t>
      </w:r>
      <w:bookmarkStart w:id="0" w:name="_GoBack"/>
      <w:r>
        <w:rPr>
          <w:rFonts w:hint="eastAsia" w:ascii="仿宋_GB2312" w:eastAsia="仿宋_GB2312"/>
          <w:color w:val="auto"/>
          <w:sz w:val="32"/>
          <w:szCs w:val="32"/>
          <w:highlight w:val="yellow"/>
          <w:lang w:val="en-US" w:eastAsia="zh-CN"/>
        </w:rPr>
        <w:t>差异车辆使用XX经费保障车辆运行</w:t>
      </w:r>
      <w:r>
        <w:rPr>
          <w:rFonts w:ascii="仿宋_GB2312" w:eastAsia="仿宋_GB2312"/>
          <w:b w:val="0"/>
          <w:sz w:val="32"/>
          <w:szCs w:val="32"/>
          <w:highlight w:val="yellow"/>
        </w:rPr>
        <w:t>。</w:t>
      </w:r>
      <w:bookmarkEnd w:id="0"/>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公务接待费0.00万元，开支内容包括本年未安排公务接待费支出，无开支内容。单位全年安排的国内公务接待0批次，0人次。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与全年预算相比，财政拨款“三公”经费支出全年预算数5.20万元，决算数5.20万元，预决算差异率0.00%，主要原因是：厉行节约，严格控制公务用车运行费，保持预决算数一致。其中：因公出国（境）费全年预算数0.00万元，决算数0.00万元，预决算差异率0.00%，主要原因是</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本年无因公出国（境）费支出，与上年相比无变动。公务用车购置费全年预算数0.00万元，决算数0.00万元，预决算差异率0.00%，主要原因是：本年无公务用车购置费支出，无开支内容，</w:t>
      </w:r>
      <w:r>
        <w:rPr>
          <w:rFonts w:hint="default" w:ascii="Times New Roman" w:hAnsi="Times New Roman" w:eastAsia="仿宋_GB2312" w:cs="Times New Roman"/>
          <w:b w:val="0"/>
          <w:sz w:val="31"/>
          <w:szCs w:val="31"/>
          <w:highlight w:val="none"/>
          <w:lang w:val="en-US" w:eastAsia="zh-CN"/>
        </w:rPr>
        <w:t>预决算无差异</w:t>
      </w:r>
      <w:r>
        <w:rPr>
          <w:rFonts w:hint="default" w:ascii="Times New Roman" w:hAnsi="Times New Roman" w:eastAsia="仿宋_GB2312" w:cs="Times New Roman"/>
          <w:b w:val="0"/>
          <w:sz w:val="31"/>
          <w:szCs w:val="31"/>
          <w:highlight w:val="none"/>
        </w:rPr>
        <w:t>。</w:t>
      </w:r>
      <w:r>
        <w:rPr>
          <w:rFonts w:ascii="仿宋_GB2312" w:eastAsia="仿宋_GB2312"/>
          <w:b w:val="0"/>
          <w:sz w:val="32"/>
          <w:szCs w:val="32"/>
          <w:highlight w:val="none"/>
        </w:rPr>
        <w:t>公务用车运行维护费全年预算数5.20万元，决算数5.20万元，预决算差异率0.00%，主要原因是：厉行节约，严格控制公务用车运行费，保持预决算数一致。公务接待费全年预算数0.00万元，决算数0.00万元，预决算差异率0.00%，主要原因是：本年无公务接待费支出，与上年相比无变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2024年度库尔勒市天山街道办事处单位机关运行经费支出194.25万元，比上年增加89.87万元，增长86.10%，主要原因是：本年度新增临聘人员劳务费用</w:t>
      </w:r>
      <w:r>
        <w:rPr>
          <w:rFonts w:hint="default" w:ascii="Times New Roman" w:hAnsi="Times New Roman" w:eastAsia="仿宋_GB2312" w:cs="Times New Roman"/>
          <w:b w:val="0"/>
          <w:sz w:val="31"/>
          <w:szCs w:val="31"/>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2024年度政府采购支出总额13.51万元，其中：政府采购货物支出1.80万元、政府采购工程支出2.90万元、政府采购服务支出8.81万元。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授予中小企业合同金额11.71万元，占政府采购支出总额的86.68%，其中：授予小微企业合同金额9.89万元，占政府采购支出总额的73.21%。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截至2024年12月31日，房屋12,732.59平方米，价值2,191.96万元。车辆10辆，价值94.76万元，其中：副部（省）级及以上领导用车0辆、主要负责人用车0辆、机要通信用车0辆、应急保障用车0辆、执法执勤用车0辆、特种专业技术用车0辆、离退休干部服务用车0辆、其他用车10辆，其他用车主要是：一般公务用车7辆、警车1辆，巡逻车</w:t>
      </w:r>
      <w:r>
        <w:rPr>
          <w:rFonts w:hint="eastAsia" w:ascii="仿宋_GB2312" w:eastAsia="仿宋_GB2312"/>
          <w:b w:val="0"/>
          <w:sz w:val="32"/>
          <w:szCs w:val="32"/>
          <w:highlight w:val="none"/>
          <w:lang w:val="en-US" w:eastAsia="zh-CN"/>
        </w:rPr>
        <w:t>2</w:t>
      </w:r>
      <w:r>
        <w:rPr>
          <w:rFonts w:ascii="仿宋_GB2312" w:eastAsia="仿宋_GB2312"/>
          <w:b w:val="0"/>
          <w:sz w:val="32"/>
          <w:szCs w:val="32"/>
          <w:highlight w:val="none"/>
        </w:rPr>
        <w:t>辆;单价100万元（含）以上设备（不含车辆）1台（套）。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根据预算绩效管理要求，本单位2024年度预算绩效管理形成整体支出绩效自评表1个，全年预算总额2,251.83万元，实际执行总额2,251.83万元；预算绩效评价项目14个，全年预算数247.38万元，全年执行数215.22万元。预算绩效管理取得的成效：一是各项资金的有效使用，对改善基层设施条件，加快构建现代化服务体系，为居民提供良好的生活环境，更好的长期开展基层综合治理工作起到了关键作用；二是为民办好事、办实事，提升了居民满意度。发现的问题及原因：一是项目资金执行率存在加强与上升空间，需要有关部门加强工作效率，在重点工作的完成率和完成度上都需要进一步提升。二是项目资金执行力度需进一步加强。下一步改进措施：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八、年末结转和结余：</w:t>
      </w:r>
      <w:r>
        <w:rPr>
          <w:rFonts w:ascii="仿宋_GB2312" w:eastAsia="仿宋_GB2312"/>
          <w:b w:val="0"/>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九、基本支出：</w:t>
      </w:r>
      <w:r>
        <w:rPr>
          <w:rFonts w:ascii="仿宋_GB2312" w:eastAsia="仿宋_GB2312"/>
          <w:b w:val="0"/>
          <w:sz w:val="32"/>
          <w:szCs w:val="32"/>
          <w:highlight w:val="none"/>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十、项目支出：</w:t>
      </w:r>
      <w:r>
        <w:rPr>
          <w:rFonts w:ascii="仿宋_GB2312" w:eastAsia="仿宋_GB2312"/>
          <w:b w:val="0"/>
          <w:sz w:val="32"/>
          <w:szCs w:val="32"/>
          <w:highlight w:val="none"/>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十一、经营支出：</w:t>
      </w:r>
      <w:r>
        <w:rPr>
          <w:rFonts w:ascii="仿宋_GB2312" w:eastAsia="仿宋_GB2312"/>
          <w:b w:val="0"/>
          <w:sz w:val="32"/>
          <w:szCs w:val="32"/>
          <w:highlight w:val="none"/>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十二、对附属单位补助支出：</w:t>
      </w:r>
      <w:r>
        <w:rPr>
          <w:rFonts w:ascii="仿宋_GB2312" w:eastAsia="仿宋_GB2312"/>
          <w:b w:val="0"/>
          <w:sz w:val="32"/>
          <w:szCs w:val="32"/>
          <w:highlight w:val="none"/>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十三、“三公”经费：</w:t>
      </w:r>
      <w:r>
        <w:rPr>
          <w:rFonts w:ascii="仿宋_GB2312" w:eastAsia="仿宋_GB2312"/>
          <w:b w:val="0"/>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十四、机关运行经费：</w:t>
      </w:r>
      <w:r>
        <w:rPr>
          <w:rFonts w:ascii="仿宋_GB2312" w:eastAsia="仿宋_GB2312"/>
          <w:b w:val="0"/>
          <w:sz w:val="32"/>
          <w:szCs w:val="32"/>
          <w:highlight w:val="none"/>
        </w:rPr>
        <w:t>行政单位和参照公务员法管理的事业单位财政拨款基本支出中的公用经费支出。</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r>
        <w:rPr>
          <w:rFonts w:ascii="仿宋_GB2312" w:eastAsia="仿宋_GB2312"/>
          <w:b w:val="0"/>
          <w:sz w:val="32"/>
          <w:szCs w:val="32"/>
          <w:highlight w:val="none"/>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5483225" cy="6226810"/>
            <wp:effectExtent l="0" t="0" r="3175" b="254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4"/>
                    <a:stretch>
                      <a:fillRect/>
                    </a:stretch>
                  </pic:blipFill>
                  <pic:spPr>
                    <a:xfrm>
                      <a:off x="0" y="0"/>
                      <a:ext cx="5483225" cy="622681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5482590" cy="8172450"/>
            <wp:effectExtent l="0" t="0" r="381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5"/>
                    <a:stretch>
                      <a:fillRect/>
                    </a:stretch>
                  </pic:blipFill>
                  <pic:spPr>
                    <a:xfrm>
                      <a:off x="0" y="0"/>
                      <a:ext cx="5482590" cy="81724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5485765" cy="8839200"/>
            <wp:effectExtent l="0" t="0" r="63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6"/>
                    <a:stretch>
                      <a:fillRect/>
                    </a:stretch>
                  </pic:blipFill>
                  <pic:spPr>
                    <a:xfrm>
                      <a:off x="0" y="0"/>
                      <a:ext cx="5485765" cy="883920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5485130" cy="5708650"/>
            <wp:effectExtent l="0" t="0" r="1270" b="635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7"/>
                    <a:stretch>
                      <a:fillRect/>
                    </a:stretch>
                  </pic:blipFill>
                  <pic:spPr>
                    <a:xfrm>
                      <a:off x="0" y="0"/>
                      <a:ext cx="5485130" cy="57086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drawing>
          <wp:inline distT="0" distB="0" distL="114300" distR="114300">
            <wp:extent cx="5485765" cy="9744710"/>
            <wp:effectExtent l="0" t="0" r="635"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485765" cy="974471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5482590" cy="5324475"/>
            <wp:effectExtent l="0" t="0" r="3810" b="9525"/>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9"/>
                    <a:stretch>
                      <a:fillRect/>
                    </a:stretch>
                  </pic:blipFill>
                  <pic:spPr>
                    <a:xfrm>
                      <a:off x="0" y="0"/>
                      <a:ext cx="5482590" cy="532447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5483860" cy="2614930"/>
            <wp:effectExtent l="0" t="0" r="2540" b="1397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0"/>
                    <a:stretch>
                      <a:fillRect/>
                    </a:stretch>
                  </pic:blipFill>
                  <pic:spPr>
                    <a:xfrm>
                      <a:off x="0" y="0"/>
                      <a:ext cx="5483860" cy="261493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5478780" cy="2224405"/>
            <wp:effectExtent l="0" t="0" r="7620" b="4445"/>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1"/>
                    <a:stretch>
                      <a:fillRect/>
                    </a:stretch>
                  </pic:blipFill>
                  <pic:spPr>
                    <a:xfrm>
                      <a:off x="0" y="0"/>
                      <a:ext cx="5478780" cy="222440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rPr>
          <w:highlight w:val="none"/>
        </w:rPr>
        <w:drawing>
          <wp:inline distT="0" distB="0" distL="114300" distR="114300">
            <wp:extent cx="5485765" cy="2416810"/>
            <wp:effectExtent l="0" t="0" r="635" b="254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12"/>
                    <a:stretch>
                      <a:fillRect/>
                    </a:stretch>
                  </pic:blipFill>
                  <pic:spPr>
                    <a:xfrm>
                      <a:off x="0" y="0"/>
                      <a:ext cx="5485765" cy="241681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A3FEB"/>
    <w:rsid w:val="074E07F9"/>
    <w:rsid w:val="07D30D8B"/>
    <w:rsid w:val="09E43F5A"/>
    <w:rsid w:val="0FB91B90"/>
    <w:rsid w:val="10CA3733"/>
    <w:rsid w:val="122123E2"/>
    <w:rsid w:val="14C4342B"/>
    <w:rsid w:val="1735210B"/>
    <w:rsid w:val="17B762CE"/>
    <w:rsid w:val="18820EDB"/>
    <w:rsid w:val="196662E2"/>
    <w:rsid w:val="20915989"/>
    <w:rsid w:val="28894B8C"/>
    <w:rsid w:val="289001CE"/>
    <w:rsid w:val="28FE5AAA"/>
    <w:rsid w:val="29251D45"/>
    <w:rsid w:val="2AAF0DCC"/>
    <w:rsid w:val="2C4C1703"/>
    <w:rsid w:val="2C9E63B7"/>
    <w:rsid w:val="2E895E7D"/>
    <w:rsid w:val="2FA76A8E"/>
    <w:rsid w:val="35997D26"/>
    <w:rsid w:val="362D518F"/>
    <w:rsid w:val="39B159DA"/>
    <w:rsid w:val="413B15E6"/>
    <w:rsid w:val="41711513"/>
    <w:rsid w:val="41A9224D"/>
    <w:rsid w:val="47EB41B7"/>
    <w:rsid w:val="498E71F9"/>
    <w:rsid w:val="4AAF593D"/>
    <w:rsid w:val="52DA2186"/>
    <w:rsid w:val="5B1F3C33"/>
    <w:rsid w:val="5B612DDA"/>
    <w:rsid w:val="5D10562A"/>
    <w:rsid w:val="6D355A52"/>
    <w:rsid w:val="71980A4F"/>
    <w:rsid w:val="729E7C50"/>
    <w:rsid w:val="74F12712"/>
    <w:rsid w:val="7622127A"/>
    <w:rsid w:val="76BF7CF6"/>
    <w:rsid w:val="7DD57F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2025-08-15T03:10:00Z</dcterms:created>
  <dc:creator>Administrator.USER-20191225GT</dc:creator>
  <cp:lastModifiedBy>Administrator</cp:lastModifiedBy>
  <dcterms:modified xsi:type="dcterms:W3CDTF">2025-11-17T12:35:59Z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