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3DB9FA">
      <w:pPr>
        <w:widowControl/>
        <w:spacing w:before="0" w:beforeLines="0" w:beforeAutospacing="0" w:after="0" w:afterLines="0" w:afterAutospacing="0" w:line="240" w:lineRule="auto"/>
        <w:jc w:val="left"/>
        <w:rPr>
          <w:rFonts w:ascii="宋体" w:eastAsia="宋体"/>
          <w:sz w:val="32"/>
          <w:szCs w:val="32"/>
        </w:rPr>
      </w:pPr>
    </w:p>
    <w:p w14:paraId="42B68CC3">
      <w:pPr>
        <w:widowControl/>
        <w:spacing w:before="0" w:beforeLines="0" w:beforeAutospacing="0" w:after="0" w:afterLines="0" w:afterAutospacing="0" w:line="240" w:lineRule="auto"/>
        <w:jc w:val="left"/>
        <w:rPr>
          <w:rFonts w:ascii="宋体" w:eastAsia="宋体"/>
          <w:sz w:val="44"/>
          <w:szCs w:val="44"/>
        </w:rPr>
      </w:pPr>
    </w:p>
    <w:p w14:paraId="4446B6B5">
      <w:pPr>
        <w:widowControl/>
        <w:spacing w:before="0" w:beforeLines="0" w:beforeAutospacing="0" w:after="0" w:afterLines="0" w:afterAutospacing="0" w:line="240" w:lineRule="auto"/>
        <w:jc w:val="left"/>
        <w:rPr>
          <w:rFonts w:ascii="宋体" w:eastAsia="宋体"/>
          <w:sz w:val="44"/>
          <w:szCs w:val="44"/>
        </w:rPr>
      </w:pPr>
    </w:p>
    <w:p w14:paraId="73C5118C">
      <w:pPr>
        <w:widowControl/>
        <w:spacing w:before="0" w:beforeLines="0" w:beforeAutospacing="0" w:after="0" w:afterLines="0" w:afterAutospacing="0" w:line="240" w:lineRule="auto"/>
        <w:jc w:val="left"/>
        <w:rPr>
          <w:rFonts w:ascii="宋体" w:eastAsia="宋体"/>
          <w:sz w:val="44"/>
          <w:szCs w:val="44"/>
        </w:rPr>
      </w:pPr>
    </w:p>
    <w:p w14:paraId="315D2EC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库尔勒市信访局</w:t>
      </w:r>
    </w:p>
    <w:p w14:paraId="74CA3AEC">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45B39D24">
      <w:pPr>
        <w:widowControl/>
      </w:pPr>
      <w:r>
        <w:rPr>
          <w:b w:val="0"/>
          <w:sz w:val="0"/>
          <w:szCs w:val="0"/>
        </w:rPr>
        <w:br w:type="page"/>
      </w:r>
    </w:p>
    <w:p w14:paraId="0ECFBE7C">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7D76B74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6EB1AB4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4C90A92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12A96E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715BD0E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7E0597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90E7A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777269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227B3D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5CCE70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28ADBAA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75D8441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127767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7D03EBA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702E3C8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4542B0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4DE712F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9976FC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5708C70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7BA078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34A3817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178BCE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6D8EF23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70F506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46CCB9B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2A113E9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0A292D5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72776EE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619FF6A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73FA3F1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EE4572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42B73E6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6624587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067F08EE">
      <w:pPr>
        <w:widowControl/>
      </w:pPr>
      <w:r>
        <w:rPr>
          <w:b w:val="0"/>
          <w:sz w:val="0"/>
          <w:szCs w:val="0"/>
        </w:rPr>
        <w:br w:type="page"/>
      </w:r>
    </w:p>
    <w:p w14:paraId="0CE4B628">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4420998C">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74FCAA8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贯彻落实人民政府和上级部门关于信访和群众工作的决策部署，定期分析信访形势，通报信访工作情况，提出改进工作意见，督促检查全市信访和群众工作。代表人民政府受理人民来信来电，接待群众来访，交办和转送信访人提出的信访事项。承办人民政府领导同志和上级机关交办的信访事项，督促检查领导批示件的落实情况；督促检查重要信访事项的处理和落实；审结上报重要信访案件。协调处理群众进京、赴非正常上访和突发信访事件；直接查处重大疑难信访案件。宣传信访工作和群众工作政策，对来访群众进行思想教育和疏导；为来访群众提供有关法律、法规和政策咨询服务。征集群众意见，反映社情民意，及时向人民政府报告信访情况，并对涉及群众利益的政策性问题提出意见和建议。监督检查涉及群众利益政策的贯彻落实情况；对涉及群众利益的改革性政策和重大项目进行风险评估，维护群众利益。</w:t>
      </w:r>
    </w:p>
    <w:p w14:paraId="1E146AB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05BF12A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库尔勒市信访局2024年度，实有人数17人，其中：在职人员15人，较上年无变化；离休人员0人，较上年无变化；退休人员2人，增加1人。</w:t>
      </w:r>
    </w:p>
    <w:p w14:paraId="5F73429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库尔勒市信访局无下属预算单位，下设 2 个股室，分别是：业务股和办公室。</w:t>
      </w:r>
    </w:p>
    <w:p w14:paraId="1CC8C106">
      <w:pPr>
        <w:widowControl/>
      </w:pPr>
      <w:r>
        <w:rPr>
          <w:b w:val="0"/>
          <w:sz w:val="0"/>
          <w:szCs w:val="0"/>
        </w:rPr>
        <w:br w:type="page"/>
      </w:r>
    </w:p>
    <w:p w14:paraId="3A276F8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166FF2D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7129D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2024年度收入总计308.50万元，其中：本年收入合计308.50万元，使用非财政拨款结余（含专用结余）0.00万元，年初结转和结余0.00万元。</w:t>
      </w:r>
    </w:p>
    <w:p w14:paraId="499264F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2024年度支出总计308.50万元，其中：本年支出合计308.50万元，结余分配0.00万元，年末结转和结余0.00万元。</w:t>
      </w:r>
    </w:p>
    <w:p w14:paraId="5CF634C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收入支出总体与上年相比，增加13.46万元，增长4.56%，主要原因是：</w:t>
      </w:r>
      <w:r>
        <w:rPr>
          <w:rFonts w:hint="eastAsia" w:ascii="仿宋_GB2312" w:eastAsia="仿宋_GB2312"/>
          <w:b w:val="0"/>
          <w:sz w:val="32"/>
          <w:szCs w:val="32"/>
        </w:rPr>
        <w:t>本年新增安装办公楼采暖设施资金22万元，日常公用经费增加；人员工资增加，社保、公积金基数调增，人员经费增加；本年无自治区解决特殊疑难信访问题资金</w:t>
      </w:r>
      <w:r>
        <w:rPr>
          <w:rFonts w:hint="eastAsia" w:ascii="仿宋_GB2312" w:eastAsia="仿宋_GB2312"/>
          <w:b w:val="0"/>
          <w:sz w:val="32"/>
          <w:szCs w:val="32"/>
          <w:lang w:val="en-US" w:eastAsia="zh-CN"/>
        </w:rPr>
        <w:t>5万元</w:t>
      </w:r>
      <w:r>
        <w:rPr>
          <w:rFonts w:hint="eastAsia" w:ascii="仿宋_GB2312" w:eastAsia="仿宋_GB2312"/>
          <w:b w:val="0"/>
          <w:sz w:val="32"/>
          <w:szCs w:val="32"/>
        </w:rPr>
        <w:t>、访惠聚工作队为民办实事经费</w:t>
      </w:r>
      <w:r>
        <w:rPr>
          <w:rFonts w:hint="eastAsia" w:ascii="仿宋_GB2312" w:eastAsia="仿宋_GB2312"/>
          <w:b w:val="0"/>
          <w:sz w:val="32"/>
          <w:szCs w:val="32"/>
          <w:lang w:val="en-US" w:eastAsia="zh-CN"/>
        </w:rPr>
        <w:t>4.84万元</w:t>
      </w:r>
      <w:r>
        <w:rPr>
          <w:rFonts w:hint="eastAsia" w:ascii="仿宋_GB2312" w:eastAsia="仿宋_GB2312"/>
          <w:b w:val="0"/>
          <w:sz w:val="32"/>
          <w:szCs w:val="32"/>
        </w:rPr>
        <w:t>，项目减少。总体收入</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w:t>
      </w:r>
      <w:r>
        <w:rPr>
          <w:rFonts w:hint="eastAsia" w:ascii="仿宋_GB2312" w:eastAsia="仿宋_GB2312"/>
          <w:b w:val="0"/>
          <w:sz w:val="32"/>
          <w:szCs w:val="32"/>
        </w:rPr>
        <w:t>增加，导致</w:t>
      </w:r>
      <w:r>
        <w:rPr>
          <w:rFonts w:ascii="仿宋_GB2312" w:eastAsia="仿宋_GB2312"/>
          <w:b w:val="0"/>
          <w:sz w:val="32"/>
          <w:szCs w:val="32"/>
        </w:rPr>
        <w:t>收入支出总体与上年相比</w:t>
      </w:r>
      <w:r>
        <w:rPr>
          <w:rFonts w:hint="eastAsia" w:ascii="仿宋_GB2312" w:eastAsia="仿宋_GB2312"/>
          <w:b w:val="0"/>
          <w:sz w:val="32"/>
          <w:szCs w:val="32"/>
        </w:rPr>
        <w:t>增加</w:t>
      </w:r>
      <w:r>
        <w:rPr>
          <w:rFonts w:ascii="仿宋_GB2312" w:eastAsia="仿宋_GB2312"/>
          <w:b w:val="0"/>
          <w:sz w:val="32"/>
          <w:szCs w:val="32"/>
        </w:rPr>
        <w:t>。</w:t>
      </w:r>
    </w:p>
    <w:p w14:paraId="1CBCCA50">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4294C03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本年收入308.50万元，其中：财政拨款收入308.50万元,占100.00%；上级补助收入0.00万元,占0.00%；事业收入0.00万元，占0.00%；经营收入0.00万元,占0.00%；附属单位上缴收入0.00万元，占0.00%；其他收入0.00万元，占0.00%。</w:t>
      </w:r>
    </w:p>
    <w:p w14:paraId="018CF9F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5B2ECB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本年支出308.50万元，其中：基本支出297.99万元，占96.59%；项目支出10.51万元，占3.41%；上缴上级支出0.00万元，占0.00%；经营支出0.00万元，占0.00%；对附属单位补助支出0.00万元，占0.00%。</w:t>
      </w:r>
    </w:p>
    <w:p w14:paraId="139C130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32585E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2024年度财政拨款收入总计308.50万元，其中：年初财政拨款结转和结余0.00万元，本年财政拨款收入308.50万元。财政拨款支出总计308.50万元，其中：年末财政拨款结转和结余0.00万元，本年财政拨款支出308.50万元。</w:t>
      </w:r>
    </w:p>
    <w:p w14:paraId="72A33DA1">
      <w:pPr>
        <w:widowControl/>
        <w:spacing w:before="0" w:beforeLines="0" w:beforeAutospacing="0" w:after="0" w:afterLines="0" w:afterAutospacing="0" w:line="240" w:lineRule="auto"/>
        <w:ind w:firstLine="640" w:firstLineChars="200"/>
        <w:jc w:val="both"/>
        <w:rPr>
          <w:rFonts w:hint="default" w:ascii="仿宋_GB2312" w:eastAsia="仿宋_GB2312"/>
          <w:sz w:val="32"/>
          <w:szCs w:val="32"/>
          <w:lang w:val="en-US"/>
        </w:rPr>
      </w:pPr>
      <w:r>
        <w:rPr>
          <w:rFonts w:ascii="仿宋_GB2312" w:eastAsia="仿宋_GB2312"/>
          <w:b w:val="0"/>
          <w:sz w:val="32"/>
          <w:szCs w:val="32"/>
        </w:rPr>
        <w:t>财政拨款收入支出总体与上年相比，增加13.46万元，增长4.56%，主要原因是：</w:t>
      </w:r>
      <w:r>
        <w:rPr>
          <w:rFonts w:hint="eastAsia" w:ascii="仿宋_GB2312" w:eastAsia="仿宋_GB2312"/>
          <w:b w:val="0"/>
          <w:sz w:val="32"/>
          <w:szCs w:val="32"/>
        </w:rPr>
        <w:t>本年新增安装办公楼采暖设施资金22万元，日常公用经费增加；人员工资增加，社保、公积金基数调增，人员经费增加；本年无自治区解决特殊疑难信访问题资金</w:t>
      </w:r>
      <w:r>
        <w:rPr>
          <w:rFonts w:hint="eastAsia" w:ascii="仿宋_GB2312" w:eastAsia="仿宋_GB2312"/>
          <w:b w:val="0"/>
          <w:sz w:val="32"/>
          <w:szCs w:val="32"/>
          <w:lang w:val="en-US" w:eastAsia="zh-CN"/>
        </w:rPr>
        <w:t>5万元</w:t>
      </w:r>
      <w:r>
        <w:rPr>
          <w:rFonts w:hint="eastAsia" w:ascii="仿宋_GB2312" w:eastAsia="仿宋_GB2312"/>
          <w:b w:val="0"/>
          <w:sz w:val="32"/>
          <w:szCs w:val="32"/>
        </w:rPr>
        <w:t>、访惠聚工作队为民办实事经费</w:t>
      </w:r>
      <w:r>
        <w:rPr>
          <w:rFonts w:hint="eastAsia" w:ascii="仿宋_GB2312" w:eastAsia="仿宋_GB2312"/>
          <w:b w:val="0"/>
          <w:sz w:val="32"/>
          <w:szCs w:val="32"/>
          <w:lang w:val="en-US" w:eastAsia="zh-CN"/>
        </w:rPr>
        <w:t>4.84万元</w:t>
      </w:r>
      <w:r>
        <w:rPr>
          <w:rFonts w:hint="eastAsia" w:ascii="仿宋_GB2312" w:eastAsia="仿宋_GB2312"/>
          <w:b w:val="0"/>
          <w:sz w:val="32"/>
          <w:szCs w:val="32"/>
        </w:rPr>
        <w:t>，项目减少。</w:t>
      </w:r>
      <w:r>
        <w:rPr>
          <w:rFonts w:ascii="仿宋_GB2312" w:eastAsia="仿宋_GB2312"/>
          <w:b w:val="0"/>
          <w:sz w:val="32"/>
          <w:szCs w:val="32"/>
        </w:rPr>
        <w:t>财政拨款</w:t>
      </w:r>
      <w:r>
        <w:rPr>
          <w:rFonts w:hint="eastAsia" w:ascii="仿宋_GB2312" w:eastAsia="仿宋_GB2312"/>
          <w:b w:val="0"/>
          <w:sz w:val="32"/>
          <w:szCs w:val="32"/>
        </w:rPr>
        <w:t>收入</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支出</w:t>
      </w:r>
      <w:r>
        <w:rPr>
          <w:rFonts w:hint="eastAsia" w:ascii="仿宋_GB2312" w:eastAsia="仿宋_GB2312"/>
          <w:b w:val="0"/>
          <w:sz w:val="32"/>
          <w:szCs w:val="32"/>
        </w:rPr>
        <w:t>增加，导致</w:t>
      </w:r>
      <w:r>
        <w:rPr>
          <w:rFonts w:ascii="仿宋_GB2312" w:eastAsia="仿宋_GB2312"/>
          <w:b w:val="0"/>
          <w:sz w:val="32"/>
          <w:szCs w:val="32"/>
        </w:rPr>
        <w:t>财政拨款收入支出总体与上年相比</w:t>
      </w:r>
      <w:r>
        <w:rPr>
          <w:rFonts w:hint="eastAsia" w:ascii="仿宋_GB2312" w:eastAsia="仿宋_GB2312"/>
          <w:b w:val="0"/>
          <w:sz w:val="32"/>
          <w:szCs w:val="32"/>
        </w:rPr>
        <w:t>增加</w:t>
      </w:r>
      <w:r>
        <w:rPr>
          <w:rFonts w:ascii="仿宋_GB2312" w:eastAsia="仿宋_GB2312"/>
          <w:b w:val="0"/>
          <w:sz w:val="32"/>
          <w:szCs w:val="32"/>
        </w:rPr>
        <w:t>。与年初预算相比，年初预算数318.40万元，决算数308.50万元，预决算差异率-3.11%，主要原因是：</w:t>
      </w:r>
      <w:r>
        <w:rPr>
          <w:rFonts w:hint="eastAsia" w:ascii="仿宋_GB2312" w:eastAsia="仿宋_GB2312"/>
          <w:b w:val="0"/>
          <w:sz w:val="32"/>
          <w:szCs w:val="32"/>
          <w:lang w:val="en-US" w:eastAsia="zh-CN"/>
        </w:rPr>
        <w:t>本年度在职转退休1人，调入2人，调出1人，在职总数不变，因调出人员基数高，调入人员基数低，人员经费减少，导致了预决算差异率。</w:t>
      </w:r>
    </w:p>
    <w:p w14:paraId="24DAEC0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14470AF">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309DAD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2024年度一般公共预算财政拨款支出308.50万元，占本年支出合计的100.00%。与上年相比，增加13.46万元，增长4.56%，主要原因是：</w:t>
      </w:r>
      <w:r>
        <w:rPr>
          <w:rFonts w:hint="eastAsia" w:ascii="仿宋_GB2312" w:eastAsia="仿宋_GB2312"/>
          <w:b w:val="0"/>
          <w:sz w:val="32"/>
          <w:szCs w:val="32"/>
        </w:rPr>
        <w:t>本年新增安装办公楼采暖设施资金22万元，日常公用经费增加；人员工资增加，社保、公积金基数调增，人员经费增加；本年无自治区解决特殊疑难信访问题资金</w:t>
      </w:r>
      <w:r>
        <w:rPr>
          <w:rFonts w:hint="eastAsia" w:ascii="仿宋_GB2312" w:eastAsia="仿宋_GB2312"/>
          <w:b w:val="0"/>
          <w:sz w:val="32"/>
          <w:szCs w:val="32"/>
          <w:lang w:val="en-US" w:eastAsia="zh-CN"/>
        </w:rPr>
        <w:t>5万元</w:t>
      </w:r>
      <w:r>
        <w:rPr>
          <w:rFonts w:hint="eastAsia" w:ascii="仿宋_GB2312" w:eastAsia="仿宋_GB2312"/>
          <w:b w:val="0"/>
          <w:sz w:val="32"/>
          <w:szCs w:val="32"/>
        </w:rPr>
        <w:t>、访惠聚工作队为民办实事经费</w:t>
      </w:r>
      <w:r>
        <w:rPr>
          <w:rFonts w:hint="eastAsia" w:ascii="仿宋_GB2312" w:eastAsia="仿宋_GB2312"/>
          <w:b w:val="0"/>
          <w:sz w:val="32"/>
          <w:szCs w:val="32"/>
          <w:lang w:val="en-US" w:eastAsia="zh-CN"/>
        </w:rPr>
        <w:t>4.84万元</w:t>
      </w:r>
      <w:r>
        <w:rPr>
          <w:rFonts w:hint="eastAsia" w:ascii="仿宋_GB2312" w:eastAsia="仿宋_GB2312"/>
          <w:b w:val="0"/>
          <w:sz w:val="32"/>
          <w:szCs w:val="32"/>
        </w:rPr>
        <w:t>，项目减少。导致</w:t>
      </w:r>
      <w:r>
        <w:rPr>
          <w:rFonts w:ascii="仿宋_GB2312" w:eastAsia="仿宋_GB2312"/>
          <w:b w:val="0"/>
          <w:sz w:val="32"/>
          <w:szCs w:val="32"/>
        </w:rPr>
        <w:t>一般公共预算财政拨款收入支出总体与上年相比</w:t>
      </w:r>
      <w:r>
        <w:rPr>
          <w:rFonts w:hint="eastAsia" w:ascii="仿宋_GB2312" w:eastAsia="仿宋_GB2312"/>
          <w:b w:val="0"/>
          <w:sz w:val="32"/>
          <w:szCs w:val="32"/>
        </w:rPr>
        <w:t>增加</w:t>
      </w:r>
      <w:r>
        <w:rPr>
          <w:rFonts w:ascii="仿宋_GB2312" w:eastAsia="仿宋_GB2312"/>
          <w:b w:val="0"/>
          <w:sz w:val="32"/>
          <w:szCs w:val="32"/>
        </w:rPr>
        <w:t>。与年初预算相比，年初预算数318.40万元，决算数308.50万元，预决算差异率-3.11%，主要原因是：</w:t>
      </w:r>
      <w:r>
        <w:rPr>
          <w:rFonts w:hint="eastAsia" w:ascii="仿宋_GB2312" w:eastAsia="仿宋_GB2312"/>
          <w:b w:val="0"/>
          <w:sz w:val="32"/>
          <w:szCs w:val="32"/>
          <w:lang w:val="en-US" w:eastAsia="zh-CN"/>
        </w:rPr>
        <w:t>本年度在职转退休1人，调入2人，调出1人，在职总数不变，因调出人员基数高，调入人员基数低，人员经费减少，导致了预决算差异率。</w:t>
      </w:r>
    </w:p>
    <w:p w14:paraId="6BDCF370">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01EED96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一般公共服务支出（类）240.94万元，占78.10%。</w:t>
      </w:r>
    </w:p>
    <w:p w14:paraId="2E410AC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社会保障和就业支出（类）33.61万元，占10.89%。</w:t>
      </w:r>
    </w:p>
    <w:p w14:paraId="49FBA01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卫生健康支出（类）13.81万元，占4.48%。</w:t>
      </w:r>
    </w:p>
    <w:p w14:paraId="6F977EC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住房保障支出（类）20.14万元，占6.53%。</w:t>
      </w:r>
    </w:p>
    <w:p w14:paraId="5C199318">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10768BC3">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一般公共服务支出（类）政府办公厅（室）及相关机构事务（款）信访事务（项）：支出决算数为0.00万元，比上年决算减少229.28万元，下降100.00%，主要原因是：</w:t>
      </w:r>
      <w:r>
        <w:rPr>
          <w:rFonts w:hint="eastAsia" w:ascii="仿宋_GB2312" w:eastAsia="仿宋_GB2312"/>
          <w:b w:val="0"/>
          <w:sz w:val="32"/>
          <w:szCs w:val="32"/>
          <w:lang w:val="en-US" w:eastAsia="zh-CN"/>
        </w:rPr>
        <w:t>功能科目调整，本年度</w:t>
      </w:r>
      <w:r>
        <w:rPr>
          <w:rFonts w:ascii="仿宋_GB2312" w:eastAsia="仿宋_GB2312"/>
          <w:b w:val="0"/>
          <w:sz w:val="32"/>
          <w:szCs w:val="32"/>
        </w:rPr>
        <w:t>信访事务</w:t>
      </w:r>
      <w:r>
        <w:rPr>
          <w:rFonts w:hint="eastAsia" w:ascii="仿宋_GB2312" w:eastAsia="仿宋_GB2312"/>
          <w:b w:val="0"/>
          <w:sz w:val="32"/>
          <w:szCs w:val="32"/>
          <w:lang w:val="en-US" w:eastAsia="zh-CN"/>
        </w:rPr>
        <w:t>在</w:t>
      </w:r>
      <w:r>
        <w:rPr>
          <w:rFonts w:ascii="仿宋_GB2312" w:eastAsia="仿宋_GB2312"/>
          <w:b w:val="0"/>
          <w:sz w:val="32"/>
          <w:szCs w:val="32"/>
        </w:rPr>
        <w:t>行政运行</w:t>
      </w:r>
      <w:r>
        <w:rPr>
          <w:rFonts w:hint="eastAsia" w:ascii="仿宋_GB2312" w:eastAsia="仿宋_GB2312"/>
          <w:b w:val="0"/>
          <w:sz w:val="32"/>
          <w:szCs w:val="32"/>
          <w:lang w:val="en-US" w:eastAsia="zh-CN"/>
        </w:rPr>
        <w:t>列支，导致</w:t>
      </w:r>
      <w:r>
        <w:rPr>
          <w:rFonts w:ascii="仿宋_GB2312" w:eastAsia="仿宋_GB2312"/>
          <w:b w:val="0"/>
          <w:sz w:val="32"/>
          <w:szCs w:val="32"/>
        </w:rPr>
        <w:t>信访事务支出决算数比上年决算减少</w:t>
      </w:r>
      <w:r>
        <w:rPr>
          <w:rFonts w:hint="eastAsia" w:ascii="仿宋_GB2312" w:eastAsia="仿宋_GB2312"/>
          <w:b w:val="0"/>
          <w:sz w:val="32"/>
          <w:szCs w:val="32"/>
          <w:lang w:eastAsia="zh-CN"/>
        </w:rPr>
        <w:t>。</w:t>
      </w:r>
    </w:p>
    <w:p w14:paraId="1D5CF8FC">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一般公共服务支出（类）信访事务（款）行政运行（项）：支出决算数为230.43万元，比上年决算增加230.43万元，增长100.00%，主要原因是：</w:t>
      </w:r>
      <w:r>
        <w:rPr>
          <w:rFonts w:hint="eastAsia" w:ascii="仿宋_GB2312" w:eastAsia="仿宋_GB2312"/>
          <w:b w:val="0"/>
          <w:sz w:val="32"/>
          <w:szCs w:val="32"/>
          <w:lang w:val="en-US" w:eastAsia="zh-CN"/>
        </w:rPr>
        <w:t>功能科目调整，本年度</w:t>
      </w:r>
      <w:r>
        <w:rPr>
          <w:rFonts w:ascii="仿宋_GB2312" w:eastAsia="仿宋_GB2312"/>
          <w:b w:val="0"/>
          <w:sz w:val="32"/>
          <w:szCs w:val="32"/>
        </w:rPr>
        <w:t>信访事务</w:t>
      </w:r>
      <w:r>
        <w:rPr>
          <w:rFonts w:hint="eastAsia" w:ascii="仿宋_GB2312" w:eastAsia="仿宋_GB2312"/>
          <w:b w:val="0"/>
          <w:sz w:val="32"/>
          <w:szCs w:val="32"/>
          <w:lang w:val="en-US" w:eastAsia="zh-CN"/>
        </w:rPr>
        <w:t>在</w:t>
      </w:r>
      <w:r>
        <w:rPr>
          <w:rFonts w:ascii="仿宋_GB2312" w:eastAsia="仿宋_GB2312"/>
          <w:b w:val="0"/>
          <w:sz w:val="32"/>
          <w:szCs w:val="32"/>
        </w:rPr>
        <w:t>行政运行</w:t>
      </w:r>
      <w:r>
        <w:rPr>
          <w:rFonts w:hint="eastAsia" w:ascii="仿宋_GB2312" w:eastAsia="仿宋_GB2312"/>
          <w:b w:val="0"/>
          <w:sz w:val="32"/>
          <w:szCs w:val="32"/>
          <w:lang w:val="en-US" w:eastAsia="zh-CN"/>
        </w:rPr>
        <w:t>列支，导致</w:t>
      </w:r>
      <w:r>
        <w:rPr>
          <w:rFonts w:ascii="仿宋_GB2312" w:eastAsia="仿宋_GB2312"/>
          <w:b w:val="0"/>
          <w:sz w:val="32"/>
          <w:szCs w:val="32"/>
        </w:rPr>
        <w:t>行政运行支出决算数比上年决算</w:t>
      </w:r>
      <w:r>
        <w:rPr>
          <w:rFonts w:hint="eastAsia" w:ascii="仿宋_GB2312" w:eastAsia="仿宋_GB2312"/>
          <w:b w:val="0"/>
          <w:sz w:val="32"/>
          <w:szCs w:val="32"/>
          <w:lang w:val="en-US" w:eastAsia="zh-CN"/>
        </w:rPr>
        <w:t>增加</w:t>
      </w:r>
      <w:r>
        <w:rPr>
          <w:rFonts w:hint="eastAsia" w:ascii="仿宋_GB2312" w:eastAsia="仿宋_GB2312"/>
          <w:b w:val="0"/>
          <w:sz w:val="32"/>
          <w:szCs w:val="32"/>
          <w:lang w:eastAsia="zh-CN"/>
        </w:rPr>
        <w:t>。</w:t>
      </w:r>
    </w:p>
    <w:p w14:paraId="6DCC882A">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一般公共服务支出（类）信访事务（款）一般行政管理事务（项）：支出决算数为7.51万元，比上年决算增加7.51万元，增长100.00%，主要原因是：</w:t>
      </w:r>
      <w:r>
        <w:rPr>
          <w:rFonts w:hint="eastAsia" w:ascii="仿宋_GB2312" w:eastAsia="仿宋_GB2312"/>
          <w:b w:val="0"/>
          <w:sz w:val="32"/>
          <w:szCs w:val="32"/>
          <w:lang w:val="en-US" w:eastAsia="zh-CN"/>
        </w:rPr>
        <w:t>功能科目调整，上年</w:t>
      </w:r>
      <w:r>
        <w:rPr>
          <w:rFonts w:ascii="仿宋_GB2312" w:eastAsia="仿宋_GB2312"/>
          <w:b w:val="0"/>
          <w:sz w:val="32"/>
          <w:szCs w:val="32"/>
        </w:rPr>
        <w:t>一般行政管理事务</w:t>
      </w:r>
      <w:r>
        <w:rPr>
          <w:rFonts w:hint="eastAsia" w:ascii="仿宋_GB2312" w:eastAsia="仿宋_GB2312"/>
          <w:b w:val="0"/>
          <w:sz w:val="32"/>
          <w:szCs w:val="32"/>
          <w:lang w:val="en-US" w:eastAsia="zh-CN"/>
        </w:rPr>
        <w:t>于</w:t>
      </w:r>
      <w:r>
        <w:rPr>
          <w:rFonts w:ascii="仿宋_GB2312" w:eastAsia="仿宋_GB2312"/>
          <w:b w:val="0"/>
          <w:sz w:val="32"/>
          <w:szCs w:val="32"/>
        </w:rPr>
        <w:t>信访事务</w:t>
      </w:r>
      <w:r>
        <w:rPr>
          <w:rFonts w:hint="eastAsia" w:ascii="仿宋_GB2312" w:eastAsia="仿宋_GB2312"/>
          <w:b w:val="0"/>
          <w:sz w:val="32"/>
          <w:szCs w:val="32"/>
          <w:lang w:val="en-US" w:eastAsia="zh-CN"/>
        </w:rPr>
        <w:t>列支，本年单独科目核算。</w:t>
      </w:r>
    </w:p>
    <w:p w14:paraId="63ACA4FE">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一般公共服务支出（类）信访事务（款）信访业务（项）：支出决算数为3.00万元，比上年决算增加3.00万元，增长100.00%，主要原因是：</w:t>
      </w:r>
      <w:r>
        <w:rPr>
          <w:rFonts w:hint="eastAsia" w:ascii="仿宋_GB2312" w:eastAsia="仿宋_GB2312"/>
          <w:b w:val="0"/>
          <w:sz w:val="32"/>
          <w:szCs w:val="32"/>
          <w:lang w:val="en-US" w:eastAsia="zh-CN"/>
        </w:rPr>
        <w:t>功能科目调整，上年</w:t>
      </w:r>
      <w:r>
        <w:rPr>
          <w:rFonts w:ascii="仿宋_GB2312" w:eastAsia="仿宋_GB2312"/>
          <w:b w:val="0"/>
          <w:sz w:val="32"/>
          <w:szCs w:val="32"/>
        </w:rPr>
        <w:t>信访业务</w:t>
      </w:r>
      <w:r>
        <w:rPr>
          <w:rFonts w:hint="eastAsia" w:ascii="仿宋_GB2312" w:eastAsia="仿宋_GB2312"/>
          <w:b w:val="0"/>
          <w:sz w:val="32"/>
          <w:szCs w:val="32"/>
          <w:lang w:val="en-US" w:eastAsia="zh-CN"/>
        </w:rPr>
        <w:t>于</w:t>
      </w:r>
      <w:r>
        <w:rPr>
          <w:rFonts w:ascii="仿宋_GB2312" w:eastAsia="仿宋_GB2312"/>
          <w:b w:val="0"/>
          <w:sz w:val="32"/>
          <w:szCs w:val="32"/>
        </w:rPr>
        <w:t>信访事务</w:t>
      </w:r>
      <w:r>
        <w:rPr>
          <w:rFonts w:hint="eastAsia" w:ascii="仿宋_GB2312" w:eastAsia="仿宋_GB2312"/>
          <w:b w:val="0"/>
          <w:sz w:val="32"/>
          <w:szCs w:val="32"/>
          <w:lang w:val="en-US" w:eastAsia="zh-CN"/>
        </w:rPr>
        <w:t>列支，本年单独科目核算。</w:t>
      </w:r>
    </w:p>
    <w:p w14:paraId="3AC36822">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教育支出（类）进修及培训（款）培训支出（项）：支出决算数为0.00万元，比上年决算减少0.80万元，下降100.00%，主要原因是：</w:t>
      </w:r>
      <w:r>
        <w:rPr>
          <w:rFonts w:hint="eastAsia" w:ascii="仿宋_GB2312" w:eastAsia="仿宋_GB2312"/>
          <w:b w:val="0"/>
          <w:sz w:val="32"/>
          <w:szCs w:val="32"/>
        </w:rPr>
        <w:t>本年未安排外出培训，培训费减少。</w:t>
      </w:r>
    </w:p>
    <w:p w14:paraId="2F0F3A43">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社会保障和就业支出（类）行政事业单位养老支出（款）行政单位离退休（项）：支出决算数为1.00万元，比上年决算增加0.33万元，增长49.25%，主要原因是：</w:t>
      </w:r>
      <w:r>
        <w:rPr>
          <w:rFonts w:hint="eastAsia" w:ascii="仿宋_GB2312" w:eastAsia="仿宋_GB2312"/>
          <w:b w:val="0"/>
          <w:sz w:val="32"/>
          <w:szCs w:val="32"/>
          <w:lang w:val="en-US" w:eastAsia="zh-CN"/>
        </w:rPr>
        <w:t>本年在职转退休1人，退休人员增加以及本年退休人员绩效增加，导致</w:t>
      </w:r>
      <w:r>
        <w:rPr>
          <w:rFonts w:ascii="仿宋_GB2312" w:eastAsia="仿宋_GB2312"/>
          <w:b w:val="0"/>
          <w:sz w:val="32"/>
          <w:szCs w:val="32"/>
        </w:rPr>
        <w:t>行政单位离退休支出决算数比上年决算增加</w:t>
      </w:r>
      <w:r>
        <w:rPr>
          <w:rFonts w:hint="eastAsia" w:ascii="仿宋_GB2312" w:eastAsia="仿宋_GB2312"/>
          <w:b w:val="0"/>
          <w:sz w:val="32"/>
          <w:szCs w:val="32"/>
          <w:lang w:eastAsia="zh-CN"/>
        </w:rPr>
        <w:t>。</w:t>
      </w:r>
    </w:p>
    <w:p w14:paraId="0E5CF6E2">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社会保障和就业支出（类）行政事业单位养老支出（款）机关事业单位基本养老保险缴费支出（项）：支出决算数为24.48万元，比上年决算增加1.49万元，增长6.48%，主要原因是：</w:t>
      </w:r>
      <w:r>
        <w:rPr>
          <w:rFonts w:hint="eastAsia" w:ascii="仿宋_GB2312" w:eastAsia="仿宋_GB2312"/>
          <w:b w:val="0"/>
          <w:sz w:val="32"/>
          <w:szCs w:val="32"/>
          <w:lang w:val="en-US" w:eastAsia="zh-CN"/>
        </w:rPr>
        <w:t>在职人员社保基数调增，导致</w:t>
      </w:r>
      <w:r>
        <w:rPr>
          <w:rFonts w:ascii="仿宋_GB2312" w:eastAsia="仿宋_GB2312"/>
          <w:b w:val="0"/>
          <w:sz w:val="32"/>
          <w:szCs w:val="32"/>
        </w:rPr>
        <w:t>机关事业单位基本养老保险缴费支出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14:paraId="2AC3DDBC">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社会保障和就业支出（类）行政事业单位养老支出（款）机关事业单位职业年金缴费支出（项）：支出决算数为8.12万元，比上年决算增加8.12万元，增长100.00%，主要原因是：</w:t>
      </w:r>
      <w:r>
        <w:rPr>
          <w:rFonts w:hint="eastAsia" w:ascii="仿宋_GB2312" w:eastAsia="仿宋_GB2312"/>
          <w:b w:val="0"/>
          <w:sz w:val="32"/>
          <w:szCs w:val="32"/>
          <w:lang w:val="en-US" w:eastAsia="zh-CN"/>
        </w:rPr>
        <w:t>本年在职转退休1人，上年度无退休人员，退休人员增加1人，导致</w:t>
      </w:r>
      <w:r>
        <w:rPr>
          <w:rFonts w:ascii="仿宋_GB2312" w:eastAsia="仿宋_GB2312"/>
          <w:b w:val="0"/>
          <w:sz w:val="32"/>
          <w:szCs w:val="32"/>
        </w:rPr>
        <w:t>机关事业单位职业年金缴费支出</w:t>
      </w:r>
      <w:r>
        <w:rPr>
          <w:rFonts w:hint="eastAsia" w:ascii="仿宋_GB2312" w:eastAsia="仿宋_GB2312"/>
          <w:b w:val="0"/>
          <w:sz w:val="32"/>
          <w:szCs w:val="32"/>
          <w:lang w:val="en-US" w:eastAsia="zh-CN"/>
        </w:rPr>
        <w:t>数</w:t>
      </w:r>
      <w:r>
        <w:rPr>
          <w:rFonts w:ascii="仿宋_GB2312" w:eastAsia="仿宋_GB2312"/>
          <w:b w:val="0"/>
          <w:sz w:val="32"/>
          <w:szCs w:val="32"/>
        </w:rPr>
        <w:t>比上年决算增加</w:t>
      </w:r>
      <w:r>
        <w:rPr>
          <w:rFonts w:hint="eastAsia" w:ascii="仿宋_GB2312" w:eastAsia="仿宋_GB2312"/>
          <w:b w:val="0"/>
          <w:sz w:val="32"/>
          <w:szCs w:val="32"/>
          <w:lang w:eastAsia="zh-CN"/>
        </w:rPr>
        <w:t>。</w:t>
      </w:r>
    </w:p>
    <w:p w14:paraId="634A8926">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社会保障和就业支出（类）就业补助（款）公益性岗位补贴（项）：支出决算数为0.00万元，比上年决算减少10.04万元，下降100.00%，主要原因是：</w:t>
      </w:r>
      <w:r>
        <w:rPr>
          <w:rFonts w:hint="eastAsia" w:ascii="仿宋_GB2312" w:eastAsia="仿宋_GB2312"/>
          <w:b w:val="0"/>
          <w:sz w:val="32"/>
          <w:szCs w:val="32"/>
          <w:lang w:val="en-US" w:eastAsia="zh-CN"/>
        </w:rPr>
        <w:t>功能科目调整，本年</w:t>
      </w:r>
      <w:r>
        <w:rPr>
          <w:rFonts w:ascii="仿宋_GB2312" w:eastAsia="仿宋_GB2312"/>
          <w:b w:val="0"/>
          <w:sz w:val="32"/>
          <w:szCs w:val="32"/>
        </w:rPr>
        <w:t>公益性岗位补贴</w:t>
      </w:r>
      <w:r>
        <w:rPr>
          <w:rFonts w:hint="eastAsia" w:ascii="仿宋_GB2312" w:eastAsia="仿宋_GB2312"/>
          <w:b w:val="0"/>
          <w:sz w:val="32"/>
          <w:szCs w:val="32"/>
          <w:lang w:val="en-US" w:eastAsia="zh-CN"/>
        </w:rPr>
        <w:t>于</w:t>
      </w:r>
      <w:r>
        <w:rPr>
          <w:rFonts w:ascii="仿宋_GB2312" w:eastAsia="仿宋_GB2312"/>
          <w:b w:val="0"/>
          <w:sz w:val="32"/>
          <w:szCs w:val="32"/>
        </w:rPr>
        <w:t>行政运行</w:t>
      </w:r>
      <w:r>
        <w:rPr>
          <w:rFonts w:hint="eastAsia" w:ascii="仿宋_GB2312" w:eastAsia="仿宋_GB2312"/>
          <w:b w:val="0"/>
          <w:sz w:val="32"/>
          <w:szCs w:val="32"/>
          <w:lang w:val="en-US" w:eastAsia="zh-CN"/>
        </w:rPr>
        <w:t>列支，导致</w:t>
      </w:r>
      <w:r>
        <w:rPr>
          <w:rFonts w:ascii="仿宋_GB2312" w:eastAsia="仿宋_GB2312"/>
          <w:b w:val="0"/>
          <w:sz w:val="32"/>
          <w:szCs w:val="32"/>
        </w:rPr>
        <w:t>公益性岗位补贴支出决算数比上年决算减少</w:t>
      </w:r>
      <w:r>
        <w:rPr>
          <w:rFonts w:hint="eastAsia" w:ascii="仿宋_GB2312" w:eastAsia="仿宋_GB2312"/>
          <w:b w:val="0"/>
          <w:sz w:val="32"/>
          <w:szCs w:val="32"/>
          <w:lang w:eastAsia="zh-CN"/>
        </w:rPr>
        <w:t>。</w:t>
      </w:r>
    </w:p>
    <w:p w14:paraId="09ECAA1E">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卫生健康支出（类）行政事业单位医疗（款）行政单位医疗（项）：支出决算数为11.13万元，比上年决算增加0.67万元，增长6.41%，主要原因是：</w:t>
      </w:r>
      <w:r>
        <w:rPr>
          <w:rFonts w:hint="eastAsia" w:ascii="仿宋_GB2312" w:eastAsia="仿宋_GB2312"/>
          <w:b w:val="0"/>
          <w:sz w:val="32"/>
          <w:szCs w:val="32"/>
          <w:lang w:val="en-US" w:eastAsia="zh-CN"/>
        </w:rPr>
        <w:t>在职人员医保基数调增，导致</w:t>
      </w:r>
      <w:r>
        <w:rPr>
          <w:rFonts w:ascii="仿宋_GB2312" w:eastAsia="仿宋_GB2312"/>
          <w:b w:val="0"/>
          <w:sz w:val="32"/>
          <w:szCs w:val="32"/>
        </w:rPr>
        <w:t>行政单位医疗支出决算数比上年决算增加</w:t>
      </w:r>
      <w:r>
        <w:rPr>
          <w:rFonts w:hint="eastAsia" w:ascii="仿宋_GB2312" w:eastAsia="仿宋_GB2312"/>
          <w:b w:val="0"/>
          <w:sz w:val="32"/>
          <w:szCs w:val="32"/>
          <w:lang w:eastAsia="zh-CN"/>
        </w:rPr>
        <w:t>。</w:t>
      </w:r>
    </w:p>
    <w:p w14:paraId="7980B9AE">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卫生健康支出（类）行政事业单位医疗（款）公务员医疗补助（项）：支出决算数为2.68万元，比上年决算增加0.16万元，增长6.35%，主要原因是：</w:t>
      </w:r>
      <w:r>
        <w:rPr>
          <w:rFonts w:hint="eastAsia" w:ascii="仿宋_GB2312" w:eastAsia="仿宋_GB2312"/>
          <w:b w:val="0"/>
          <w:sz w:val="32"/>
          <w:szCs w:val="32"/>
          <w:lang w:val="en-US" w:eastAsia="zh-CN"/>
        </w:rPr>
        <w:t>在职人员医保基数调增，导致</w:t>
      </w:r>
      <w:r>
        <w:rPr>
          <w:rFonts w:ascii="仿宋_GB2312" w:eastAsia="仿宋_GB2312"/>
          <w:b w:val="0"/>
          <w:sz w:val="32"/>
          <w:szCs w:val="32"/>
        </w:rPr>
        <w:t>公务员医疗补助支出决算数比上年决算增加</w:t>
      </w:r>
      <w:r>
        <w:rPr>
          <w:rFonts w:hint="eastAsia" w:ascii="仿宋_GB2312" w:eastAsia="仿宋_GB2312"/>
          <w:b w:val="0"/>
          <w:sz w:val="32"/>
          <w:szCs w:val="32"/>
          <w:lang w:eastAsia="zh-CN"/>
        </w:rPr>
        <w:t>。</w:t>
      </w:r>
    </w:p>
    <w:p w14:paraId="3F97BE9B">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住房保障支出（类）住房改革支出（款）住房公积金（项）：支出决算数为20.14万元，比上年决算增加1.86万元，增长10.18%，主要原因是：</w:t>
      </w:r>
      <w:r>
        <w:rPr>
          <w:rFonts w:hint="eastAsia" w:ascii="仿宋_GB2312" w:eastAsia="仿宋_GB2312"/>
          <w:b w:val="0"/>
          <w:sz w:val="32"/>
          <w:szCs w:val="32"/>
          <w:lang w:val="en-US" w:eastAsia="zh-CN"/>
        </w:rPr>
        <w:t>在职人员公积金基数调增，导致</w:t>
      </w:r>
      <w:r>
        <w:rPr>
          <w:rFonts w:ascii="仿宋_GB2312" w:eastAsia="仿宋_GB2312"/>
          <w:b w:val="0"/>
          <w:sz w:val="32"/>
          <w:szCs w:val="32"/>
        </w:rPr>
        <w:t>住房公积金支出决算数比上年决算增加</w:t>
      </w:r>
      <w:r>
        <w:rPr>
          <w:rFonts w:hint="eastAsia" w:ascii="仿宋_GB2312" w:eastAsia="仿宋_GB2312"/>
          <w:b w:val="0"/>
          <w:sz w:val="32"/>
          <w:szCs w:val="32"/>
          <w:lang w:eastAsia="zh-CN"/>
        </w:rPr>
        <w:t>。</w:t>
      </w:r>
    </w:p>
    <w:p w14:paraId="097F040E">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5984EE4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297.99万元，其中：人员经费256.29万元，包括：基本工资、津贴补贴、奖金、机关事业单位基本养老保险缴费、职业年金缴费、职工基本医疗保险缴费、公务员医疗补助缴费、其他社会保障缴费、住房公积金、其他工资福利支出和退休费。</w:t>
      </w:r>
    </w:p>
    <w:p w14:paraId="60090D2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公用经费41.70万元，包括：办公费、电费、邮电费、取暖费、物业管理费、差旅费、工会经费、福利费、公务用车运行维护费和其他交通费用。</w:t>
      </w:r>
    </w:p>
    <w:p w14:paraId="3B3BC07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2BF00D2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4272598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01CE0A7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3375A6C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6047535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2024年度财政拨款“三公”经费支出1.80万元，比上年增加1.80万元，增长100%，主要原因是：</w:t>
      </w:r>
      <w:r>
        <w:rPr>
          <w:rFonts w:hint="eastAsia" w:ascii="仿宋_GB2312" w:eastAsia="仿宋_GB2312"/>
          <w:b w:val="0"/>
          <w:sz w:val="32"/>
          <w:szCs w:val="32"/>
          <w:lang w:val="en-US" w:eastAsia="zh-CN"/>
        </w:rPr>
        <w:t>本年度车辆维修费、保险费增加，导致</w:t>
      </w:r>
      <w:r>
        <w:rPr>
          <w:rFonts w:ascii="仿宋_GB2312" w:eastAsia="仿宋_GB2312"/>
          <w:b w:val="0"/>
          <w:sz w:val="32"/>
          <w:szCs w:val="32"/>
        </w:rPr>
        <w:t>“三公”经费支出</w:t>
      </w:r>
      <w:r>
        <w:rPr>
          <w:rFonts w:hint="eastAsia" w:ascii="仿宋_GB2312" w:eastAsia="仿宋_GB2312"/>
          <w:b w:val="0"/>
          <w:sz w:val="32"/>
          <w:szCs w:val="32"/>
          <w:lang w:val="en-US" w:eastAsia="zh-CN"/>
        </w:rPr>
        <w:t>增加</w:t>
      </w:r>
      <w:r>
        <w:rPr>
          <w:rFonts w:ascii="仿宋_GB2312" w:eastAsia="仿宋_GB2312"/>
          <w:b w:val="0"/>
          <w:sz w:val="32"/>
          <w:szCs w:val="32"/>
        </w:rPr>
        <w:t>。其中：因公出国（境）费支出0.00万元,占0.00%，与上年相比无变化；公务用车购置及运行维护费支出1.80万元，占100.00%，比上年增加1.80万元，增长100%，主要原因是：</w:t>
      </w:r>
      <w:r>
        <w:rPr>
          <w:rFonts w:hint="eastAsia" w:ascii="仿宋_GB2312" w:eastAsia="仿宋_GB2312"/>
          <w:b w:val="0"/>
          <w:sz w:val="32"/>
          <w:szCs w:val="32"/>
          <w:lang w:val="en-US" w:eastAsia="zh-CN"/>
        </w:rPr>
        <w:t>本年度车辆维修费、保险费增加，导致本年</w:t>
      </w:r>
      <w:r>
        <w:rPr>
          <w:rFonts w:ascii="仿宋_GB2312" w:eastAsia="仿宋_GB2312"/>
          <w:b w:val="0"/>
          <w:sz w:val="32"/>
          <w:szCs w:val="32"/>
        </w:rPr>
        <w:t>公务用车购置及运行维护费支出</w:t>
      </w:r>
      <w:r>
        <w:rPr>
          <w:rFonts w:hint="eastAsia" w:ascii="仿宋_GB2312" w:eastAsia="仿宋_GB2312"/>
          <w:b w:val="0"/>
          <w:sz w:val="32"/>
          <w:szCs w:val="32"/>
          <w:lang w:val="en-US" w:eastAsia="zh-CN"/>
        </w:rPr>
        <w:t>增加</w:t>
      </w:r>
      <w:r>
        <w:rPr>
          <w:rFonts w:ascii="仿宋_GB2312" w:eastAsia="仿宋_GB2312"/>
          <w:b w:val="0"/>
          <w:sz w:val="32"/>
          <w:szCs w:val="32"/>
        </w:rPr>
        <w:t>；公务接待费支出0.00万元，占0.00%，与上年相比无变化。</w:t>
      </w:r>
    </w:p>
    <w:p w14:paraId="43C1CDF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6ECC08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开支内容。单位全年安排的因公出国（境）团组0个，因公出国（境）0人次。</w:t>
      </w:r>
    </w:p>
    <w:p w14:paraId="7D9B051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公务用车购置及运行维护费1.80万元，其中：公务用车购置费0.00万元，公务用车运行维护费1.80万元。公务用车运行维护费开支内容包括</w:t>
      </w:r>
      <w:r>
        <w:rPr>
          <w:rFonts w:hint="eastAsia" w:ascii="仿宋_GB2312" w:eastAsia="仿宋_GB2312"/>
          <w:b w:val="0"/>
          <w:sz w:val="32"/>
          <w:szCs w:val="32"/>
          <w:lang w:val="en-US" w:eastAsia="zh-CN"/>
        </w:rPr>
        <w:t>车辆保险费、检测费、维修费等</w:t>
      </w:r>
      <w:r>
        <w:rPr>
          <w:rFonts w:ascii="仿宋_GB2312" w:eastAsia="仿宋_GB2312"/>
          <w:b w:val="0"/>
          <w:sz w:val="32"/>
          <w:szCs w:val="32"/>
        </w:rPr>
        <w:t>。公务用车购置数0辆，公务用车保有量1辆。国有资产占用情况中固定资产车辆1辆，与公务用车保有量</w:t>
      </w:r>
      <w:r>
        <w:rPr>
          <w:rFonts w:hint="eastAsia" w:ascii="仿宋_GB2312" w:eastAsia="仿宋_GB2312"/>
          <w:b w:val="0"/>
          <w:sz w:val="32"/>
          <w:szCs w:val="32"/>
          <w:lang w:val="en-US" w:eastAsia="zh-CN"/>
        </w:rPr>
        <w:t>无</w:t>
      </w:r>
      <w:r>
        <w:rPr>
          <w:rFonts w:ascii="仿宋_GB2312" w:eastAsia="仿宋_GB2312"/>
          <w:b w:val="0"/>
          <w:sz w:val="32"/>
          <w:szCs w:val="32"/>
        </w:rPr>
        <w:t>差异。</w:t>
      </w:r>
    </w:p>
    <w:p w14:paraId="18A8255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w:t>
      </w:r>
      <w:r>
        <w:rPr>
          <w:rFonts w:hint="eastAsia" w:ascii="仿宋_GB2312" w:eastAsia="仿宋_GB2312"/>
          <w:b w:val="0"/>
          <w:sz w:val="32"/>
          <w:szCs w:val="32"/>
          <w:lang w:val="en-US" w:eastAsia="zh-CN"/>
        </w:rPr>
        <w:t>无</w:t>
      </w:r>
      <w:r>
        <w:rPr>
          <w:rFonts w:ascii="仿宋_GB2312" w:eastAsia="仿宋_GB2312"/>
          <w:b w:val="0"/>
          <w:sz w:val="32"/>
          <w:szCs w:val="32"/>
        </w:rPr>
        <w:t>开支内容。单位全年安排的国内公务接待0批次，0人次。</w:t>
      </w:r>
    </w:p>
    <w:p w14:paraId="1943848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与全年预算相比，财政拨款“三公”经费支出全年预算数1.80万元，决算数1.80万元，预决算差异率0.00%，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。其中：因公出国（境）费全年预算数0.00万元，决算数0.00万元，预决算差异率0.00%，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。公务用车购置费全年预算数0.00万元，决算数0.00万元，预决算差异率0.00%，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。公务用车运行维护费全年预算数1.80万元，决算数1.80万元，预决算差异率0.00%，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。公务接待费全年预算数0.00万元，决算数0.00万元，预决算差异率0.00%，</w:t>
      </w:r>
      <w:r>
        <w:rPr>
          <w:rFonts w:hint="eastAsia" w:ascii="仿宋_GB2312" w:eastAsia="仿宋_GB2312"/>
          <w:b w:val="0"/>
          <w:sz w:val="32"/>
          <w:szCs w:val="32"/>
          <w:lang w:val="en-US" w:eastAsia="zh-CN"/>
        </w:rPr>
        <w:t>与预决算相比无差异</w:t>
      </w:r>
      <w:r>
        <w:rPr>
          <w:rFonts w:ascii="仿宋_GB2312" w:eastAsia="仿宋_GB2312"/>
          <w:b w:val="0"/>
          <w:sz w:val="32"/>
          <w:szCs w:val="32"/>
        </w:rPr>
        <w:t>。</w:t>
      </w:r>
    </w:p>
    <w:p w14:paraId="6A7FBC6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7FD69D8D">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41DA7B19">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val="en-US" w:eastAsia="zh-CN"/>
        </w:rPr>
      </w:pPr>
      <w:r>
        <w:rPr>
          <w:rFonts w:ascii="仿宋_GB2312" w:eastAsia="仿宋_GB2312"/>
          <w:b w:val="0"/>
          <w:sz w:val="32"/>
          <w:szCs w:val="32"/>
        </w:rPr>
        <w:t>2024年度库尔勒市信访局单位机关运行经费支出41.70万元，比上年增加21.39万元，增长105.32%，主要原因是：</w:t>
      </w:r>
      <w:r>
        <w:rPr>
          <w:rFonts w:hint="eastAsia" w:ascii="仿宋_GB2312" w:eastAsia="仿宋_GB2312"/>
          <w:b w:val="0"/>
          <w:sz w:val="32"/>
          <w:szCs w:val="32"/>
        </w:rPr>
        <w:t>本年新增安装办公楼采暖设施资金22万元，日常公用经费增加</w:t>
      </w:r>
      <w:r>
        <w:rPr>
          <w:rFonts w:hint="eastAsia" w:ascii="仿宋_GB2312" w:eastAsia="仿宋_GB2312"/>
          <w:b w:val="0"/>
          <w:sz w:val="32"/>
          <w:szCs w:val="32"/>
          <w:lang w:val="en-US" w:eastAsia="zh-CN"/>
        </w:rPr>
        <w:t>以及严格执行八项规定，厉行节约，减少公用经费支出，导致</w:t>
      </w:r>
      <w:r>
        <w:rPr>
          <w:rFonts w:ascii="仿宋_GB2312" w:eastAsia="仿宋_GB2312"/>
          <w:b w:val="0"/>
          <w:sz w:val="32"/>
          <w:szCs w:val="32"/>
        </w:rPr>
        <w:t>机关运行经费支出比上年增加</w:t>
      </w:r>
      <w:r>
        <w:rPr>
          <w:rFonts w:hint="eastAsia" w:ascii="仿宋_GB2312" w:eastAsia="仿宋_GB2312"/>
          <w:b w:val="0"/>
          <w:sz w:val="32"/>
          <w:szCs w:val="32"/>
          <w:lang w:eastAsia="zh-CN"/>
        </w:rPr>
        <w:t>。</w:t>
      </w:r>
    </w:p>
    <w:p w14:paraId="7D1F8964">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154A6D3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2024年度政府采购支出总额13.21万元，其中：政府采购货物支出2.00万元、政府采购工程支出10.51万元、政府采购服务支出0.70万元。</w:t>
      </w:r>
    </w:p>
    <w:p w14:paraId="41225D8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授予中小企业合同金额13.21万元，占政府采购支出总额的100.00%，其中：授予小微企业合同金额13.21万元，占政府采购支出总额的100.00%。</w:t>
      </w:r>
    </w:p>
    <w:p w14:paraId="45E5570D">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1ED088D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1辆，价值0.68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b w:val="0"/>
          <w:sz w:val="32"/>
          <w:szCs w:val="32"/>
          <w:lang w:val="en-US" w:eastAsia="zh-CN"/>
        </w:rPr>
        <w:t>业务用车1辆</w:t>
      </w:r>
      <w:r>
        <w:rPr>
          <w:rFonts w:ascii="仿宋_GB2312" w:eastAsia="仿宋_GB2312"/>
          <w:b w:val="0"/>
          <w:sz w:val="32"/>
          <w:szCs w:val="32"/>
        </w:rPr>
        <w:t>;单价100万元（含）以上设备（不含车辆）0台（套）。</w:t>
      </w:r>
    </w:p>
    <w:p w14:paraId="4C194C5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339FE21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308.5</w:t>
      </w:r>
      <w:r>
        <w:rPr>
          <w:rFonts w:ascii="仿宋_GB2312" w:eastAsia="仿宋_GB2312"/>
          <w:b w:val="0"/>
          <w:sz w:val="32"/>
          <w:szCs w:val="32"/>
        </w:rPr>
        <w:t>万元，实际执行总额</w:t>
      </w:r>
      <w:r>
        <w:rPr>
          <w:rFonts w:hint="eastAsia" w:ascii="仿宋_GB2312" w:eastAsia="仿宋_GB2312"/>
          <w:b w:val="0"/>
          <w:sz w:val="32"/>
          <w:szCs w:val="32"/>
          <w:lang w:val="en-US" w:eastAsia="zh-CN"/>
        </w:rPr>
        <w:t>308.5</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25</w:t>
      </w:r>
      <w:r>
        <w:rPr>
          <w:rFonts w:ascii="仿宋_GB2312" w:eastAsia="仿宋_GB2312"/>
          <w:b w:val="0"/>
          <w:sz w:val="32"/>
          <w:szCs w:val="32"/>
        </w:rPr>
        <w:t>万元，全年执行数</w:t>
      </w:r>
      <w:r>
        <w:rPr>
          <w:rFonts w:hint="eastAsia" w:ascii="仿宋_GB2312" w:eastAsia="仿宋_GB2312"/>
          <w:b w:val="0"/>
          <w:sz w:val="32"/>
          <w:szCs w:val="32"/>
          <w:lang w:val="en-US" w:eastAsia="zh-CN"/>
        </w:rPr>
        <w:t>16.39</w:t>
      </w:r>
      <w:r>
        <w:rPr>
          <w:rFonts w:ascii="仿宋_GB2312" w:eastAsia="仿宋_GB2312"/>
          <w:b w:val="0"/>
          <w:sz w:val="32"/>
          <w:szCs w:val="32"/>
        </w:rPr>
        <w:t>万元。预算绩效管理取得的成效：</w:t>
      </w:r>
      <w:r>
        <w:rPr>
          <w:rFonts w:hint="eastAsia" w:ascii="仿宋_GB2312" w:eastAsia="仿宋_GB2312"/>
          <w:b w:val="0"/>
          <w:sz w:val="32"/>
          <w:szCs w:val="32"/>
        </w:rPr>
        <w:t>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w:t>
      </w:r>
      <w:r>
        <w:rPr>
          <w:rFonts w:ascii="仿宋_GB2312" w:eastAsia="仿宋_GB2312"/>
          <w:b w:val="0"/>
          <w:sz w:val="32"/>
          <w:szCs w:val="32"/>
        </w:rPr>
        <w:t>发现的问题及原因：</w:t>
      </w:r>
      <w:r>
        <w:rPr>
          <w:rFonts w:hint="eastAsia" w:ascii="仿宋_GB2312" w:eastAsia="仿宋_GB2312"/>
          <w:b w:val="0"/>
          <w:sz w:val="32"/>
          <w:szCs w:val="32"/>
        </w:rPr>
        <w:t>一是对绩效目标偏差问题缺乏有效分析，从而导致填报的内容相对简单。二是在部门整体支出的资金安排和使用上仍有不可预见性，在经费支出科学化精细化管理上还有待加强。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w:t>
      </w:r>
      <w:r>
        <w:rPr>
          <w:rFonts w:ascii="仿宋_GB2312" w:eastAsia="仿宋_GB2312"/>
          <w:b w:val="0"/>
          <w:sz w:val="32"/>
          <w:szCs w:val="32"/>
        </w:rPr>
        <w:t>具体附部门整体支出绩效自评表，项目支出绩效自评表和部门评价报告。</w:t>
      </w:r>
    </w:p>
    <w:p w14:paraId="1B1F730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1A67167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7A74078E">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095D8F8A">
      <w:pPr>
        <w:widowControl/>
      </w:pPr>
      <w:r>
        <w:rPr>
          <w:b w:val="0"/>
          <w:sz w:val="0"/>
          <w:szCs w:val="0"/>
        </w:rPr>
        <w:br w:type="page"/>
      </w:r>
    </w:p>
    <w:p w14:paraId="520E74CF">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0469D41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43B61B8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1E53E42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2EBB87C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62279DF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2D668DF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7391CDC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7D0B687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0F895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5242873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23EB039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3ECACF15">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2719FEB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83861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1712A5A3">
      <w:pPr>
        <w:widowControl/>
      </w:pPr>
      <w:r>
        <w:rPr>
          <w:b w:val="0"/>
          <w:sz w:val="0"/>
          <w:szCs w:val="0"/>
        </w:rPr>
        <w:br w:type="page"/>
      </w:r>
    </w:p>
    <w:p w14:paraId="6C32E9C3">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307A4F8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08AA676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57FF9D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5C6C2E26">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75F5A64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64FC6BF1">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C9B095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72CBB8B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360DFC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14:paraId="50F247F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2DCB3B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3B75F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C58EEE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8B0F5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48DA4E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C7685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39D78D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FBA9F8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0DF0B3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0DD22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2B6A91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9A128A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EF4834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0510BB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B0D005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81430C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8A7CFE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7090E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DABA5D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B08559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84E49C6">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-1270</wp:posOffset>
            </wp:positionH>
            <wp:positionV relativeFrom="paragraph">
              <wp:posOffset>104775</wp:posOffset>
            </wp:positionV>
            <wp:extent cx="5479415" cy="4791710"/>
            <wp:effectExtent l="0" t="0" r="6985"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479415" cy="4791710"/>
                    </a:xfrm>
                    <a:prstGeom prst="rect">
                      <a:avLst/>
                    </a:prstGeom>
                    <a:noFill/>
                    <a:ln>
                      <a:noFill/>
                    </a:ln>
                  </pic:spPr>
                </pic:pic>
              </a:graphicData>
            </a:graphic>
          </wp:anchor>
        </w:drawing>
      </w:r>
    </w:p>
    <w:p w14:paraId="2BDD36F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79E99C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F523FE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4522CE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20DDF7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724056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2F42AD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2BA1A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70E80C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043B9B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378DF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58C33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8ED13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FC6C5B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6E5EF26">
      <w:pPr>
        <w:widowControl/>
        <w:spacing w:before="0" w:beforeLines="0" w:beforeAutospacing="0" w:after="0" w:afterLines="0" w:afterAutospacing="0" w:line="240" w:lineRule="auto"/>
        <w:jc w:val="left"/>
        <w:outlineLvl w:val="1"/>
        <w:rPr>
          <w:rFonts w:ascii="仿宋_GB2312" w:eastAsia="仿宋_GB2312"/>
          <w:b w:val="0"/>
          <w:sz w:val="32"/>
          <w:szCs w:val="32"/>
        </w:rPr>
      </w:pPr>
    </w:p>
    <w:p w14:paraId="1A1DC8E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2C7C99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1465F6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BD9A8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70F0F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D05AF0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DDCD17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2DB85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EFD0F3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92F683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59EA12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2B78A5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603379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32E1C7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A23D5E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5A60A39">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-13335</wp:posOffset>
            </wp:positionH>
            <wp:positionV relativeFrom="paragraph">
              <wp:posOffset>26670</wp:posOffset>
            </wp:positionV>
            <wp:extent cx="5480050" cy="2974340"/>
            <wp:effectExtent l="0" t="0" r="6350" b="1651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480050" cy="2974340"/>
                    </a:xfrm>
                    <a:prstGeom prst="rect">
                      <a:avLst/>
                    </a:prstGeom>
                    <a:noFill/>
                    <a:ln>
                      <a:noFill/>
                    </a:ln>
                  </pic:spPr>
                </pic:pic>
              </a:graphicData>
            </a:graphic>
          </wp:anchor>
        </w:drawing>
      </w:r>
    </w:p>
    <w:p w14:paraId="5444739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B6493C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52412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5C2CB0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53F850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5EDE70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3AD096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534D7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FC34B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FB237F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A5EC8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75EEB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373DA4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41AC66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EC956C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E29719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A7838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E765EB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9C5C4E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DCAB6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B78CB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4395F8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1F9D1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6ABC18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B31A85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368C82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DB4A0F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BDAAC4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84E3A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FC8EA9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C085C46">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10795</wp:posOffset>
            </wp:positionH>
            <wp:positionV relativeFrom="paragraph">
              <wp:posOffset>85725</wp:posOffset>
            </wp:positionV>
            <wp:extent cx="5477510" cy="3628390"/>
            <wp:effectExtent l="0" t="0" r="8890" b="1016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477510" cy="3628390"/>
                    </a:xfrm>
                    <a:prstGeom prst="rect">
                      <a:avLst/>
                    </a:prstGeom>
                    <a:noFill/>
                    <a:ln>
                      <a:noFill/>
                    </a:ln>
                  </pic:spPr>
                </pic:pic>
              </a:graphicData>
            </a:graphic>
          </wp:anchor>
        </w:drawing>
      </w:r>
    </w:p>
    <w:p w14:paraId="7728EAA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DC90ED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6286C5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289DDB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526070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60181B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0E413D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B1D9CA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04E3C9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37415D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30F25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07F02A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51C1A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944E29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88EBA1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5446E9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11BE65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D3E17D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EEA63A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16D47D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6B89BB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087AF7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51DC1E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2225F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4CCBBF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94BFF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C57FF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0CF03B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3C1AA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9490C9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86D5FA5">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10795</wp:posOffset>
            </wp:positionH>
            <wp:positionV relativeFrom="paragraph">
              <wp:posOffset>31115</wp:posOffset>
            </wp:positionV>
            <wp:extent cx="5485130" cy="3762375"/>
            <wp:effectExtent l="0" t="0" r="1270" b="952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485130" cy="3762375"/>
                    </a:xfrm>
                    <a:prstGeom prst="rect">
                      <a:avLst/>
                    </a:prstGeom>
                    <a:noFill/>
                    <a:ln>
                      <a:noFill/>
                    </a:ln>
                  </pic:spPr>
                </pic:pic>
              </a:graphicData>
            </a:graphic>
          </wp:anchor>
        </w:drawing>
      </w:r>
    </w:p>
    <w:p w14:paraId="1B50A24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92B233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1EF2AD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2F2D85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6B9A67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77F08B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81B397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9C7982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648B92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D1B69B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F88F76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C711ED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D597B5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610BA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DD2AF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88673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ED21ED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42B133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8B3DD7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9D7CB2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195EF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172040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42D34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C97A61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7E517C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E398E6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B22486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F861B6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B7D7F0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68D3A3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65B466">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59690</wp:posOffset>
            </wp:positionH>
            <wp:positionV relativeFrom="paragraph">
              <wp:posOffset>67945</wp:posOffset>
            </wp:positionV>
            <wp:extent cx="5482590" cy="5160010"/>
            <wp:effectExtent l="0" t="0" r="3810" b="254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5482590" cy="5160010"/>
                    </a:xfrm>
                    <a:prstGeom prst="rect">
                      <a:avLst/>
                    </a:prstGeom>
                    <a:noFill/>
                    <a:ln>
                      <a:noFill/>
                    </a:ln>
                  </pic:spPr>
                </pic:pic>
              </a:graphicData>
            </a:graphic>
          </wp:anchor>
        </w:drawing>
      </w:r>
    </w:p>
    <w:p w14:paraId="560B791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A75982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22FC8B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B152E8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B56CB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D606B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DC4038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CC83CE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9DA20A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5A6AA5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B642FB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3BE2D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F1428F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E4F565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AF4FF8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4D142D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80F968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252228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F66E3E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DEF15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93F0D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7CAD2D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ADA6A3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5CBFC0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3CE8FE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0EDF02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56F747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FF8F0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76FE9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189A6B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04A0B9">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22860</wp:posOffset>
            </wp:positionH>
            <wp:positionV relativeFrom="paragraph">
              <wp:posOffset>36830</wp:posOffset>
            </wp:positionV>
            <wp:extent cx="5483225" cy="4728210"/>
            <wp:effectExtent l="0" t="0" r="3175" b="1524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1"/>
                    <a:stretch>
                      <a:fillRect/>
                    </a:stretch>
                  </pic:blipFill>
                  <pic:spPr>
                    <a:xfrm>
                      <a:off x="0" y="0"/>
                      <a:ext cx="5483225" cy="4728210"/>
                    </a:xfrm>
                    <a:prstGeom prst="rect">
                      <a:avLst/>
                    </a:prstGeom>
                    <a:noFill/>
                    <a:ln>
                      <a:noFill/>
                    </a:ln>
                  </pic:spPr>
                </pic:pic>
              </a:graphicData>
            </a:graphic>
          </wp:anchor>
        </w:drawing>
      </w:r>
    </w:p>
    <w:p w14:paraId="2F579D1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9DB5C5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9C3A44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13367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FD7857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5BE5C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01C975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B2E02E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82D632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0AD7EC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B29A48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A01AEB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9C3CC1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68202D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81C8FA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2CAA97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249182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8F72D5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FF1DD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16D10A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44BDF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32577A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DEC2F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63164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01C4BB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70C833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819080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4E83A8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DDFAA5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3F33E57">
      <w:pPr>
        <w:widowControl/>
        <w:spacing w:before="0" w:beforeLines="0" w:beforeAutospacing="0" w:after="0" w:afterLines="0" w:afterAutospacing="0" w:line="240" w:lineRule="auto"/>
        <w:ind w:firstLine="640" w:firstLineChars="200"/>
        <w:jc w:val="left"/>
        <w:outlineLvl w:val="1"/>
        <w:rPr>
          <w:rFonts w:hint="eastAsia" w:ascii="仿宋_GB2312" w:eastAsia="仿宋_GB2312"/>
          <w:b w:val="0"/>
          <w:sz w:val="32"/>
          <w:szCs w:val="32"/>
        </w:rPr>
      </w:pPr>
    </w:p>
    <w:p w14:paraId="020EB1F4">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24130</wp:posOffset>
            </wp:positionH>
            <wp:positionV relativeFrom="paragraph">
              <wp:posOffset>68580</wp:posOffset>
            </wp:positionV>
            <wp:extent cx="5483860" cy="2093595"/>
            <wp:effectExtent l="0" t="0" r="2540" b="1905"/>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5483860" cy="2093595"/>
                    </a:xfrm>
                    <a:prstGeom prst="rect">
                      <a:avLst/>
                    </a:prstGeom>
                    <a:noFill/>
                    <a:ln>
                      <a:noFill/>
                    </a:ln>
                  </pic:spPr>
                </pic:pic>
              </a:graphicData>
            </a:graphic>
          </wp:anchor>
        </w:drawing>
      </w:r>
    </w:p>
    <w:p w14:paraId="197BB7FF">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p>
    <w:p w14:paraId="6936A8A4">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p>
    <w:p w14:paraId="73AAA35F">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p>
    <w:p w14:paraId="0E6C3463">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p>
    <w:p w14:paraId="5FF3D972">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p>
    <w:p w14:paraId="21AB8DB2">
      <w:pPr>
        <w:widowControl/>
        <w:spacing w:before="0" w:beforeLines="0" w:beforeAutospacing="0" w:after="0" w:afterLines="0" w:afterAutospacing="0" w:line="240" w:lineRule="auto"/>
        <w:jc w:val="left"/>
        <w:outlineLvl w:val="1"/>
        <w:rPr>
          <w:rFonts w:hint="eastAsia" w:ascii="仿宋_GB2312" w:eastAsia="仿宋_GB2312"/>
          <w:b w:val="0"/>
          <w:sz w:val="32"/>
          <w:szCs w:val="32"/>
        </w:rPr>
      </w:pPr>
    </w:p>
    <w:p w14:paraId="36AFCC9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0592C4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AC8DC1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B17F85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90A33C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B6A430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C3927A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60DC8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02E15E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5D9AFA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8FC93B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2D8309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B9826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6C0B35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AB3D83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5F5D23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77D654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C282A1B">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2E5924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F19657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38E23F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5B93ED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5FEBB8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8BB69C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1BAE74F">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-1270</wp:posOffset>
            </wp:positionH>
            <wp:positionV relativeFrom="paragraph">
              <wp:posOffset>19685</wp:posOffset>
            </wp:positionV>
            <wp:extent cx="5482590" cy="2369820"/>
            <wp:effectExtent l="0" t="0" r="3810" b="1143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stretch>
                      <a:fillRect/>
                    </a:stretch>
                  </pic:blipFill>
                  <pic:spPr>
                    <a:xfrm>
                      <a:off x="0" y="0"/>
                      <a:ext cx="5482590" cy="2369820"/>
                    </a:xfrm>
                    <a:prstGeom prst="rect">
                      <a:avLst/>
                    </a:prstGeom>
                    <a:noFill/>
                    <a:ln>
                      <a:noFill/>
                    </a:ln>
                  </pic:spPr>
                </pic:pic>
              </a:graphicData>
            </a:graphic>
          </wp:anchor>
        </w:drawing>
      </w:r>
    </w:p>
    <w:p w14:paraId="30DCBE8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3E1177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B57454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D88FA4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9017B17">
      <w:pPr>
        <w:widowControl/>
        <w:spacing w:before="0" w:beforeLines="0" w:beforeAutospacing="0" w:after="0" w:afterLines="0" w:afterAutospacing="0" w:line="240" w:lineRule="auto"/>
        <w:jc w:val="left"/>
        <w:outlineLvl w:val="1"/>
        <w:rPr>
          <w:rFonts w:ascii="仿宋_GB2312" w:eastAsia="仿宋_GB2312"/>
          <w:b w:val="0"/>
          <w:sz w:val="32"/>
          <w:szCs w:val="32"/>
        </w:rPr>
      </w:pPr>
    </w:p>
    <w:p w14:paraId="21E2899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D9AAF0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388C88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BCFB11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141774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45F212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814C3A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AE1D11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263DBC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06A5D9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6B5253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CF5D70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A6A777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851983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F1B878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125029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CDDBD4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CD8999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01FAA0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AEA5BB3">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F17466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667F7E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6608BB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A916E9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41D928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5C65973">
      <w:pPr>
        <w:widowControl/>
        <w:spacing w:before="0" w:beforeLines="0" w:beforeAutospacing="0" w:after="0" w:afterLines="0" w:afterAutospacing="0" w:line="240" w:lineRule="auto"/>
        <w:ind w:firstLine="440" w:firstLineChars="200"/>
        <w:jc w:val="left"/>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22860</wp:posOffset>
            </wp:positionH>
            <wp:positionV relativeFrom="paragraph">
              <wp:posOffset>86995</wp:posOffset>
            </wp:positionV>
            <wp:extent cx="5476240" cy="1042670"/>
            <wp:effectExtent l="0" t="0" r="10160" b="508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476240" cy="1042670"/>
                    </a:xfrm>
                    <a:prstGeom prst="rect">
                      <a:avLst/>
                    </a:prstGeom>
                    <a:noFill/>
                    <a:ln>
                      <a:noFill/>
                    </a:ln>
                  </pic:spPr>
                </pic:pic>
              </a:graphicData>
            </a:graphic>
          </wp:anchor>
        </w:drawing>
      </w:r>
    </w:p>
    <w:p w14:paraId="54A3ACA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FD1158C">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DD7048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073F547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348C572">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6FC20C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91D5D3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FC4A308">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bookmarkStart w:id="0" w:name="_GoBack"/>
      <w:bookmarkEnd w:id="0"/>
    </w:p>
    <w:p w14:paraId="353D21E7">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410023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7CBEEB4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15645C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0B2EBC1">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291C7844">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7FBA81E">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FF05689">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42A10985">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B277D6A">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77C7FDD">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6137EEBF">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52F4C9D6">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37624E60">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14:paraId="1D5CA130">
      <w:pPr>
        <w:widowControl/>
        <w:spacing w:before="0" w:beforeLines="0" w:beforeAutospacing="0" w:after="0" w:afterLines="0" w:afterAutospacing="0" w:line="240" w:lineRule="auto"/>
        <w:jc w:val="left"/>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1E506F"/>
    <w:rsid w:val="0E1C19CD"/>
    <w:rsid w:val="0FC95E75"/>
    <w:rsid w:val="10CA3499"/>
    <w:rsid w:val="156D1A23"/>
    <w:rsid w:val="1B4432C9"/>
    <w:rsid w:val="1FA67FFA"/>
    <w:rsid w:val="21AB1710"/>
    <w:rsid w:val="22746E93"/>
    <w:rsid w:val="254B1C1F"/>
    <w:rsid w:val="2A6D7F28"/>
    <w:rsid w:val="2D064DCF"/>
    <w:rsid w:val="2D1F7586"/>
    <w:rsid w:val="31FD4E11"/>
    <w:rsid w:val="32FC4D34"/>
    <w:rsid w:val="33BB606C"/>
    <w:rsid w:val="39FF01F9"/>
    <w:rsid w:val="3A430524"/>
    <w:rsid w:val="3E0B08DA"/>
    <w:rsid w:val="3F8C1637"/>
    <w:rsid w:val="43CD51C7"/>
    <w:rsid w:val="493D00FA"/>
    <w:rsid w:val="4ECB68D5"/>
    <w:rsid w:val="4FE72524"/>
    <w:rsid w:val="54967355"/>
    <w:rsid w:val="562D06F0"/>
    <w:rsid w:val="5649479D"/>
    <w:rsid w:val="5AF815CD"/>
    <w:rsid w:val="5EF50B59"/>
    <w:rsid w:val="672C3C51"/>
    <w:rsid w:val="72AD20B4"/>
    <w:rsid w:val="75084492"/>
    <w:rsid w:val="762C5E45"/>
    <w:rsid w:val="788F6E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23</Pages>
  <TotalTime>5</TotalTime>
  <ScaleCrop>false</ScaleCrop>
  <LinksUpToDate>false</LinksUpToDate>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2025-08-14T09:30:00Z</dcterms:created>
  <dc:creator>Administrator</dc:creator>
  <cp:lastModifiedBy>Administrator</cp:lastModifiedBy>
  <dcterms:modified xsi:type="dcterms:W3CDTF">2025-08-19T12:22:11Z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84ABC210A6DA4CE2B6486772C9336187_13</vt:lpwstr>
  </property>
</Properties>
</file>