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库尔勒市信访局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贯彻落实人民政府和上级部门关于信访和群众工作的决策部署，定期分析信访形势，通报信访工作情况，提出改进工作意见，督促检查全市信访和群众工作。代表人民政府受理人民来信来电，接待群众来访，交办和转送信访人提出的信访事项。承办人民政府领导同志和上级机关交办的信访事项，督促检查领导批示件的落实情况；督促检查重要信访事项的处理和落实；审结上报重要信访案件。协调处理群众进京、赴非正常上访和突发信访事件；直接查处重大疑难信访案件。宣传信访工作和群众工作政策，对来访群众进行思想教育和疏导；为来访群众提供有关法律、法规和政策咨询服务。征集群众意见，反映社情民意，及时向人民政府报告信访情况，并对涉及群众利益的政策性问题提出意见和建议。监督检查涉及群众利益政策的贯彻落实情况；对涉及群众利益的改革性政策和重大项目进行风险评估，维护群众利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库尔勒市信访局包括本级机关及1个直属事业单位（库尔勒市信访接待服务中心），机关内设2个科室（办公室、业务科）。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库尔勒市信访局编制数17，实有人数17人，其中：在职15人，增加0人；退休2人，增加1人；离休0人，增加0人。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目标1：保障信访局在职人员15人的正常工资、社保、办公、生活秩序；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目标2：健全及时就地解决问题机制，落实领导责任制度、联席会议制度、接访下访制度、首办责任制、领导包案制度。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目标3：把信访纳入法治化轨道，依法分类处理信访诉求，推行律师参与信访接待，依法维护信访秩序。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目标4：推动基础业务规范化，增强程序意识、权限意识、时限意识、责任意识。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目标5：加强信访干部队伍建设。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目标6：着力开展信访宣传和舆论引导。工作有序开展，为我市和谐稳定做好基础铺垫工作。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一是进一步深入学习贯彻党的二十大</w:t>
      </w:r>
      <w:bookmarkStart w:id="1" w:name="_GoBack"/>
      <w:bookmarkEnd w:id="1"/>
      <w:r>
        <w:rPr>
          <w:rFonts w:hint="eastAsia" w:ascii="仿宋_GB2312" w:hAnsi="宋体" w:eastAsia="仿宋_GB2312"/>
          <w:bCs/>
          <w:sz w:val="32"/>
          <w:szCs w:val="32"/>
        </w:rPr>
        <w:t>精神和各级党委最新部署，把学习贯彻党的二十大精神作为重大政治责任和长期政治任务，每周组织全体干部集中学习和讨论交流，切实把党的二十大的部署和要求落实到信访工作全过程各方面，二是将《信访工作条例》学习贯彻落实贯穿全年工作始终，将信访工作条例宣传培训纳入市委党校重点培训内容，常态化组织信访干事开展网上信访学习和测试，边学边练，岗位练兵，提升技能，打造一支作风过硬、能力过硬、群众信赖的信访干部队伍，三是全面排查化解信访风险隐患。持续督导属地乡镇、街道和部门行业单位，深入开展信访风险隐患排查，对排查出的问题和人员，督导责任单位和属地全部落实包案领导和化解稳控责任，整合基层资源力量多元化解矛盾纠纷，切实把问题解决在基层、人员稳控在当地，打牢化解矛盾、消除隐患的“第一道防线”。按照“三到位一处理”要求，依法依规综合施策，分类处理，确保问题化解、人员稳定。</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信访局年初预算安排318.4万元，其中财政拨款318.4万元，其他资金0万元，主要用于保障信访局在职人员15人的正常工资、社保、办公、生活秩序。年中调整9.9万元，调整后全年预算308.5万元，预算调整率3.1%，调整预算的主要原因为2024年一名在职人员转退休，其工资基数降低，所以人员经费的全年预算数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局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我局已按要求在库尔勒市人民政府门户网站公开部门预算信息，同步公开绩效目标表；在库尔勒市人民政府门户网站公开部门决算信息，同步公开自评表及自评报告。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297.99万元，包括工资福利支出255.28万元，商品和服务支出41.71万元，对个人和家庭的补助1万元，资本性支出0万元。其中：“三公”经费支出0万元，比上年增加0万元，主要原因是2024年未安排三公经费；会议费支出0万元，比上年增加0万元，主要原因是2024年未安排会议费；培训费支出0万元，比上年增加0万元，主要原因是2024年未安排培训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2024年专项项目支出10.51万元，占总支出的3.4％，主要用于临时性应急劝返经费，聘请法律顾问服务费，信访局大楼运行经费。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临时性应急劝返专项、聘请法律顾问专项、信访局大楼运行专项工作计划，对项目的工作分工、任务分配、资金落实、完成时限等提出了明确、具体的要求，以确保项目保质、保量、按时完成。截至2024年12月31日，完成专项3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为规范专项资金使用，提高专项资金使用效益，我局主要采取了制定项目实施方案的措施。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（1）制定了临时性应急劝返专项项目、聘请法律顾问项目、信访局大楼运行经费项目实施方案，确保项目实施有序。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2024年库尔勒市信访局总支出308.5万元，预算执行率100%，其中一般公共服务支出240.94万元，社会保障和就业支出33.61万元，卫生健康支出13.81万元，住房保障支出20.14万元。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2024年，库尔勒市信访局基本支出297.99万元，占总支出的96.6％，其中：一般公共服务支出支出230.43万元，社会保障和就业支出33.61万元，卫生健康支出13.81万元，住房保障支出20.14万元。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2024年，库尔勒市信访局项目支出10.51万元，占总支出的3.4％。其中：一般公共服务支出10.51万元。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年初我单位设置部门整体绩效目标中包括一级指标1个，二级指标2个，三级指标5个，指标完成情况分析如下：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信访案件及时受理率，指标值：≥90%，年中监控完成值：90%，自评完成值：100%，指标完成率111.11%，偏差11.11%，偏差原因：工作效率提高，导致完成情况较好，改进措施：参考历年的指标完成值，设定合理的、符合实际情况工作标准的指标值。指标成效分析：通过及时受理信访案件，有效畅通渠道听民意，达到用心倾听群众呼声诉求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信访事项化解率，指标值：≥90%，年中监控完成值：90%，自评完成值：95.95%，指标完成率106.61%。偏差10.66%，偏差原因：工作效率提高，导致完成情况较好，改进措施：参考历年的指标完成值，设定合理的、符合实际情况工作标准的指标值。指标成效分析：通过完成化解信访事项工作，有效化解信访矛盾，达到提升信访工作温度与活力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指标3：驻京劝返人数，指标值：&gt;=1人，年中监控完成值：1人，自评完成值：1人，指标完成率100%。指标成效分析：通过完成劝返驻京人员工作，有效维护社会秩序，达到规范信访行为、促进社会和谐的效果。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聘请法律顾问人数，指标值：&gt;=1人，年中监控完成值：1人，自评完成值：1人，指标完成率100%。指标成效分析：通过聘请法律顾问，有效降低法律风险，达到推进依法行政、加强法治工作队伍建设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（2）质量指标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联合接访大厅提供律师参与涉法信访工作咨询服务，指标值：&gt;=90%，年中监控完成值：90%，自评完成值：90%，指标完成率100%。指标成效分析：通过完成提供律师咨询工作，有效提升信访工作效率和质量，达到保障群众合法权益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（一）预算绩效指标和目标值设定不够科学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个性核心指标体系指向不明确，与资金安排不够匹配，约束性、操作性和指导性不强，导致绩效目标设定不够科学合理，影响了绩效评价质量及结果应用。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（二）预算绩效目标管理专业人员匮乏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预算单位没有绩效管理专业人员，由单位财务人员承担，财务人员忙于业务，又缺乏专业性，导致编制的绩效目标质量不高。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一）科学设定预算绩效指标和目标值</w:t>
      </w:r>
      <w:r>
        <w:rPr>
          <w:rFonts w:hint="eastAsia" w:ascii="仿宋_GB2312" w:hAnsi="宋体" w:eastAsia="仿宋_GB2312"/>
          <w:bCs/>
          <w:sz w:val="32"/>
          <w:szCs w:val="32"/>
        </w:rPr>
        <w:br w:type="textWrapping"/>
      </w:r>
      <w:r>
        <w:rPr>
          <w:rFonts w:hint="eastAsia" w:ascii="仿宋_GB2312" w:hAnsi="宋体" w:eastAsia="仿宋_GB2312"/>
          <w:bCs/>
          <w:sz w:val="32"/>
          <w:szCs w:val="32"/>
        </w:rPr>
        <w:t>为保证绩效指标设立的科学性、准确性，应加强对部门、项目等指标体系建设，科学设计部门整体支出和项目支出的绩效指标，确保指标与项目目标紧密相关，能够真实反映项目的绩效水平。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（二）加强业务培训与指导，提升业务素质</w:t>
      </w:r>
      <w:r>
        <w:rPr>
          <w:rFonts w:hint="eastAsia" w:ascii="仿宋_GB2312" w:hAnsi="宋体" w:eastAsia="仿宋_GB2312"/>
          <w:bCs/>
          <w:sz w:val="32"/>
          <w:szCs w:val="32"/>
        </w:rPr>
        <w:br w:type="textWrapping"/>
      </w:r>
      <w:r>
        <w:rPr>
          <w:rFonts w:hint="eastAsia" w:ascii="仿宋_GB2312" w:hAnsi="宋体" w:eastAsia="仿宋_GB2312"/>
          <w:bCs/>
          <w:sz w:val="32"/>
          <w:szCs w:val="32"/>
        </w:rPr>
        <w:t>通过邀请预算绩效管理专家通过多种形式开展不同层次的业务培训，进一步提高绩效目标编报质量，提升预算单位分管领导和业务人员工作能力和业务水平，确保编制的绩效目标质量。</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1CE33F0"/>
    <w:rsid w:val="020B07BA"/>
    <w:rsid w:val="02656D15"/>
    <w:rsid w:val="06696209"/>
    <w:rsid w:val="0D1922F1"/>
    <w:rsid w:val="10DF6E84"/>
    <w:rsid w:val="1438599A"/>
    <w:rsid w:val="200F4073"/>
    <w:rsid w:val="24B86128"/>
    <w:rsid w:val="51C70EA9"/>
    <w:rsid w:val="54F42FB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2025-09-02T02:35:51Z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4226C07CEA8249DDA67D62AE4DBC09BF_13</vt:lpwstr>
  </property>
</Properties>
</file>