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pStyle w:val="2"/>
        <w:rPr>
          <w:rFonts w:ascii="宋体" w:eastAsia="宋体"/>
          <w:sz w:val="32"/>
          <w:szCs w:val="32"/>
        </w:rPr>
      </w:pPr>
    </w:p>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库尔勒市供销合作社联合社</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snapToGrid w:val="0"/>
        <w:spacing w:line="520" w:lineRule="exact"/>
        <w:ind w:left="0" w:leftChars="0" w:firstLine="640" w:firstLineChars="200"/>
        <w:rPr>
          <w:rFonts w:ascii="仿宋_GB2312" w:hAnsi="仿宋" w:eastAsia="仿宋_GB2312"/>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1</w:t>
      </w:r>
      <w:r>
        <w:rPr>
          <w:rFonts w:hint="eastAsia" w:ascii="仿宋_GB2312" w:hAnsi="仿宋" w:eastAsia="仿宋_GB2312"/>
          <w:sz w:val="32"/>
          <w:szCs w:val="32"/>
          <w:lang w:eastAsia="zh-CN"/>
        </w:rPr>
        <w:t>）</w:t>
      </w:r>
      <w:r>
        <w:rPr>
          <w:rFonts w:hint="eastAsia" w:ascii="仿宋_GB2312" w:hAnsi="仿宋" w:eastAsia="仿宋_GB2312"/>
          <w:sz w:val="32"/>
          <w:szCs w:val="32"/>
        </w:rPr>
        <w:t>为“三农”服务，研究制定全市供销社的发展规划。</w:t>
      </w:r>
    </w:p>
    <w:p>
      <w:pPr>
        <w:snapToGrid w:val="0"/>
        <w:spacing w:line="520" w:lineRule="exact"/>
        <w:ind w:left="0" w:leftChars="0" w:firstLine="640" w:firstLineChars="200"/>
        <w:rPr>
          <w:rFonts w:ascii="仿宋_GB2312" w:hAnsi="仿宋" w:eastAsia="仿宋_GB2312"/>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2</w:t>
      </w:r>
      <w:r>
        <w:rPr>
          <w:rFonts w:hint="eastAsia" w:ascii="仿宋_GB2312" w:hAnsi="仿宋" w:eastAsia="仿宋_GB2312"/>
          <w:sz w:val="32"/>
          <w:szCs w:val="32"/>
          <w:lang w:eastAsia="zh-CN"/>
        </w:rPr>
        <w:t>）</w:t>
      </w:r>
      <w:r>
        <w:rPr>
          <w:rFonts w:hint="eastAsia" w:ascii="仿宋_GB2312" w:hAnsi="仿宋" w:eastAsia="仿宋_GB2312"/>
          <w:sz w:val="32"/>
          <w:szCs w:val="32"/>
        </w:rPr>
        <w:t>指导全市供销社的改革与发展，负责对重要农业生产资料、农副产品、再生资源经营的组织，协调和管理。</w:t>
      </w:r>
    </w:p>
    <w:p>
      <w:pPr>
        <w:snapToGrid w:val="0"/>
        <w:spacing w:line="520" w:lineRule="exact"/>
        <w:ind w:left="0" w:leftChars="0" w:firstLine="640" w:firstLineChars="200"/>
        <w:rPr>
          <w:rFonts w:ascii="仿宋_GB2312" w:hAnsi="仿宋" w:eastAsia="仿宋_GB2312"/>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3</w:t>
      </w:r>
      <w:r>
        <w:rPr>
          <w:rFonts w:hint="eastAsia" w:ascii="仿宋_GB2312" w:hAnsi="仿宋" w:eastAsia="仿宋_GB2312"/>
          <w:sz w:val="32"/>
          <w:szCs w:val="32"/>
          <w:lang w:eastAsia="zh-CN"/>
        </w:rPr>
        <w:t>）</w:t>
      </w:r>
      <w:r>
        <w:rPr>
          <w:rFonts w:hint="eastAsia" w:ascii="仿宋_GB2312" w:hAnsi="仿宋" w:eastAsia="仿宋_GB2312"/>
          <w:sz w:val="32"/>
          <w:szCs w:val="32"/>
        </w:rPr>
        <w:t>指导全市供销社系统积极参与农业产业化，搞好农业社会化服务体系和农村商品流通体系建设。</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4</w:t>
      </w:r>
      <w:r>
        <w:rPr>
          <w:rFonts w:hint="eastAsia" w:ascii="仿宋_GB2312" w:hAnsi="仿宋" w:eastAsia="仿宋_GB2312"/>
          <w:sz w:val="32"/>
          <w:szCs w:val="32"/>
          <w:lang w:eastAsia="zh-CN"/>
        </w:rPr>
        <w:t>）</w:t>
      </w:r>
      <w:r>
        <w:rPr>
          <w:rFonts w:hint="eastAsia" w:ascii="仿宋_GB2312" w:hAnsi="仿宋" w:eastAsia="仿宋_GB2312"/>
          <w:sz w:val="32"/>
          <w:szCs w:val="32"/>
        </w:rPr>
        <w:t>引导，组织农民进入市场，活跃城乡商品流通，促进城乡经济发展。</w:t>
      </w:r>
    </w:p>
    <w:p>
      <w:pPr>
        <w:spacing w:line="560" w:lineRule="exact"/>
        <w:ind w:firstLine="640" w:firstLineChars="200"/>
        <w:rPr>
          <w:rFonts w:ascii="仿宋_GB2312" w:eastAsia="仿宋_GB2312"/>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5</w:t>
      </w:r>
      <w:r>
        <w:rPr>
          <w:rFonts w:hint="eastAsia" w:ascii="仿宋_GB2312" w:hAnsi="仿宋" w:eastAsia="仿宋_GB2312"/>
          <w:sz w:val="32"/>
          <w:szCs w:val="32"/>
          <w:lang w:eastAsia="zh-CN"/>
        </w:rPr>
        <w:t>）</w:t>
      </w:r>
      <w:r>
        <w:rPr>
          <w:rFonts w:hint="eastAsia" w:ascii="仿宋_GB2312" w:hAnsi="仿宋" w:eastAsia="仿宋_GB2312"/>
          <w:sz w:val="32"/>
          <w:szCs w:val="32"/>
        </w:rPr>
        <w:t>向政府和有关部门反映农民和供销社的意见和要求，协调同有关部门和社会组织的关系；监督管理社有资产，确保社有资产保值增值。</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库尔勒市供销合作社联合社2024年度，实有人数18人，其中：在职人员10人，增加1人；离休人员0人，较上年无变化；退休人员8人，增加3人。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ascii="仿宋_GB2312" w:eastAsia="仿宋_GB2312"/>
          <w:b w:val="0"/>
          <w:sz w:val="32"/>
          <w:szCs w:val="32"/>
        </w:rPr>
        <w:t>库尔勒市供销合作社联合社无下属预算单位，下设</w:t>
      </w:r>
      <w:r>
        <w:rPr>
          <w:rFonts w:hint="eastAsia" w:ascii="仿宋_GB2312" w:eastAsia="仿宋_GB2312"/>
          <w:color w:val="auto"/>
          <w:sz w:val="32"/>
          <w:szCs w:val="32"/>
          <w:highlight w:val="none"/>
          <w:lang w:eastAsia="zh-CN"/>
        </w:rPr>
        <w:t>三个</w:t>
      </w:r>
      <w:r>
        <w:rPr>
          <w:rFonts w:hint="eastAsia" w:ascii="仿宋_GB2312" w:hAnsi="黑体" w:eastAsia="仿宋_GB2312" w:cs="宋体"/>
          <w:bCs/>
          <w:color w:val="auto"/>
          <w:kern w:val="0"/>
          <w:sz w:val="32"/>
          <w:szCs w:val="32"/>
          <w:highlight w:val="none"/>
        </w:rPr>
        <w:t>处室</w:t>
      </w:r>
      <w:r>
        <w:rPr>
          <w:rFonts w:ascii="仿宋_GB2312" w:eastAsia="仿宋_GB2312"/>
          <w:b w:val="0"/>
          <w:sz w:val="32"/>
          <w:szCs w:val="32"/>
        </w:rPr>
        <w:t>，分别是：</w:t>
      </w:r>
      <w:r>
        <w:rPr>
          <w:rFonts w:hint="eastAsia" w:ascii="仿宋_GB2312" w:hAnsi="宋体" w:eastAsia="仿宋_GB2312" w:cs="宋体"/>
          <w:color w:val="auto"/>
          <w:kern w:val="0"/>
          <w:sz w:val="32"/>
          <w:szCs w:val="32"/>
          <w:highlight w:val="none"/>
          <w:lang w:eastAsia="zh-CN"/>
        </w:rPr>
        <w:t>业务室、财务室、办公室</w:t>
      </w:r>
      <w:r>
        <w:rPr>
          <w:rFonts w:hint="eastAsia" w:ascii="仿宋_GB2312" w:hAnsi="宋体" w:eastAsia="仿宋_GB2312" w:cs="宋体"/>
          <w:color w:val="auto"/>
          <w:kern w:val="0"/>
          <w:sz w:val="32"/>
          <w:szCs w:val="32"/>
          <w:highlight w:val="none"/>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w:t>
      </w:r>
    </w:p>
    <w:p>
      <w:pPr>
        <w:widowControl/>
        <w:ind w:firstLine="2240" w:firstLineChars="70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2024年度收入总计164.52万元，其中：本年收入合计164.52万元，使用非财政拨款结余（含专用结余）0.00万元，年初结转和结余0.00万元。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2024年度支出总计164.52万元，其中：本年支出合计164.52万元，结余分配0.00万元，年末结转和结余0.00万元。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209.61万元，下降56.03%，主要原因是：根据库政阅[2024]31号“库尔勒市十一届人民政府第41次常务会议纪要”，将蔬菜牛羊肉直销点整体划转至库尔勒泰农农业发展有限公司；项目预算金额200万元根据文件要求整体划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本年收入164.52万元，其中：财政拨款收入164.52万元,占100.00%；上级补助收入0.00万元,占0.00%；事业收入0.00万元，占0.00%；经营收入0.00万元,占0.00%；附属单位上缴收入0.00万元，占0.00%；其他收入0.00万元，占0.00%。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本年支出164.52万元，其中：基本支出164.52万元，占100.00%；项目支出0.00万元，占0.00%；上缴上级支出0.00万元，占0.00%；经营支出0.00万元，占0.00%；对附属单位补助支出0.00万元，占0.00%。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2024年度财政拨款收入总计164.52万元，其中：年初财政拨款结转和结余0.00万元，本年财政拨款收入164.52万元。财政拨款支出总计164.52万元，其中：年末财政拨款结转和结余0.00万元，本年财政拨款支出164.52万元。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209.61万元，下降56.03%，主要原因是：根据库政阅[2024]31号“库尔勒市十一届人民政府第41次常务会议纪要”，将蔬菜牛羊肉直销点整体划转至库尔勒泰农农业发展有限公司；项目预算金额200万元根据文件要求整体划出。。与年初预算相比，年初预算数385.77万元，决算数164.52万元，预决算差异率-57.35%，主要原因是：根据库政阅[2024]31号“库尔勒市十一届人民政府第41次常务会议纪要”，将蔬菜牛羊肉直销点整体划转至库尔勒泰农农业发展有限公司；项目预算金额200万元根据文件要求整体划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164.52万元，占本年支出合计的100.00%。与上年相比，减少209.61万元，下降56.03%，主要原因是：根据库政阅[2024]31号“库尔勒市十一届人民政府第41次常务会议纪要”，将蔬菜牛羊肉直销点整体划转至库尔勒泰农农业发展有限公司；项目预算金额200万元根据文件要求整体划出。与年初预算相比，年初预算数385.77万元，决算数164.52万元，预决算差异率-57.35%，主要原因是：根据库政阅[2024]31号“库尔勒市十一届人民政府第41次常务会议纪要”，将蔬菜牛羊肉直销点整体划转至库尔勒泰农农业发展有限公司；项目预算金额200万元根据文件要求整体划出。。</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教育支出（类）0.93万元，占0.57%。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社会保障和就业支出（类）42.50万元，占25.83%。</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卫生健康支出（类）8.15万元，占4.95%。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商业服务业等支出（类）101.20万元，占61.51%。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住房保障支出（类）11.75万元，占7.14%。</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hint="default" w:ascii="仿宋_GB2312" w:eastAsia="方正仿宋_GBK"/>
          <w:sz w:val="32"/>
          <w:szCs w:val="32"/>
          <w:lang w:val="en-US" w:eastAsia="zh-CN"/>
        </w:rPr>
      </w:pPr>
      <w:r>
        <w:rPr>
          <w:rFonts w:ascii="仿宋_GB2312" w:eastAsia="仿宋_GB2312"/>
          <w:b w:val="0"/>
          <w:sz w:val="32"/>
          <w:szCs w:val="32"/>
        </w:rPr>
        <w:t>教育支出（类）进修及培训（款）培训支出（项）：支出决算数为0.93万元，比上年决算增加0.64万元，增长220.69%，主要原因是：</w:t>
      </w:r>
      <w:r>
        <w:rPr>
          <w:rFonts w:ascii="方正仿宋_GBK" w:hAnsi="Times New Roman" w:eastAsia="方正仿宋_GBK"/>
          <w:sz w:val="31"/>
          <w:szCs w:val="31"/>
        </w:rPr>
        <w:t>提升基层社发展质效</w:t>
      </w:r>
      <w:r>
        <w:rPr>
          <w:rFonts w:hint="eastAsia" w:ascii="方正仿宋_GBK" w:hAnsi="Times New Roman" w:eastAsia="方正仿宋_GBK"/>
          <w:sz w:val="31"/>
          <w:szCs w:val="31"/>
          <w:lang w:eastAsia="zh-CN"/>
        </w:rPr>
        <w:t>、</w:t>
      </w:r>
      <w:r>
        <w:rPr>
          <w:rFonts w:hint="eastAsia" w:ascii="方正仿宋_GBK" w:hAnsi="Times New Roman" w:eastAsia="方正仿宋_GBK"/>
          <w:sz w:val="31"/>
          <w:szCs w:val="31"/>
        </w:rPr>
        <w:t>持续推进创新发展理念，积极拓展经营服务领域</w:t>
      </w:r>
      <w:r>
        <w:rPr>
          <w:rFonts w:hint="eastAsia" w:ascii="方正仿宋_GBK" w:hAnsi="Times New Roman" w:eastAsia="方正仿宋_GBK"/>
          <w:sz w:val="31"/>
          <w:szCs w:val="31"/>
          <w:lang w:eastAsia="zh-CN"/>
        </w:rPr>
        <w:t>、</w:t>
      </w:r>
      <w:r>
        <w:rPr>
          <w:rFonts w:hint="eastAsia" w:ascii="方正仿宋_GBK" w:hAnsi="Times New Roman" w:eastAsia="方正仿宋_GBK"/>
          <w:sz w:val="31"/>
          <w:szCs w:val="31"/>
          <w:lang w:val="en-US" w:eastAsia="zh-CN"/>
        </w:rPr>
        <w:t>积极组织基层社充分利用多渠道，培训费支出增加。</w:t>
      </w:r>
    </w:p>
    <w:p>
      <w:pPr>
        <w:widowControl/>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社会保障和就业支出（类）行政事业单位养老支出（款）事业单位离退休（项）：支出决算数为6.57万元，比上年决算增加3.37万元，增长105.31%，主要原因是：</w:t>
      </w:r>
      <w:r>
        <w:rPr>
          <w:rFonts w:hint="eastAsia" w:ascii="仿宋_GB2312" w:eastAsia="仿宋_GB2312"/>
          <w:b w:val="0"/>
          <w:sz w:val="32"/>
          <w:szCs w:val="32"/>
          <w:lang w:val="en-US" w:eastAsia="zh-CN"/>
        </w:rPr>
        <w:t>退休人员增加。</w:t>
      </w:r>
    </w:p>
    <w:p>
      <w:pPr>
        <w:widowControl/>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社会保障和就业支出（类）行政事业单位养老支出（款）机关事业单位基本养老保险缴费支出（项）：支出决算数为14.57万元，比上年决算减少0.25万元，下降1.69%，主要原因是：</w:t>
      </w:r>
      <w:r>
        <w:rPr>
          <w:rFonts w:hint="eastAsia" w:ascii="仿宋_GB2312" w:eastAsia="仿宋_GB2312"/>
          <w:b w:val="0"/>
          <w:sz w:val="32"/>
          <w:szCs w:val="32"/>
          <w:lang w:val="en-US" w:eastAsia="zh-CN"/>
        </w:rPr>
        <w:t>退休人员增加，截至2024年9月在职人员减少3人、</w:t>
      </w:r>
      <w:r>
        <w:rPr>
          <w:rFonts w:ascii="仿宋_GB2312" w:eastAsia="仿宋_GB2312"/>
          <w:b w:val="0"/>
          <w:sz w:val="32"/>
          <w:szCs w:val="32"/>
        </w:rPr>
        <w:t>机关事业单位基本养老保险缴费支出</w:t>
      </w:r>
      <w:r>
        <w:rPr>
          <w:rFonts w:hint="eastAsia" w:ascii="仿宋_GB2312" w:eastAsia="仿宋_GB2312"/>
          <w:b w:val="0"/>
          <w:sz w:val="32"/>
          <w:szCs w:val="32"/>
          <w:lang w:val="en-US" w:eastAsia="zh-CN"/>
        </w:rPr>
        <w:t>减少。</w:t>
      </w:r>
    </w:p>
    <w:p>
      <w:pPr>
        <w:widowControl/>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社会保障和就业支出（类）行政事业单位养老支出（款）机关事业单位职业年金缴费支出（项）：支出决算数为21.36万元，比上年决算增加21.36万元，增长100.00%，主要原因是：</w:t>
      </w:r>
      <w:r>
        <w:rPr>
          <w:rFonts w:hint="eastAsia" w:ascii="仿宋_GB2312" w:eastAsia="仿宋_GB2312"/>
          <w:b w:val="0"/>
          <w:sz w:val="32"/>
          <w:szCs w:val="32"/>
          <w:lang w:val="en-US" w:eastAsia="zh-CN"/>
        </w:rPr>
        <w:t>缴费基数增长</w:t>
      </w:r>
      <w:r>
        <w:rPr>
          <w:rFonts w:ascii="仿宋_GB2312" w:eastAsia="仿宋_GB2312"/>
          <w:b w:val="0"/>
          <w:sz w:val="32"/>
          <w:szCs w:val="32"/>
        </w:rPr>
        <w:t>机关事业单位职业年金缴费支出</w:t>
      </w:r>
      <w:r>
        <w:rPr>
          <w:rFonts w:hint="eastAsia" w:ascii="仿宋_GB2312" w:eastAsia="仿宋_GB2312"/>
          <w:b w:val="0"/>
          <w:sz w:val="32"/>
          <w:szCs w:val="32"/>
          <w:lang w:eastAsia="zh-CN"/>
        </w:rPr>
        <w:t>增长</w:t>
      </w:r>
      <w:r>
        <w:rPr>
          <w:rFonts w:hint="eastAsia" w:ascii="仿宋_GB2312" w:eastAsia="仿宋_GB2312"/>
          <w:b w:val="0"/>
          <w:sz w:val="32"/>
          <w:szCs w:val="32"/>
          <w:lang w:val="en-US" w:eastAsia="zh-CN"/>
        </w:rPr>
        <w:t>。</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卫生健康支出（类）行政事业单位医疗（款）事业单位医疗（项）：支出决算数为8.15万元，比上年决算减少5.44万元，下降40.03%，主要原因是：</w:t>
      </w:r>
      <w:r>
        <w:rPr>
          <w:rFonts w:hint="eastAsia" w:ascii="仿宋_GB2312" w:eastAsia="仿宋_GB2312"/>
          <w:b w:val="0"/>
          <w:sz w:val="32"/>
          <w:szCs w:val="32"/>
          <w:lang w:val="en-US" w:eastAsia="zh-CN"/>
        </w:rPr>
        <w:t>退休人员增加，截至2024年9月在职人员减少3人，</w:t>
      </w:r>
      <w:r>
        <w:rPr>
          <w:rFonts w:ascii="仿宋_GB2312" w:eastAsia="仿宋_GB2312"/>
          <w:b w:val="0"/>
          <w:sz w:val="32"/>
          <w:szCs w:val="32"/>
        </w:rPr>
        <w:t>行政事业单位医疗支出</w:t>
      </w:r>
      <w:r>
        <w:rPr>
          <w:rFonts w:hint="eastAsia" w:ascii="仿宋_GB2312" w:eastAsia="仿宋_GB2312"/>
          <w:b w:val="0"/>
          <w:sz w:val="32"/>
          <w:szCs w:val="32"/>
          <w:lang w:val="en-US" w:eastAsia="zh-CN"/>
        </w:rPr>
        <w:t>减少</w:t>
      </w:r>
    </w:p>
    <w:p>
      <w:pPr>
        <w:widowControl/>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商业服务业等支出（类）商业流通事务（款）事业运行（项）：支出决算数为101.20万元，比上年决算减少29.47万元，下降22.55%，主要原因是：</w:t>
      </w:r>
      <w:r>
        <w:rPr>
          <w:rFonts w:hint="eastAsia" w:ascii="仿宋_GB2312" w:eastAsia="仿宋_GB2312"/>
          <w:b w:val="0"/>
          <w:sz w:val="32"/>
          <w:szCs w:val="32"/>
          <w:lang w:val="en-US" w:eastAsia="zh-CN"/>
        </w:rPr>
        <w:t>公务车运行费减少。</w:t>
      </w:r>
    </w:p>
    <w:p>
      <w:pPr>
        <w:widowControl/>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住房保障支出（类）住房改革支出（款）住房公积金（项）：支出决算数为11.75万元，比上年决算增加0.19万元，增长1.64%，主要原因是：</w:t>
      </w:r>
      <w:r>
        <w:rPr>
          <w:rFonts w:hint="eastAsia" w:eastAsia="仿宋_GB2312" w:cs="Times New Roman"/>
          <w:color w:val="auto"/>
          <w:kern w:val="2"/>
          <w:sz w:val="32"/>
          <w:szCs w:val="32"/>
          <w:highlight w:val="none"/>
          <w:lang w:val="en-US" w:eastAsia="zh-CN" w:bidi="ar-SA"/>
        </w:rPr>
        <w:t>2024年住房公积金缴费基数</w:t>
      </w:r>
      <w:r>
        <w:rPr>
          <w:rFonts w:hint="eastAsia" w:ascii="仿宋_GB2312" w:eastAsia="仿宋_GB2312"/>
          <w:b w:val="0"/>
          <w:sz w:val="32"/>
          <w:szCs w:val="32"/>
          <w:lang w:val="en-US" w:eastAsia="zh-CN"/>
        </w:rPr>
        <w:t>增长。</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粮油物资储备支出（类）重要商品储备（款）肉类储备（项）：支出决算数为0.00万元，比上年决算减少200.00万元，下降100.00%，主要原因是：根据库政阅[2024]31号“库尔勒市十一届人民政府第41次常务会议纪要”，将蔬菜牛羊肉直销点整体划转至库尔勒泰农农业发展有限公司；项目预算金额200万元根据文件要求整体划出。</w:t>
      </w:r>
    </w:p>
    <w:p>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164.52万元，其中：人员经费158.59万元，包括：基本工资、津贴补贴、奖金、机关事业单位基本养老保险缴费、职业年金缴费、职工基本医疗保险缴费、其他社会保障缴费、住房公积金和退休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公用经费5.93万元，包括：办公费、邮电费、培训费、工会经费、福利费和公务用车运行维护费。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2024年度财政拨款“三公”经费支出0.60万元，比上年减少1.80万元，下降75.00%，主要原因是：</w:t>
      </w:r>
      <w:r>
        <w:rPr>
          <w:rFonts w:hint="eastAsia" w:ascii="仿宋_GB2312" w:eastAsia="仿宋_GB2312"/>
          <w:b w:val="0"/>
          <w:sz w:val="32"/>
          <w:szCs w:val="32"/>
          <w:lang w:val="en-US" w:eastAsia="zh-CN"/>
        </w:rPr>
        <w:t>公务车运行费减少1.8万元</w:t>
      </w:r>
      <w:r>
        <w:rPr>
          <w:rFonts w:ascii="仿宋_GB2312" w:eastAsia="仿宋_GB2312"/>
          <w:b w:val="0"/>
          <w:sz w:val="32"/>
          <w:szCs w:val="32"/>
        </w:rPr>
        <w:t>。其中：因公出国（境）费支出0.00万元,占0.00%，与上年相比无变化，主要原因是：</w:t>
      </w:r>
      <w:r>
        <w:rPr>
          <w:rFonts w:hint="eastAsia" w:ascii="仿宋_GB2312" w:eastAsia="仿宋_GB2312"/>
          <w:b w:val="0"/>
          <w:sz w:val="32"/>
          <w:szCs w:val="32"/>
          <w:lang w:val="en-US" w:eastAsia="zh-CN"/>
        </w:rPr>
        <w:t>2024年无</w:t>
      </w:r>
      <w:r>
        <w:rPr>
          <w:rFonts w:ascii="仿宋_GB2312" w:eastAsia="仿宋_GB2312"/>
          <w:b w:val="0"/>
          <w:sz w:val="32"/>
          <w:szCs w:val="32"/>
        </w:rPr>
        <w:t>因公出国（境）；公务用车购置及运行维护费支出0.60万元，占100.00%，比上年减少1.80万元，下降75.00%，主要原因是：</w:t>
      </w:r>
      <w:r>
        <w:rPr>
          <w:rFonts w:hint="eastAsia" w:ascii="仿宋_GB2312" w:eastAsia="仿宋_GB2312"/>
          <w:b w:val="0"/>
          <w:sz w:val="32"/>
          <w:szCs w:val="32"/>
          <w:lang w:val="en-US" w:eastAsia="zh-CN"/>
        </w:rPr>
        <w:t>厉行节约，年初预算安排减少1.8万元</w:t>
      </w:r>
      <w:r>
        <w:rPr>
          <w:rFonts w:ascii="仿宋_GB2312" w:eastAsia="仿宋_GB2312"/>
          <w:b w:val="0"/>
          <w:sz w:val="32"/>
          <w:szCs w:val="32"/>
        </w:rPr>
        <w:t>；公务接待费支出0.00万元，占0.00%，与上年相比无变化，主要原因是：</w:t>
      </w:r>
      <w:r>
        <w:rPr>
          <w:rFonts w:hint="eastAsia" w:ascii="仿宋_GB2312" w:eastAsia="仿宋_GB2312"/>
          <w:b w:val="0"/>
          <w:sz w:val="32"/>
          <w:szCs w:val="32"/>
          <w:lang w:val="en-US" w:eastAsia="zh-CN"/>
        </w:rPr>
        <w:t>2024年无</w:t>
      </w:r>
      <w:r>
        <w:rPr>
          <w:rFonts w:ascii="仿宋_GB2312" w:eastAsia="仿宋_GB2312"/>
          <w:b w:val="0"/>
          <w:sz w:val="32"/>
          <w:szCs w:val="32"/>
        </w:rPr>
        <w:t>公务接待费支出。</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ind w:firstLine="640" w:firstLineChars="200"/>
        <w:rPr>
          <w:rFonts w:hint="eastAsia" w:ascii="方正仿宋_GBK" w:hAnsi="方正仿宋_GBK" w:eastAsia="方正仿宋_GBK" w:cs="方正仿宋_GBK"/>
          <w:sz w:val="32"/>
          <w:szCs w:val="32"/>
          <w:lang w:val="en-US" w:eastAsia="zh-CN"/>
        </w:rPr>
      </w:pPr>
      <w:r>
        <w:rPr>
          <w:rFonts w:ascii="仿宋_GB2312" w:eastAsia="仿宋_GB2312"/>
          <w:b w:val="0"/>
          <w:sz w:val="32"/>
          <w:szCs w:val="32"/>
        </w:rPr>
        <w:t>公务用车购置及运行维护费0.60万元，其中：公务用车购置费0.00万元，公务用车运行维护费0.60万元。公务用车运行维护费开支内容包括。公务用车购置数0辆，公务用车保有量1辆。国有资产占用情况中固定资产车辆0辆，与公务用车保有量差异原因是：</w:t>
      </w:r>
      <w:r>
        <w:rPr>
          <w:rFonts w:hint="eastAsia" w:ascii="华文仿宋" w:hAnsi="华文仿宋" w:eastAsia="华文仿宋" w:cs="华文仿宋"/>
          <w:sz w:val="32"/>
          <w:szCs w:val="32"/>
          <w:lang w:val="en-US" w:eastAsia="zh-CN"/>
        </w:rPr>
        <w:t>库尔勒市供销合作联合社公务车辆在用1辆。在用车辆型号桑塔纳，车辆类型轿车，车牌号新M67615。此车是2010年9月21日库尔勒市供销合作联合社由库尔勒中心供销社转入，车款未支付。2014年库尔勒市供销合作社联合社由企业改制进入全预算拨款的事业单位。此车款一直未支付。故</w:t>
      </w:r>
      <w:r>
        <w:rPr>
          <w:rFonts w:hint="eastAsia" w:ascii="仿宋_GB2312" w:eastAsia="仿宋_GB2312"/>
          <w:color w:val="auto"/>
          <w:sz w:val="32"/>
          <w:szCs w:val="32"/>
          <w:highlight w:val="none"/>
          <w:lang w:val="zh-CN" w:eastAsia="zh-CN"/>
        </w:rPr>
        <w:t>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方正仿宋_GBK" w:hAnsi="方正仿宋_GBK" w:eastAsia="方正仿宋_GBK" w:cs="方正仿宋_GBK"/>
          <w:sz w:val="32"/>
          <w:szCs w:val="32"/>
          <w:lang w:val="en-US" w:eastAsia="zh-CN"/>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与全年预算相比，财政拨款“三公”经费支出全年预算数0.60万元，决算数0.60万元，预决算差异率0.00%，主要原因是：</w:t>
      </w:r>
      <w:r>
        <w:rPr>
          <w:rFonts w:hint="eastAsia" w:ascii="仿宋_GB2312" w:eastAsia="仿宋_GB2312"/>
          <w:b w:val="0"/>
          <w:sz w:val="32"/>
          <w:szCs w:val="32"/>
          <w:lang w:val="en-US" w:eastAsia="zh-CN"/>
        </w:rPr>
        <w:t>厉行节约，年初预算安排减少1.8万元</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b w:val="0"/>
          <w:sz w:val="32"/>
          <w:szCs w:val="32"/>
          <w:lang w:val="en-US" w:eastAsia="zh-CN"/>
        </w:rPr>
        <w:t>2024年无</w:t>
      </w:r>
      <w:r>
        <w:rPr>
          <w:rFonts w:ascii="仿宋_GB2312" w:eastAsia="仿宋_GB2312"/>
          <w:b w:val="0"/>
          <w:sz w:val="32"/>
          <w:szCs w:val="32"/>
        </w:rPr>
        <w:t>因公出国（境）</w:t>
      </w:r>
      <w:r>
        <w:rPr>
          <w:rFonts w:hint="eastAsia" w:ascii="仿宋_GB2312" w:eastAsia="仿宋_GB2312"/>
          <w:b w:val="0"/>
          <w:sz w:val="32"/>
          <w:szCs w:val="32"/>
          <w:lang w:val="en-US" w:eastAsia="zh-CN"/>
        </w:rPr>
        <w:t>无预算安排</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b w:val="0"/>
          <w:sz w:val="32"/>
          <w:szCs w:val="32"/>
          <w:lang w:val="en-US" w:eastAsia="zh-CN"/>
        </w:rPr>
        <w:t>2024年无</w:t>
      </w:r>
      <w:r>
        <w:rPr>
          <w:rFonts w:ascii="仿宋_GB2312" w:eastAsia="仿宋_GB2312"/>
          <w:b w:val="0"/>
          <w:sz w:val="32"/>
          <w:szCs w:val="32"/>
        </w:rPr>
        <w:t>公务用车购置。公务用车运行维护费全年预算数0.60万元，决算数0.60万元，预决算差异率0.00%，主要原因是：</w:t>
      </w:r>
      <w:r>
        <w:rPr>
          <w:rFonts w:hint="eastAsia" w:ascii="仿宋_GB2312" w:eastAsia="仿宋_GB2312"/>
          <w:b w:val="0"/>
          <w:sz w:val="32"/>
          <w:szCs w:val="32"/>
          <w:lang w:val="en-US" w:eastAsia="zh-CN"/>
        </w:rPr>
        <w:t>厉行节约</w:t>
      </w:r>
      <w:bookmarkStart w:id="0" w:name="_GoBack"/>
      <w:bookmarkEnd w:id="0"/>
      <w:r>
        <w:rPr>
          <w:rFonts w:hint="eastAsia" w:ascii="仿宋_GB2312" w:eastAsia="仿宋_GB2312"/>
          <w:b w:val="0"/>
          <w:sz w:val="32"/>
          <w:szCs w:val="32"/>
          <w:lang w:val="en-US" w:eastAsia="zh-CN"/>
        </w:rPr>
        <w:t>，年初预算安排减少1.8万元</w:t>
      </w:r>
      <w:r>
        <w:rPr>
          <w:rFonts w:ascii="仿宋_GB2312" w:eastAsia="仿宋_GB2312"/>
          <w:b w:val="0"/>
          <w:sz w:val="32"/>
          <w:szCs w:val="32"/>
        </w:rPr>
        <w:t>。公务接待费全年预算数0.00万元，决算数0.00万元，预决算差异率0.00%，主要原因是：</w:t>
      </w:r>
      <w:r>
        <w:rPr>
          <w:rFonts w:hint="eastAsia" w:ascii="仿宋_GB2312" w:eastAsia="仿宋_GB2312"/>
          <w:b w:val="0"/>
          <w:sz w:val="32"/>
          <w:szCs w:val="32"/>
          <w:lang w:val="en-US" w:eastAsia="zh-CN"/>
        </w:rPr>
        <w:t>2024年无</w:t>
      </w:r>
      <w:r>
        <w:rPr>
          <w:rFonts w:ascii="仿宋_GB2312" w:eastAsia="仿宋_GB2312"/>
          <w:b w:val="0"/>
          <w:sz w:val="32"/>
          <w:szCs w:val="32"/>
        </w:rPr>
        <w:t>公务接待</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年初预算无安排</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ascii="仿宋_GB2312" w:eastAsia="仿宋_GB2312"/>
          <w:sz w:val="32"/>
          <w:szCs w:val="32"/>
        </w:rPr>
      </w:pPr>
      <w:r>
        <w:rPr>
          <w:rFonts w:ascii="仿宋_GB2312" w:eastAsia="仿宋_GB2312"/>
          <w:b w:val="0"/>
          <w:sz w:val="32"/>
          <w:szCs w:val="32"/>
        </w:rPr>
        <w:t>2024年度公用经费支出5.93万元，比上年减少6.48万元，下降52.22%，主要原因是：</w:t>
      </w:r>
      <w:r>
        <w:rPr>
          <w:rFonts w:hint="eastAsia" w:eastAsia="仿宋_GB2312" w:cs="Times New Roman"/>
          <w:color w:val="auto"/>
          <w:sz w:val="32"/>
          <w:szCs w:val="32"/>
          <w:highlight w:val="none"/>
          <w:lang w:val="en-US" w:eastAsia="zh-CN"/>
        </w:rPr>
        <w:t>2024年办公费支出减少4.68万元、公务车运行费减少1.80万元</w:t>
      </w:r>
      <w:r>
        <w:rPr>
          <w:rFonts w:hint="eastAsia" w:ascii="Times New Roman" w:hAnsi="Times New Roman" w:eastAsia="仿宋_GB2312" w:cs="Times New Roman"/>
          <w:color w:val="auto"/>
          <w:sz w:val="32"/>
          <w:szCs w:val="32"/>
          <w:highlight w:val="none"/>
          <w:lang w:val="en-US" w:eastAsia="zh-CN"/>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2024年度政府采购支出总额1.11万元，其中：政府采购货物支出0.60万元、政府采购工程支出0.00万元、政府采购服务支出0.51万元。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授予中小企业合同金额0.34万元，占政府采购支出总额的30.63%，其中：授予小微企业合同金额0.34万元，占政府采购支出总额的30.63%。</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120.00平方米，价值23.52万元。车辆0辆，价值0.00万元，其中：副部（省）级及以上领导用车0辆、主要负责人用车0辆、机要通信用车0辆、应急保障用车0辆、执法执勤用车0辆、特种专业技术用车0辆、离退休干部服务用车0辆、其他用车0辆，其他用车主要是：;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164.52</w:t>
      </w:r>
      <w:r>
        <w:rPr>
          <w:rFonts w:ascii="仿宋_GB2312" w:eastAsia="仿宋_GB2312"/>
          <w:b w:val="0"/>
          <w:sz w:val="32"/>
          <w:szCs w:val="32"/>
        </w:rPr>
        <w:t>万元，实际执行总额</w:t>
      </w:r>
      <w:r>
        <w:rPr>
          <w:rFonts w:hint="eastAsia" w:ascii="仿宋_GB2312" w:eastAsia="仿宋_GB2312"/>
          <w:b w:val="0"/>
          <w:sz w:val="32"/>
          <w:szCs w:val="32"/>
          <w:lang w:val="en-US" w:eastAsia="zh-CN"/>
        </w:rPr>
        <w:t>164.52</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0</w:t>
      </w:r>
      <w:r>
        <w:rPr>
          <w:rFonts w:ascii="仿宋_GB2312" w:eastAsia="仿宋_GB2312"/>
          <w:b w:val="0"/>
          <w:sz w:val="32"/>
          <w:szCs w:val="32"/>
        </w:rPr>
        <w:t>个，全年预算数</w:t>
      </w:r>
      <w:r>
        <w:rPr>
          <w:rFonts w:hint="eastAsia" w:ascii="仿宋_GB2312" w:eastAsia="仿宋_GB2312"/>
          <w:b w:val="0"/>
          <w:sz w:val="32"/>
          <w:szCs w:val="32"/>
          <w:lang w:val="en-US" w:eastAsia="zh-CN"/>
        </w:rPr>
        <w:t>0</w:t>
      </w:r>
      <w:r>
        <w:rPr>
          <w:rFonts w:ascii="仿宋_GB2312" w:eastAsia="仿宋_GB2312"/>
          <w:b w:val="0"/>
          <w:sz w:val="32"/>
          <w:szCs w:val="32"/>
        </w:rPr>
        <w:t>万元，全年执行数</w:t>
      </w:r>
      <w:r>
        <w:rPr>
          <w:rFonts w:hint="eastAsia" w:ascii="仿宋_GB2312" w:eastAsia="仿宋_GB2312"/>
          <w:b w:val="0"/>
          <w:sz w:val="32"/>
          <w:szCs w:val="32"/>
          <w:lang w:val="en-US" w:eastAsia="zh-CN"/>
        </w:rPr>
        <w:t>0</w:t>
      </w:r>
      <w:r>
        <w:rPr>
          <w:rFonts w:ascii="仿宋_GB2312" w:eastAsia="仿宋_GB2312"/>
          <w:b w:val="0"/>
          <w:sz w:val="32"/>
          <w:szCs w:val="32"/>
        </w:rPr>
        <w:t>万元。预算绩效管理取得的成效：一是预算执行过程中，全面落实绩效“双监控”机制，以年度支出计划为依据，定期对预算执行情况及绩效目标完成进度开展深度分析，确保预算执行与绩效目标协同推进。二是对全年预算绩效目标完成情况进行全面、细致的分析与评价，系统梳理预算执行与绩效达成情况，形成具有指导意义的总结报告，为后续预算管理工作优化提供数据支撑与实践参考。发现的问题及原因：一是预算编制不够科学精准预算执行刚性不足，原因：年初预算金额为 385.77 万元，年末执行数仅 164.52 万元，年中调出项目资金 200 万元，预算与实际执行差异巨大说明在预算编制阶段，对项目实际需求、资金使用进度缺乏深入调研和科学预估，未能充分考虑项目开展过程中的各种影响因素，导致预算编制与实际执行脱节。下一步改进措施：加强预算编制管理、强化预算执行刚性</w:t>
      </w:r>
      <w:r>
        <w:rPr>
          <w:rFonts w:hint="eastAsia" w:ascii="仿宋_GB2312" w:eastAsia="仿宋_GB2312"/>
          <w:b w:val="0"/>
          <w:sz w:val="32"/>
          <w:szCs w:val="32"/>
          <w:lang w:eastAsia="zh-CN"/>
        </w:rPr>
        <w:t>、</w:t>
      </w:r>
      <w:r>
        <w:rPr>
          <w:rFonts w:ascii="仿宋_GB2312" w:eastAsia="仿宋_GB2312"/>
          <w:b w:val="0"/>
          <w:sz w:val="32"/>
          <w:szCs w:val="32"/>
        </w:rPr>
        <w:t>完善绩效评价体系。具体附部门整体支出绩效自评表，项目支出绩效自评表和部门评价报告。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p>
    <w:p>
      <w:pPr>
        <w:widowControl/>
        <w:spacing w:before="0" w:beforeLines="0" w:beforeAutospacing="0" w:after="0" w:afterLines="0" w:afterAutospacing="0" w:line="240" w:lineRule="auto"/>
        <w:ind w:firstLine="640" w:firstLineChars="200"/>
        <w:jc w:val="left"/>
        <w:outlineLvl w:val="1"/>
        <w:rPr>
          <w:rFonts w:ascii="黑体" w:eastAsia="黑体"/>
          <w:b w:val="0"/>
          <w:sz w:val="32"/>
          <w:szCs w:val="32"/>
        </w:rPr>
      </w:pP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pPr>
    </w:p>
    <w:p>
      <w:pPr>
        <w:pStyle w:val="2"/>
        <w:spacing w:line="240" w:lineRule="auto"/>
        <w:rPr>
          <w:rFonts w:hint="eastAsia" w:eastAsiaTheme="minorEastAsia"/>
          <w:lang w:eastAsia="zh-CN"/>
        </w:rPr>
      </w:pPr>
    </w:p>
    <w:p>
      <w:pPr>
        <w:rPr>
          <w:rFonts w:hint="eastAsia" w:eastAsiaTheme="minorEastAsia"/>
          <w:lang w:eastAsia="zh-CN"/>
        </w:rPr>
      </w:pPr>
    </w:p>
    <w:p>
      <w:pPr>
        <w:pStyle w:val="2"/>
        <w:rPr>
          <w:rFonts w:hint="eastAsia" w:eastAsiaTheme="minorEastAsia"/>
          <w:lang w:eastAsia="zh-CN"/>
        </w:rPr>
      </w:pPr>
      <w:r>
        <w:drawing>
          <wp:anchor distT="0" distB="0" distL="114300" distR="114300" simplePos="0" relativeHeight="251660288" behindDoc="0" locked="0" layoutInCell="1" allowOverlap="1">
            <wp:simplePos x="0" y="0"/>
            <wp:positionH relativeFrom="column">
              <wp:posOffset>-69215</wp:posOffset>
            </wp:positionH>
            <wp:positionV relativeFrom="page">
              <wp:posOffset>980440</wp:posOffset>
            </wp:positionV>
            <wp:extent cx="5479415" cy="7867650"/>
            <wp:effectExtent l="0" t="0" r="6985" b="0"/>
            <wp:wrapTopAndBottom/>
            <wp:docPr id="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
                    <pic:cNvPicPr>
                      <a:picLocks noChangeAspect="1"/>
                    </pic:cNvPicPr>
                  </pic:nvPicPr>
                  <pic:blipFill>
                    <a:blip r:embed="rId5"/>
                    <a:stretch>
                      <a:fillRect/>
                    </a:stretch>
                  </pic:blipFill>
                  <pic:spPr>
                    <a:xfrm>
                      <a:off x="0" y="0"/>
                      <a:ext cx="5479415" cy="7867650"/>
                    </a:xfrm>
                    <a:prstGeom prst="rect">
                      <a:avLst/>
                    </a:prstGeom>
                    <a:noFill/>
                    <a:ln w="9525">
                      <a:noFill/>
                    </a:ln>
                  </pic:spPr>
                </pic:pic>
              </a:graphicData>
            </a:graphic>
          </wp:anchor>
        </w:drawing>
      </w:r>
    </w:p>
    <w:p>
      <w:pPr>
        <w:rPr>
          <w:rFonts w:hint="eastAsia" w:eastAsiaTheme="minorEastAsia"/>
          <w:lang w:eastAsia="zh-CN"/>
        </w:rPr>
      </w:pPr>
      <w:r>
        <w:drawing>
          <wp:anchor distT="0" distB="0" distL="114300" distR="114300" simplePos="0" relativeHeight="251662336" behindDoc="0" locked="0" layoutInCell="1" allowOverlap="1">
            <wp:simplePos x="0" y="0"/>
            <wp:positionH relativeFrom="column">
              <wp:posOffset>0</wp:posOffset>
            </wp:positionH>
            <wp:positionV relativeFrom="page">
              <wp:posOffset>1050925</wp:posOffset>
            </wp:positionV>
            <wp:extent cx="5463540" cy="7592695"/>
            <wp:effectExtent l="0" t="0" r="3810" b="8255"/>
            <wp:wrapTopAndBottom/>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8"/>
                    <pic:cNvPicPr>
                      <a:picLocks noChangeAspect="1"/>
                    </pic:cNvPicPr>
                  </pic:nvPicPr>
                  <pic:blipFill>
                    <a:blip r:embed="rId6"/>
                    <a:stretch>
                      <a:fillRect/>
                    </a:stretch>
                  </pic:blipFill>
                  <pic:spPr>
                    <a:xfrm>
                      <a:off x="0" y="0"/>
                      <a:ext cx="5463540" cy="7592695"/>
                    </a:xfrm>
                    <a:prstGeom prst="rect">
                      <a:avLst/>
                    </a:prstGeom>
                    <a:noFill/>
                    <a:ln w="9525">
                      <a:noFill/>
                    </a:ln>
                  </pic:spPr>
                </pic:pic>
              </a:graphicData>
            </a:graphic>
          </wp:anchor>
        </w:drawing>
      </w:r>
    </w:p>
    <w:p>
      <w:pPr>
        <w:pStyle w:val="2"/>
        <w:rPr>
          <w:rFonts w:hint="eastAsia"/>
          <w:lang w:eastAsia="zh-CN"/>
        </w:rPr>
      </w:pPr>
      <w:r>
        <w:drawing>
          <wp:anchor distT="0" distB="0" distL="114300" distR="114300" simplePos="0" relativeHeight="251661312" behindDoc="0" locked="0" layoutInCell="1" allowOverlap="1">
            <wp:simplePos x="0" y="0"/>
            <wp:positionH relativeFrom="column">
              <wp:posOffset>-43180</wp:posOffset>
            </wp:positionH>
            <wp:positionV relativeFrom="page">
              <wp:posOffset>1021715</wp:posOffset>
            </wp:positionV>
            <wp:extent cx="5483860" cy="7459980"/>
            <wp:effectExtent l="0" t="0" r="2540" b="0"/>
            <wp:wrapTopAndBottom/>
            <wp:docPr id="1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
                    <pic:cNvPicPr>
                      <a:picLocks noChangeAspect="1"/>
                    </pic:cNvPicPr>
                  </pic:nvPicPr>
                  <pic:blipFill>
                    <a:blip r:embed="rId7"/>
                    <a:stretch>
                      <a:fillRect/>
                    </a:stretch>
                  </pic:blipFill>
                  <pic:spPr>
                    <a:xfrm>
                      <a:off x="0" y="0"/>
                      <a:ext cx="5483860" cy="7459980"/>
                    </a:xfrm>
                    <a:prstGeom prst="rect">
                      <a:avLst/>
                    </a:prstGeom>
                    <a:noFill/>
                    <a:ln w="9525">
                      <a:noFill/>
                    </a:ln>
                  </pic:spPr>
                </pic:pic>
              </a:graphicData>
            </a:graphic>
          </wp:anchor>
        </w:drawing>
      </w:r>
    </w:p>
    <w:p>
      <w:pPr>
        <w:rPr>
          <w:rFonts w:hint="eastAsia"/>
          <w:lang w:eastAsia="zh-CN"/>
        </w:rPr>
      </w:pPr>
    </w:p>
    <w:p>
      <w:pPr>
        <w:pStyle w:val="2"/>
        <w:rPr>
          <w:rFonts w:hint="eastAsia"/>
          <w:lang w:eastAsia="zh-CN"/>
        </w:rPr>
      </w:pPr>
      <w:r>
        <w:drawing>
          <wp:anchor distT="0" distB="0" distL="114300" distR="114300" simplePos="0" relativeHeight="251663360" behindDoc="0" locked="0" layoutInCell="1" allowOverlap="1">
            <wp:simplePos x="0" y="0"/>
            <wp:positionH relativeFrom="column">
              <wp:posOffset>0</wp:posOffset>
            </wp:positionH>
            <wp:positionV relativeFrom="page">
              <wp:posOffset>1010285</wp:posOffset>
            </wp:positionV>
            <wp:extent cx="5482590" cy="7430770"/>
            <wp:effectExtent l="0" t="0" r="3810" b="17780"/>
            <wp:wrapTopAndBottom/>
            <wp:docPr id="1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9"/>
                    <pic:cNvPicPr>
                      <a:picLocks noChangeAspect="1"/>
                    </pic:cNvPicPr>
                  </pic:nvPicPr>
                  <pic:blipFill>
                    <a:blip r:embed="rId8"/>
                    <a:stretch>
                      <a:fillRect/>
                    </a:stretch>
                  </pic:blipFill>
                  <pic:spPr>
                    <a:xfrm>
                      <a:off x="0" y="0"/>
                      <a:ext cx="5482590" cy="7430770"/>
                    </a:xfrm>
                    <a:prstGeom prst="rect">
                      <a:avLst/>
                    </a:prstGeom>
                    <a:noFill/>
                    <a:ln w="9525">
                      <a:noFill/>
                    </a:ln>
                  </pic:spPr>
                </pic:pic>
              </a:graphicData>
            </a:graphic>
          </wp:anchor>
        </w:drawing>
      </w:r>
    </w:p>
    <w:p>
      <w:pPr>
        <w:rPr>
          <w:rFonts w:hint="eastAsia"/>
          <w:lang w:eastAsia="zh-CN"/>
        </w:rPr>
      </w:pPr>
    </w:p>
    <w:p>
      <w:pPr>
        <w:rPr>
          <w:rFonts w:hint="eastAsia"/>
          <w:lang w:eastAsia="zh-CN"/>
        </w:rPr>
      </w:pPr>
    </w:p>
    <w:p>
      <w:pPr>
        <w:pStyle w:val="2"/>
        <w:rPr>
          <w:rFonts w:hint="eastAsia"/>
          <w:lang w:eastAsia="zh-CN"/>
        </w:rPr>
      </w:pPr>
      <w:r>
        <w:drawing>
          <wp:anchor distT="0" distB="0" distL="114300" distR="114300" simplePos="0" relativeHeight="251664384" behindDoc="0" locked="0" layoutInCell="1" allowOverlap="1">
            <wp:simplePos x="0" y="0"/>
            <wp:positionH relativeFrom="column">
              <wp:posOffset>0</wp:posOffset>
            </wp:positionH>
            <wp:positionV relativeFrom="page">
              <wp:posOffset>1012825</wp:posOffset>
            </wp:positionV>
            <wp:extent cx="5485130" cy="7665720"/>
            <wp:effectExtent l="0" t="0" r="1270" b="0"/>
            <wp:wrapTopAndBottom/>
            <wp:docPr id="2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0"/>
                    <pic:cNvPicPr>
                      <a:picLocks noChangeAspect="1"/>
                    </pic:cNvPicPr>
                  </pic:nvPicPr>
                  <pic:blipFill>
                    <a:blip r:embed="rId9"/>
                    <a:stretch>
                      <a:fillRect/>
                    </a:stretch>
                  </pic:blipFill>
                  <pic:spPr>
                    <a:xfrm>
                      <a:off x="0" y="0"/>
                      <a:ext cx="5485130" cy="7665720"/>
                    </a:xfrm>
                    <a:prstGeom prst="rect">
                      <a:avLst/>
                    </a:prstGeom>
                    <a:noFill/>
                    <a:ln w="9525">
                      <a:noFill/>
                    </a:ln>
                  </pic:spPr>
                </pic:pic>
              </a:graphicData>
            </a:graphic>
          </wp:anchor>
        </w:drawing>
      </w:r>
    </w:p>
    <w:p>
      <w:pPr>
        <w:rPr>
          <w:rFonts w:hint="eastAsia"/>
          <w:lang w:eastAsia="zh-CN"/>
        </w:rPr>
      </w:pPr>
    </w:p>
    <w:p>
      <w:pPr>
        <w:pStyle w:val="2"/>
        <w:rPr>
          <w:rFonts w:hint="eastAsia"/>
          <w:lang w:eastAsia="zh-CN"/>
        </w:rPr>
      </w:pPr>
      <w:r>
        <w:drawing>
          <wp:anchor distT="0" distB="0" distL="114300" distR="114300" simplePos="0" relativeHeight="251665408" behindDoc="0" locked="0" layoutInCell="1" allowOverlap="1">
            <wp:simplePos x="0" y="0"/>
            <wp:positionH relativeFrom="column">
              <wp:posOffset>0</wp:posOffset>
            </wp:positionH>
            <wp:positionV relativeFrom="page">
              <wp:posOffset>1090930</wp:posOffset>
            </wp:positionV>
            <wp:extent cx="5485765" cy="7131050"/>
            <wp:effectExtent l="0" t="0" r="635" b="12700"/>
            <wp:wrapTopAndBottom/>
            <wp:docPr id="2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1"/>
                    <pic:cNvPicPr>
                      <a:picLocks noChangeAspect="1"/>
                    </pic:cNvPicPr>
                  </pic:nvPicPr>
                  <pic:blipFill>
                    <a:blip r:embed="rId10"/>
                    <a:stretch>
                      <a:fillRect/>
                    </a:stretch>
                  </pic:blipFill>
                  <pic:spPr>
                    <a:xfrm>
                      <a:off x="0" y="0"/>
                      <a:ext cx="5485765" cy="7131050"/>
                    </a:xfrm>
                    <a:prstGeom prst="rect">
                      <a:avLst/>
                    </a:prstGeom>
                    <a:noFill/>
                    <a:ln w="9525">
                      <a:noFill/>
                    </a:ln>
                  </pic:spPr>
                </pic:pic>
              </a:graphicData>
            </a:graphic>
          </wp:anchor>
        </w:drawing>
      </w: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r>
        <w:drawing>
          <wp:inline distT="0" distB="0" distL="114300" distR="114300">
            <wp:extent cx="5485765" cy="3908425"/>
            <wp:effectExtent l="0" t="0" r="635" b="15875"/>
            <wp:docPr id="2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3"/>
                    <pic:cNvPicPr>
                      <a:picLocks noChangeAspect="1"/>
                    </pic:cNvPicPr>
                  </pic:nvPicPr>
                  <pic:blipFill>
                    <a:blip r:embed="rId11"/>
                    <a:stretch>
                      <a:fillRect/>
                    </a:stretch>
                  </pic:blipFill>
                  <pic:spPr>
                    <a:xfrm>
                      <a:off x="0" y="0"/>
                      <a:ext cx="5485765" cy="3908425"/>
                    </a:xfrm>
                    <a:prstGeom prst="rect">
                      <a:avLst/>
                    </a:prstGeom>
                    <a:noFill/>
                    <a:ln w="9525">
                      <a:noFill/>
                    </a:ln>
                  </pic:spPr>
                </pic:pic>
              </a:graphicData>
            </a:graphic>
          </wp:inline>
        </w:drawing>
      </w:r>
    </w:p>
    <w:p>
      <w:pPr>
        <w:pStyle w:val="2"/>
        <w:rPr>
          <w:rFonts w:hint="eastAsia"/>
          <w:lang w:eastAsia="zh-CN"/>
        </w:rPr>
      </w:pPr>
    </w:p>
    <w:p>
      <w:pPr>
        <w:rPr>
          <w:rFonts w:hint="eastAsia"/>
          <w:lang w:eastAsia="zh-CN"/>
        </w:rPr>
      </w:pPr>
    </w:p>
    <w:p>
      <w:pPr>
        <w:pStyle w:val="2"/>
        <w:spacing w:line="240" w:lineRule="auto"/>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r>
        <w:drawing>
          <wp:anchor distT="0" distB="0" distL="114300" distR="114300" simplePos="0" relativeHeight="251666432" behindDoc="0" locked="0" layoutInCell="1" allowOverlap="1">
            <wp:simplePos x="0" y="0"/>
            <wp:positionH relativeFrom="column">
              <wp:posOffset>0</wp:posOffset>
            </wp:positionH>
            <wp:positionV relativeFrom="page">
              <wp:posOffset>1080135</wp:posOffset>
            </wp:positionV>
            <wp:extent cx="5472430" cy="2673350"/>
            <wp:effectExtent l="0" t="0" r="13970" b="12700"/>
            <wp:wrapTopAndBottom/>
            <wp:docPr id="2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4"/>
                    <pic:cNvPicPr>
                      <a:picLocks noChangeAspect="1"/>
                    </pic:cNvPicPr>
                  </pic:nvPicPr>
                  <pic:blipFill>
                    <a:blip r:embed="rId12"/>
                    <a:stretch>
                      <a:fillRect/>
                    </a:stretch>
                  </pic:blipFill>
                  <pic:spPr>
                    <a:xfrm>
                      <a:off x="0" y="0"/>
                      <a:ext cx="5472430" cy="2673350"/>
                    </a:xfrm>
                    <a:prstGeom prst="rect">
                      <a:avLst/>
                    </a:prstGeom>
                    <a:noFill/>
                    <a:ln w="9525">
                      <a:noFill/>
                    </a:ln>
                  </pic:spPr>
                </pic:pic>
              </a:graphicData>
            </a:graphic>
          </wp:anchor>
        </w:drawing>
      </w: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spacing w:line="240" w:lineRule="auto"/>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pStyle w:val="2"/>
        <w:spacing w:before="0" w:beforeLines="4201" w:beforeAutospacing="0" w:after="0" w:afterLines="601" w:afterAutospacing="0"/>
        <w:rPr>
          <w:rFonts w:hint="eastAsia"/>
          <w:lang w:eastAsia="zh-CN"/>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80184F"/>
    <w:rsid w:val="0F83712A"/>
    <w:rsid w:val="3B1D0E6B"/>
    <w:rsid w:val="3D313A02"/>
    <w:rsid w:val="3D5A17DE"/>
    <w:rsid w:val="444F36C6"/>
    <w:rsid w:val="44E2311B"/>
    <w:rsid w:val="47DD614A"/>
    <w:rsid w:val="4D9F38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3"/>
    <w:basedOn w:val="1"/>
    <w:next w:val="1"/>
    <w:unhideWhenUsed/>
    <w:qFormat/>
    <w:uiPriority w:val="0"/>
    <w:pPr>
      <w:keepNext/>
      <w:keepLines/>
      <w:spacing w:line="560" w:lineRule="exact"/>
      <w:outlineLvl w:val="2"/>
    </w:pPr>
    <w:rPr>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8.emf"/><Relationship Id="rId11" Type="http://schemas.openxmlformats.org/officeDocument/2006/relationships/image" Target="media/image7.emf"/><Relationship Id="rId10" Type="http://schemas.openxmlformats.org/officeDocument/2006/relationships/image" Target="media/image6.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23</Pages>
  <Words>5830</Words>
  <Characters>6544</Characters>
  <Lines>0</Lines>
  <Paragraphs>0</Paragraphs>
  <TotalTime>3</TotalTime>
  <ScaleCrop>false</ScaleCrop>
  <LinksUpToDate>false</LinksUpToDate>
  <CharactersWithSpaces>6550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2025-08-13T10:21:00Z</dcterms:created>
  <dc:creator>Administrator</dc:creator>
  <cp:lastModifiedBy>lenovo</cp:lastModifiedBy>
  <dcterms:modified xsi:type="dcterms:W3CDTF">2025-09-02T03:45:31Z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KSOTemplateDocerSaveRecord">
    <vt:lpwstr>eyJoZGlkIjoiZDc1MGNhODUyNTM1MjI0NGVhNGUxOGE3NjAxODAzNjciLCJ1c2VySWQiOiIyOTg0MTk1ODIifQ==</vt:lpwstr>
  </property>
  <property fmtid="{D5CDD505-2E9C-101B-9397-08002B2CF9AE}" pid="4" name="ICV">
    <vt:lpwstr>F8F0D5E53DDB4BDBB18477AD43F63C4A_13</vt:lpwstr>
  </property>
</Properties>
</file>