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right="-4515" w:rightChars="-2150"/>
        <w:jc w:val="center"/>
        <w:rPr>
          <w:rFonts w:hint="default" w:ascii="Times New Roman" w:hAnsi="Times New Roman" w:eastAsia="华文中宋" w:cs="Times New Roman"/>
          <w:b/>
          <w:color w:val="000000" w:themeColor="text1"/>
          <w:kern w:val="0"/>
          <w:sz w:val="52"/>
          <w:szCs w:val="52"/>
          <w:highlight w:val="none"/>
          <w14:textFill>
            <w14:solidFill>
              <w14:schemeClr w14:val="tx1"/>
            </w14:solidFill>
          </w14:textFill>
        </w:rPr>
      </w:pPr>
      <w:bookmarkStart w:id="3" w:name="_GoBack"/>
      <w:bookmarkEnd w:id="3"/>
    </w:p>
    <w:p>
      <w:pPr>
        <w:spacing w:line="540" w:lineRule="exact"/>
        <w:rPr>
          <w:rFonts w:hint="default" w:ascii="Times New Roman" w:hAnsi="Times New Roman" w:eastAsia="华文中宋" w:cs="Times New Roman"/>
          <w:b/>
          <w:color w:val="000000" w:themeColor="text1"/>
          <w:kern w:val="0"/>
          <w:sz w:val="52"/>
          <w:szCs w:val="52"/>
          <w:highlight w:val="none"/>
          <w14:textFill>
            <w14:solidFill>
              <w14:schemeClr w14:val="tx1"/>
            </w14:solidFill>
          </w14:textFill>
        </w:rPr>
      </w:pPr>
    </w:p>
    <w:p>
      <w:pPr>
        <w:spacing w:line="540" w:lineRule="exact"/>
        <w:jc w:val="center"/>
        <w:rPr>
          <w:rFonts w:hint="default" w:ascii="Times New Roman" w:hAnsi="Times New Roman" w:eastAsia="华文中宋" w:cs="Times New Roman"/>
          <w:b/>
          <w:color w:val="000000" w:themeColor="text1"/>
          <w:kern w:val="0"/>
          <w:sz w:val="52"/>
          <w:szCs w:val="52"/>
          <w:highlight w:val="none"/>
          <w14:textFill>
            <w14:solidFill>
              <w14:schemeClr w14:val="tx1"/>
            </w14:solidFill>
          </w14:textFill>
        </w:rPr>
      </w:pPr>
    </w:p>
    <w:p>
      <w:pPr>
        <w:spacing w:line="540" w:lineRule="exact"/>
        <w:jc w:val="center"/>
        <w:rPr>
          <w:rFonts w:hint="default" w:ascii="Times New Roman" w:hAnsi="Times New Roman" w:eastAsia="华文中宋" w:cs="Times New Roman"/>
          <w:b/>
          <w:color w:val="000000" w:themeColor="text1"/>
          <w:kern w:val="0"/>
          <w:sz w:val="52"/>
          <w:szCs w:val="52"/>
          <w:highlight w:val="none"/>
          <w14:textFill>
            <w14:solidFill>
              <w14:schemeClr w14:val="tx1"/>
            </w14:solidFill>
          </w14:textFill>
        </w:rPr>
      </w:pPr>
    </w:p>
    <w:p>
      <w:pPr>
        <w:spacing w:line="540" w:lineRule="exact"/>
        <w:jc w:val="both"/>
        <w:rPr>
          <w:rFonts w:hint="default" w:ascii="Times New Roman" w:hAnsi="Times New Roman" w:eastAsia="方正小标宋_GBK" w:cs="Times New Roman"/>
          <w:color w:val="000000" w:themeColor="text1"/>
          <w:kern w:val="0"/>
          <w:sz w:val="48"/>
          <w:szCs w:val="48"/>
          <w:highlight w:val="none"/>
          <w14:textFill>
            <w14:solidFill>
              <w14:schemeClr w14:val="tx1"/>
            </w14:solidFill>
          </w14:textFill>
        </w:rPr>
      </w:pPr>
      <w:r>
        <w:rPr>
          <w:rFonts w:hint="eastAsia" w:eastAsia="方正小标宋_GBK" w:cs="Times New Roman"/>
          <w:color w:val="000000" w:themeColor="text1"/>
          <w:kern w:val="0"/>
          <w:sz w:val="48"/>
          <w:szCs w:val="48"/>
          <w:highlight w:val="none"/>
          <w:lang w:eastAsia="zh-CN"/>
          <w14:textFill>
            <w14:solidFill>
              <w14:schemeClr w14:val="tx1"/>
            </w14:solidFill>
          </w14:textFill>
        </w:rPr>
        <w:t>路灯亮化经费</w:t>
      </w:r>
      <w:r>
        <w:rPr>
          <w:rFonts w:hint="default" w:ascii="Times New Roman" w:hAnsi="Times New Roman" w:eastAsia="方正小标宋_GBK" w:cs="Times New Roman"/>
          <w:color w:val="000000" w:themeColor="text1"/>
          <w:kern w:val="0"/>
          <w:sz w:val="48"/>
          <w:szCs w:val="48"/>
          <w:highlight w:val="none"/>
          <w14:textFill>
            <w14:solidFill>
              <w14:schemeClr w14:val="tx1"/>
            </w14:solidFill>
          </w14:textFill>
        </w:rPr>
        <w:t>项目支出绩效评价</w:t>
      </w:r>
    </w:p>
    <w:p>
      <w:pPr>
        <w:spacing w:line="540" w:lineRule="exact"/>
        <w:jc w:val="center"/>
        <w:rPr>
          <w:rFonts w:hint="default" w:ascii="Times New Roman" w:hAnsi="Times New Roman" w:eastAsia="方正小标宋_GBK" w:cs="Times New Roman"/>
          <w:color w:val="000000" w:themeColor="text1"/>
          <w:kern w:val="0"/>
          <w:sz w:val="48"/>
          <w:szCs w:val="48"/>
          <w:highlight w:val="none"/>
          <w14:textFill>
            <w14:solidFill>
              <w14:schemeClr w14:val="tx1"/>
            </w14:solidFill>
          </w14:textFill>
        </w:rPr>
      </w:pPr>
      <w:r>
        <w:rPr>
          <w:rFonts w:hint="default" w:ascii="Times New Roman" w:hAnsi="Times New Roman" w:eastAsia="方正小标宋_GBK" w:cs="Times New Roman"/>
          <w:color w:val="000000" w:themeColor="text1"/>
          <w:kern w:val="0"/>
          <w:sz w:val="48"/>
          <w:szCs w:val="48"/>
          <w:highlight w:val="none"/>
          <w14:textFill>
            <w14:solidFill>
              <w14:schemeClr w14:val="tx1"/>
            </w14:solidFill>
          </w14:textFill>
        </w:rPr>
        <w:t>报告</w:t>
      </w:r>
    </w:p>
    <w:p>
      <w:pPr>
        <w:spacing w:line="540" w:lineRule="exact"/>
        <w:jc w:val="center"/>
        <w:rPr>
          <w:rFonts w:hint="default" w:ascii="Times New Roman" w:hAnsi="Times New Roman" w:eastAsia="华文中宋" w:cs="Times New Roman"/>
          <w:b/>
          <w:color w:val="000000" w:themeColor="text1"/>
          <w:kern w:val="0"/>
          <w:sz w:val="52"/>
          <w:szCs w:val="52"/>
          <w:highlight w:val="none"/>
          <w14:textFill>
            <w14:solidFill>
              <w14:schemeClr w14:val="tx1"/>
            </w14:solidFill>
          </w14:textFill>
        </w:rPr>
      </w:pPr>
    </w:p>
    <w:p>
      <w:pPr>
        <w:spacing w:line="540" w:lineRule="exact"/>
        <w:jc w:val="cente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pP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（202</w:t>
      </w:r>
      <w:r>
        <w:rPr>
          <w:rFonts w:hint="default" w:ascii="Times New Roman" w:hAnsi="Times New Roman" w:eastAsia="仿宋_GB2312" w:cs="Times New Roman"/>
          <w:color w:val="000000" w:themeColor="text1"/>
          <w:kern w:val="0"/>
          <w:sz w:val="36"/>
          <w:szCs w:val="36"/>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年度）</w:t>
      </w:r>
    </w:p>
    <w:p>
      <w:pPr>
        <w:spacing w:line="540" w:lineRule="exact"/>
        <w:jc w:val="center"/>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spacing w:line="540" w:lineRule="exact"/>
        <w:jc w:val="center"/>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spacing w:line="540" w:lineRule="exact"/>
        <w:jc w:val="center"/>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pStyle w:val="12"/>
        <w:rPr>
          <w:rFonts w:hint="default" w:ascii="Times New Roman" w:hAnsi="Times New Roman" w:cs="Times New Roman"/>
          <w:color w:val="000000" w:themeColor="text1"/>
          <w:highlight w:val="none"/>
          <w14:textFill>
            <w14:solidFill>
              <w14:schemeClr w14:val="tx1"/>
            </w14:solidFill>
          </w14:textFill>
        </w:rPr>
      </w:pPr>
    </w:p>
    <w:p>
      <w:pPr>
        <w:spacing w:line="540" w:lineRule="exact"/>
        <w:jc w:val="center"/>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spacing w:line="540" w:lineRule="exact"/>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spacing w:line="700" w:lineRule="exact"/>
        <w:ind w:firstLine="1440" w:firstLineChars="400"/>
        <w:jc w:val="left"/>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pP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项目名称：部门专项-路灯亮化经费</w:t>
      </w:r>
    </w:p>
    <w:p>
      <w:pPr>
        <w:spacing w:line="700" w:lineRule="exact"/>
        <w:ind w:firstLine="1440" w:firstLineChars="400"/>
        <w:jc w:val="left"/>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pP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实施单位（公章）：库尔勒市市政工程事务中心</w:t>
      </w:r>
    </w:p>
    <w:p>
      <w:pPr>
        <w:spacing w:line="700" w:lineRule="exact"/>
        <w:ind w:firstLine="1440" w:firstLineChars="400"/>
        <w:jc w:val="left"/>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pP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主管部门（公章）：库尔勒市</w:t>
      </w:r>
      <w:r>
        <w:rPr>
          <w:rFonts w:hint="eastAsia" w:eastAsia="仿宋_GB2312" w:cs="Times New Roman"/>
          <w:color w:val="000000" w:themeColor="text1"/>
          <w:kern w:val="0"/>
          <w:sz w:val="36"/>
          <w:szCs w:val="36"/>
          <w:highlight w:val="none"/>
          <w:lang w:val="en-US" w:eastAsia="zh-CN"/>
          <w14:textFill>
            <w14:solidFill>
              <w14:schemeClr w14:val="tx1"/>
            </w14:solidFill>
          </w14:textFill>
        </w:rPr>
        <w:t>住房和城乡建设局</w:t>
      </w:r>
    </w:p>
    <w:p>
      <w:pPr>
        <w:spacing w:line="700" w:lineRule="exact"/>
        <w:ind w:firstLine="1440" w:firstLineChars="400"/>
        <w:jc w:val="left"/>
        <w:rPr>
          <w:rFonts w:hint="eastAsia" w:ascii="Times New Roman" w:hAnsi="Times New Roman" w:eastAsia="仿宋_GB2312" w:cs="Times New Roman"/>
          <w:color w:val="000000" w:themeColor="text1"/>
          <w:kern w:val="0"/>
          <w:sz w:val="36"/>
          <w:szCs w:val="36"/>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项目负责人（签章）：</w:t>
      </w:r>
      <w:r>
        <w:rPr>
          <w:rFonts w:hint="eastAsia" w:eastAsia="仿宋_GB2312" w:cs="Times New Roman"/>
          <w:color w:val="000000" w:themeColor="text1"/>
          <w:kern w:val="0"/>
          <w:sz w:val="36"/>
          <w:szCs w:val="36"/>
          <w:highlight w:val="none"/>
          <w:lang w:eastAsia="zh-CN"/>
          <w14:textFill>
            <w14:solidFill>
              <w14:schemeClr w14:val="tx1"/>
            </w14:solidFill>
          </w14:textFill>
        </w:rPr>
        <w:t>曹林</w:t>
      </w:r>
    </w:p>
    <w:p>
      <w:pPr>
        <w:spacing w:line="700" w:lineRule="exact"/>
        <w:ind w:firstLine="1440" w:firstLineChars="400"/>
        <w:jc w:val="left"/>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pP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填报时间：</w:t>
      </w:r>
      <w:r>
        <w:rPr>
          <w:rFonts w:hint="eastAsia" w:eastAsia="仿宋_GB2312" w:cs="Times New Roman"/>
          <w:color w:val="000000" w:themeColor="text1"/>
          <w:kern w:val="0"/>
          <w:sz w:val="36"/>
          <w:szCs w:val="36"/>
          <w:highlight w:val="none"/>
          <w:lang w:val="en-US" w:eastAsia="zh-CN"/>
          <w14:textFill>
            <w14:solidFill>
              <w14:schemeClr w14:val="tx1"/>
            </w14:solidFill>
          </w14:textFill>
        </w:rPr>
        <w:t>2024</w:t>
      </w: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年</w:t>
      </w:r>
      <w:r>
        <w:rPr>
          <w:rFonts w:hint="eastAsia" w:eastAsia="仿宋_GB2312" w:cs="Times New Roman"/>
          <w:color w:val="000000" w:themeColor="text1"/>
          <w:kern w:val="0"/>
          <w:sz w:val="36"/>
          <w:szCs w:val="36"/>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月</w:t>
      </w:r>
      <w:r>
        <w:rPr>
          <w:rFonts w:hint="eastAsia" w:eastAsia="仿宋_GB2312" w:cs="Times New Roman"/>
          <w:color w:val="000000" w:themeColor="text1"/>
          <w:kern w:val="0"/>
          <w:sz w:val="36"/>
          <w:szCs w:val="36"/>
          <w:highlight w:val="none"/>
          <w:lang w:val="en-US" w:eastAsia="zh-CN"/>
          <w14:textFill>
            <w14:solidFill>
              <w14:schemeClr w14:val="tx1"/>
            </w14:solidFill>
          </w14:textFill>
        </w:rPr>
        <w:t>29</w:t>
      </w: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日</w:t>
      </w:r>
    </w:p>
    <w:p>
      <w:pPr>
        <w:spacing w:line="540" w:lineRule="exact"/>
        <w:jc w:val="center"/>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spacing w:line="540" w:lineRule="exact"/>
        <w:rPr>
          <w:rStyle w:val="18"/>
          <w:rFonts w:hint="default" w:ascii="Times New Roman" w:hAnsi="Times New Roman" w:eastAsia="黑体" w:cs="Times New Roman"/>
          <w:b w:val="0"/>
          <w:color w:val="000000" w:themeColor="text1"/>
          <w:spacing w:val="-4"/>
          <w:sz w:val="32"/>
          <w:szCs w:val="32"/>
          <w:highlight w:val="none"/>
          <w14:textFill>
            <w14:solidFill>
              <w14:schemeClr w14:val="tx1"/>
            </w14:solidFill>
          </w14:textFill>
        </w:rPr>
      </w:pPr>
    </w:p>
    <w:p>
      <w:pPr>
        <w:spacing w:line="560" w:lineRule="exact"/>
        <w:rPr>
          <w:rFonts w:hint="default" w:ascii="Times New Roman" w:hAnsi="Times New Roman" w:eastAsia="黑体" w:cs="Times New Roman"/>
          <w:bCs/>
          <w:color w:val="000000" w:themeColor="text1"/>
          <w:sz w:val="32"/>
          <w:szCs w:val="32"/>
          <w:highlight w:val="none"/>
          <w14:textFill>
            <w14:solidFill>
              <w14:schemeClr w14:val="tx1"/>
            </w14:solidFill>
          </w14:textFill>
        </w:rPr>
        <w:sectPr>
          <w:pgSz w:w="11906" w:h="16838"/>
          <w:pgMar w:top="1440" w:right="1803"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000000" w:themeColor="text1"/>
          <w:sz w:val="32"/>
          <w:szCs w:val="32"/>
          <w:highlight w:val="none"/>
          <w14:textFill>
            <w14:solidFill>
              <w14:schemeClr w14:val="tx1"/>
            </w14:solidFill>
          </w14:textFill>
        </w:rPr>
      </w:pPr>
      <w:r>
        <w:rPr>
          <w:rFonts w:hint="default" w:ascii="Times New Roman" w:hAnsi="Times New Roman" w:eastAsia="黑体" w:cs="Times New Roman"/>
          <w:bCs/>
          <w:color w:val="000000" w:themeColor="text1"/>
          <w:sz w:val="32"/>
          <w:szCs w:val="32"/>
          <w:highlight w:val="none"/>
          <w14:textFill>
            <w14:solidFill>
              <w14:schemeClr w14:val="tx1"/>
            </w14:solidFill>
          </w14:textFill>
        </w:rPr>
        <w:t>一、基本情况</w:t>
      </w:r>
    </w:p>
    <w:p>
      <w:pPr>
        <w:spacing w:line="560" w:lineRule="exact"/>
        <w:ind w:firstLine="643" w:firstLineChars="200"/>
        <w:rPr>
          <w:rFonts w:hint="default" w:ascii="Times New Roman" w:hAnsi="Times New Roman" w:eastAsia="楷体_GB2312" w:cs="Times New Roman"/>
          <w:b/>
          <w:bCs/>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（一）项目概况</w:t>
      </w:r>
    </w:p>
    <w:p>
      <w:pPr>
        <w:spacing w:line="560" w:lineRule="exact"/>
        <w:ind w:firstLine="643" w:firstLineChars="200"/>
        <w:rPr>
          <w:rFonts w:hint="default" w:ascii="Times New Roman" w:hAnsi="Times New Roman" w:eastAsia="仿宋_GB2312" w:cs="Times New Roman"/>
          <w:b/>
          <w:bCs/>
          <w:color w:val="000000" w:themeColor="text1"/>
          <w:sz w:val="32"/>
          <w:szCs w:val="32"/>
          <w:highlight w:val="none"/>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14:textFill>
            <w14:solidFill>
              <w14:schemeClr w14:val="tx1"/>
            </w14:solidFill>
          </w14:textFill>
        </w:rPr>
        <w:t>1</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bCs/>
          <w:color w:val="000000" w:themeColor="text1"/>
          <w:sz w:val="32"/>
          <w:szCs w:val="32"/>
          <w:highlight w:val="none"/>
          <w14:textFill>
            <w14:solidFill>
              <w14:schemeClr w14:val="tx1"/>
            </w14:solidFill>
          </w14:textFill>
        </w:rPr>
        <w:t>项目背景</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随着我国经济的飞速发展及城市现代化进程的不断加快，特别是人类进入21世纪之际，我国城市夜景照明逐渐受到了人们的高度重视。这是因为城市夜间光环境和景观形象成为城市风貌不可分离的一部分，亮丽的城市夜景不仅可以为人们的夜间活动创造一个良好的环境，丰富人们</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的夜生活，而且对繁荣经济、发展旅游业、树立和表现一个城市的夜间形象，营造高尚的文化氛围等有具有十分重要的意义。</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城市亮化工程的社会意义进入新的时代，随着人们的生活水平不断提高，仅仅是照明已经不能满足人类的需求，社会的发展和商业竞争的需要。对城市建筑物和公共空间，如城市广场、商业文化街、旅游景观、纪念性建筑、历史建筑、文化建筑，主要的政府办公建筑以及交通建筑等，设计和实施亮化工程，配以先进的泛光照明设备，展示其夜间丰富多彩、层次清晰、特色鲜明的光形象，建成一些品位高、质量好、与城市形象相适应的光环境场所，可很好的烘托城市中心区域的庄重、亲切、优雅的格调，使城市具有更强的时代感，从而增加城市空间的吸引力，充分表现城市环境文化信息及其建筑美学。所以，利用照明来改善城市夜景观，会对发展城市的旅游观光业、改善居住环境等产生积极的影响，它会给城市带来很大的社会效益。</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库尔勒市市政工程事务中心全市路灯亮化的建设，将加快城市基础设施建设步伐，突出城市本身的特色，为提升城市形象和改善市民的生活环境创造更加优质的条件，具有千分重要的意义和深远的影响。</w:t>
      </w:r>
    </w:p>
    <w:p>
      <w:pPr>
        <w:pStyle w:val="12"/>
        <w:numPr>
          <w:ilvl w:val="0"/>
          <w:numId w:val="0"/>
        </w:numPr>
        <w:spacing w:before="0" w:after="0" w:line="560" w:lineRule="exact"/>
        <w:ind w:firstLine="643" w:firstLineChars="200"/>
        <w:jc w:val="both"/>
        <w:rPr>
          <w:rFonts w:hint="default" w:ascii="Times New Roman" w:hAnsi="Times New Roman" w:eastAsia="仿宋_GB2312" w:cs="Times New Roman"/>
          <w:color w:val="000000" w:themeColor="text1"/>
          <w:kern w:val="2"/>
          <w:highlight w:val="none"/>
          <w14:textFill>
            <w14:solidFill>
              <w14:schemeClr w14:val="tx1"/>
            </w14:solidFill>
          </w14:textFill>
        </w:rPr>
      </w:pPr>
      <w:r>
        <w:rPr>
          <w:rFonts w:hint="default" w:ascii="Times New Roman" w:hAnsi="Times New Roman" w:eastAsia="仿宋_GB2312" w:cs="Times New Roman"/>
          <w:color w:val="000000" w:themeColor="text1"/>
          <w:kern w:val="2"/>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kern w:val="2"/>
          <w:highlight w:val="none"/>
          <w14:textFill>
            <w14:solidFill>
              <w14:schemeClr w14:val="tx1"/>
            </w14:solidFill>
          </w14:textFill>
        </w:rPr>
        <w:t>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项目主要内容：</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为美化城市生活环境，提升城市景观与品质，库尔勒市市政工程事务中心计划为全市路灯、景观灯10万余盏照明工作缴纳电费不少于12次，从而提高城市精细化管理水平，居民照明环境进一步完善。</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项目实施情况：完成全市路灯照明工作。截至12月31日已完成</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路灯亮化经费</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项目缴纳路灯亮化电费10次</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，达到了美</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化城市生活环境，提升城市景观与品质，提高城市精细化管理水平，居民照明环境进一步完善</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w:t>
      </w:r>
    </w:p>
    <w:p>
      <w:pPr>
        <w:spacing w:line="560" w:lineRule="exact"/>
        <w:ind w:firstLine="643" w:firstLineChars="200"/>
        <w:rPr>
          <w:rFonts w:hint="default" w:ascii="Times New Roman" w:hAnsi="Times New Roman" w:eastAsia="仿宋_GB2312" w:cs="Times New Roman"/>
          <w:b/>
          <w:bCs/>
          <w:color w:val="000000" w:themeColor="text1"/>
          <w:sz w:val="32"/>
          <w:szCs w:val="32"/>
          <w:highlight w:val="none"/>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14:textFill>
            <w14:solidFill>
              <w14:schemeClr w14:val="tx1"/>
            </w14:solidFill>
          </w14:textFill>
        </w:rPr>
        <w:t>3</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bCs/>
          <w:color w:val="000000" w:themeColor="text1"/>
          <w:sz w:val="32"/>
          <w:szCs w:val="32"/>
          <w:highlight w:val="none"/>
          <w14:textFill>
            <w14:solidFill>
              <w14:schemeClr w14:val="tx1"/>
            </w14:solidFill>
          </w14:textFill>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（1）资金投入情况</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该项目年初预算数</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900</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万元，全年预算数</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900</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万元，该项目资金已全部落实到位，资金来源为</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财政拨款</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（2）资金使用情况</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该项目年初预算数</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900</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万元，全年预算数</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900</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万元</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全年执行数</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750</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万元，预算执行率为</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83.33</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%，主要用于：</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缴纳电费10次，每月缴纳电费成本75万元/次，本次补助费用成本750万元。</w:t>
      </w:r>
    </w:p>
    <w:p>
      <w:pPr>
        <w:spacing w:line="560" w:lineRule="exact"/>
        <w:ind w:firstLine="643" w:firstLineChars="200"/>
        <w:rPr>
          <w:rFonts w:hint="default" w:ascii="Times New Roman" w:hAnsi="Times New Roman" w:eastAsia="楷体_GB2312" w:cs="Times New Roman"/>
          <w:b/>
          <w:bCs/>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目标1：完成全市路灯、景观灯10万余盏照明工作。缴纳电费不少于12次。</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目标2：通过项目实施，美化了城市生活环境，提升了城市景观与品质，提高了城市精细化管理水平，居民照明环境进一步完善。</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阶段性目标</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库尔勒市市政工程事务中心全市路灯亮化项目保障全市每月路灯、景观灯10万余盏照明正常工作。计划每月缴纳电费1次，每次缴纳75万元。美化城市生活环境，提升城市景观与品质，提高城市精细化管理水平，居民照明环境进一步完善。</w:t>
      </w:r>
    </w:p>
    <w:p>
      <w:pPr>
        <w:spacing w:line="560"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二、绩效评价工作开展情况</w:t>
      </w:r>
    </w:p>
    <w:p>
      <w:pPr>
        <w:spacing w:line="560" w:lineRule="exact"/>
        <w:ind w:firstLine="643" w:firstLineChars="200"/>
        <w:rPr>
          <w:rFonts w:hint="default" w:ascii="Times New Roman" w:hAnsi="Times New Roman" w:eastAsia="楷体_GB2312" w:cs="Times New Roman"/>
          <w:b/>
          <w:bCs/>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1.绩效评价完整性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在数据收集与分析环节，采用了多种科学合理的方法，如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3.绩效评价的对象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本项目预算绩效评价报告的评价对象是部门专项-路灯亮化经费及其预算执行情况。该项目由库尔勒市市政工程事务中心负责实施，旨在</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保障</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全市路灯、景观灯10万余盏照明工作。缴纳电费不少于12次。美化了城市生活环境，提升了城市景观与品质，提高了城市精细化管理水平，居民照明环境进一步完善。项目预算涵盖从从</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2024年1月1日</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至</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2024年12月31日</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的全部资金投入与支出，涉及资金总额为</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900</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4.绩效评价的范围</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项目预算编制与执行：全面审视项目预算的编制依据、合理性、科学性以及实际执行情况，包括预算调整的原因和效果。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资金管理：深入分析项目资金的分配、使用和监管情况，确保资金使用的合规性、高效性和透明度。</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项目实施进度与产出：评估项目是否按照既定计划顺利推进，各项任务是否按时完成，以及项目产出的数量、质量和时效性是否符合预期。</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社会等影响：考察项目对社会等方面的综合影响。</w:t>
      </w:r>
    </w:p>
    <w:p>
      <w:pPr>
        <w:spacing w:line="560" w:lineRule="exact"/>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（二）绩效评价原则、评价指标体系（详情见表1）、评价方法、评价标准。</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1.绩效评价原则</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本次项目绩效评价遵循以下基本原则：</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（1）确定评价指标</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（2）确定权重</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确定各个指标相对于项目总体绩效的权重分值。在绩效评价指标体系中，项目决策权重为20分，项目过程权重为</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20</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分，项目产出权重为40分，项目效益权重为20分。</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（3）确定指标标准值</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绩效评价总分值100分，根据综合评分结果，90（含）-100分为优、80（含）-90分为良、60（含）-80分为中、60分以下为差。</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具体评价指标体系详情见附件1</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3.绩效评价方法</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绩效评价从项目决策、项目过程、项目产出、项目效益四个维度进行评价。评价对象为项目目标实施情况，  评价核心为资金的支出完成情况和项目的产出效益。</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本项目采用</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因素分析法</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，原因是因素分析法可量化分析,得到具体的数值结果。这使得分析结果更加精确和具有说服力，有助于决策这准确把握因素的重要性，为决策提供科学依据。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绩效评价标准通常包括计划标准、行业标准、历史标准等，用于对绩效指标完成情况进行比较、分析、评价。本次评价主要采用了</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计划标准，原因是运用计划标准目标导向明确，可操作性简洁、量化，根据计划的周期进行启动、执行。</w:t>
      </w:r>
    </w:p>
    <w:p>
      <w:pPr>
        <w:pStyle w:val="12"/>
        <w:numPr>
          <w:ilvl w:val="0"/>
          <w:numId w:val="1"/>
        </w:numPr>
        <w:spacing w:before="0" w:after="0" w:line="560" w:lineRule="exact"/>
        <w:ind w:firstLine="711" w:firstLineChars="200"/>
        <w:jc w:val="both"/>
        <w:rPr>
          <w:rFonts w:hint="default" w:ascii="Times New Roman" w:hAnsi="Times New Roman" w:eastAsia="楷体" w:cs="Times New Roman"/>
          <w:color w:val="000000" w:themeColor="text1"/>
          <w:spacing w:val="17"/>
          <w:highlight w:val="none"/>
          <w14:textFill>
            <w14:solidFill>
              <w14:schemeClr w14:val="tx1"/>
            </w14:solidFill>
          </w14:textFill>
        </w:rPr>
      </w:pPr>
      <w:r>
        <w:rPr>
          <w:rFonts w:hint="default" w:ascii="Times New Roman" w:hAnsi="Times New Roman" w:eastAsia="楷体" w:cs="Times New Roman"/>
          <w:color w:val="000000" w:themeColor="text1"/>
          <w:spacing w:val="17"/>
          <w:highlight w:val="none"/>
          <w14:textFill>
            <w14:solidFill>
              <w14:schemeClr w14:val="tx1"/>
            </w14:solidFill>
          </w14:textFill>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在项目绩效评价工作启动之初，</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成立专门的评价工作小组，小组成员由</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（2）指标体系构建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（3）数据收集与整理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广泛收集与项目相关的各类数据，包括财务报表、业务数据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（4）数据分析与评估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（5）报告撰写与反馈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（6）后续跟踪与改进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在评价报告提交后，我们将持续跟踪项目的改进措施落实情况，定期对项目绩效进行复查，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2"/>
        </w:numPr>
        <w:spacing w:line="560"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综合评价情况及评价结论（附相关评分表）</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000000" w:themeColor="text1"/>
          <w:highlight w:val="none"/>
          <w:lang w:val="en-US" w:eastAsia="zh-CN"/>
          <w14:textFill>
            <w14:solidFill>
              <w14:schemeClr w14:val="tx1"/>
            </w14:solidFill>
          </w14:textFill>
        </w:rPr>
      </w:pPr>
      <w:r>
        <w:rPr>
          <w:rFonts w:hint="default" w:ascii="Times New Roman" w:hAnsi="Times New Roman" w:eastAsia="楷体_GB2312" w:cs="Times New Roman"/>
          <w:color w:val="000000" w:themeColor="text1"/>
          <w:highlight w:val="none"/>
          <w:lang w:eastAsia="zh-CN"/>
          <w14:textFill>
            <w14:solidFill>
              <w14:schemeClr w14:val="tx1"/>
            </w14:solidFill>
          </w14:textFill>
        </w:rPr>
        <w:t>（</w:t>
      </w:r>
      <w:r>
        <w:rPr>
          <w:rFonts w:hint="default" w:ascii="Times New Roman" w:hAnsi="Times New Roman" w:eastAsia="楷体_GB2312" w:cs="Times New Roman"/>
          <w:color w:val="000000" w:themeColor="text1"/>
          <w:highlight w:val="none"/>
          <w:lang w:val="en-US" w:eastAsia="zh-CN"/>
          <w14:textFill>
            <w14:solidFill>
              <w14:schemeClr w14:val="tx1"/>
            </w14:solidFill>
          </w14:textFill>
        </w:rPr>
        <w:t>一</w:t>
      </w:r>
      <w:r>
        <w:rPr>
          <w:rFonts w:hint="default" w:ascii="Times New Roman" w:hAnsi="Times New Roman" w:eastAsia="楷体_GB2312" w:cs="Times New Roman"/>
          <w:color w:val="000000" w:themeColor="text1"/>
          <w:highlight w:val="none"/>
          <w:lang w:eastAsia="zh-CN"/>
          <w14:textFill>
            <w14:solidFill>
              <w14:schemeClr w14:val="tx1"/>
            </w14:solidFill>
          </w14:textFill>
        </w:rPr>
        <w:t>）</w:t>
      </w:r>
      <w:r>
        <w:rPr>
          <w:rFonts w:hint="default" w:ascii="Times New Roman" w:hAnsi="Times New Roman" w:eastAsia="楷体_GB2312" w:cs="Times New Roman"/>
          <w:color w:val="000000" w:themeColor="text1"/>
          <w:highlight w:val="none"/>
          <w:lang w:val="en-US" w:eastAsia="zh-CN"/>
          <w14:textFill>
            <w14:solidFill>
              <w14:schemeClr w14:val="tx1"/>
            </w14:solidFill>
          </w14:textFill>
        </w:rPr>
        <w:t>评价情况</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本项目的综合评价基于对项目各方面绩效的深入分析与评估。从项目目标的达成情况来看，部门专项-路灯亮化经费</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保障</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全市路灯、景观灯10万余盏照明工作。美化城市生活环境，提升城市景观与品质，提高城市精细化管理水平等方面表现出色，达到了预期的标准与要求。同时，项目也在</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城市建设</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领域取得了显著的成效，</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如：本项目的实施可以美化库尔勒市市容基础设施。随着库尔勒市的快速发展，城市基础配套设施的建设也要同步推进。不断完善城市照明，保证库尔勒市持续健康的发展，真正成为一带一路重要的交通枢纽中心。</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在项目管理方面，部门专项-路灯亮化经费通过有效的规划、组织与协调，项目得以顺利实施，并在预算与时间上保持了良好的控制。</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从项目效益的角度来看，本项目不仅实现了预期的社会效益等方面产生了积极的影响。具体而言，</w:t>
      </w:r>
      <w:r>
        <w:rPr>
          <w:rFonts w:hint="eastAsia"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本项目的实施不仅可以为人们的夜间活动创造一个良好的环境，丰富人们的夜生活，而且对繁荣经济、发展旅游业、树立和表现一个城市的夜间形象，营造高尚的文化氛围</w:t>
      </w: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方面的提升，为项目的利益相关者带来了实实在在的利益。</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1"/>
          <w:szCs w:val="31"/>
          <w:highlight w:val="none"/>
          <w:lang w:val="en-US" w:eastAsia="zh-CN"/>
          <w14:textFill>
            <w14:solidFill>
              <w14:schemeClr w14:val="tx1"/>
            </w14:solidFill>
          </w14:textFill>
        </w:rPr>
        <w:t>综上所述，部门专项-路灯亮化经费在绩效评价中表现出色，达到了项目的预期目标，并在多个方面取得了显著的成效。</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000000" w:themeColor="text1"/>
          <w:highlight w:val="none"/>
          <w:lang w:val="en-US" w:eastAsia="zh-CN"/>
          <w14:textFill>
            <w14:solidFill>
              <w14:schemeClr w14:val="tx1"/>
            </w14:solidFill>
          </w14:textFill>
        </w:rPr>
      </w:pPr>
      <w:r>
        <w:rPr>
          <w:rFonts w:hint="default" w:ascii="Times New Roman" w:hAnsi="Times New Roman" w:eastAsia="楷体_GB2312" w:cs="Times New Roman"/>
          <w:color w:val="000000" w:themeColor="text1"/>
          <w:highlight w:val="none"/>
          <w:lang w:eastAsia="zh-CN"/>
          <w14:textFill>
            <w14:solidFill>
              <w14:schemeClr w14:val="tx1"/>
            </w14:solidFill>
          </w14:textFill>
        </w:rPr>
        <w:t>（</w:t>
      </w:r>
      <w:r>
        <w:rPr>
          <w:rFonts w:hint="default" w:ascii="Times New Roman" w:hAnsi="Times New Roman" w:eastAsia="楷体_GB2312" w:cs="Times New Roman"/>
          <w:color w:val="000000" w:themeColor="text1"/>
          <w:highlight w:val="none"/>
          <w:lang w:val="en-US" w:eastAsia="zh-CN"/>
          <w14:textFill>
            <w14:solidFill>
              <w14:schemeClr w14:val="tx1"/>
            </w14:solidFill>
          </w14:textFill>
        </w:rPr>
        <w:t>二</w:t>
      </w:r>
      <w:r>
        <w:rPr>
          <w:rFonts w:hint="default" w:ascii="Times New Roman" w:hAnsi="Times New Roman" w:eastAsia="楷体_GB2312" w:cs="Times New Roman"/>
          <w:color w:val="000000" w:themeColor="text1"/>
          <w:highlight w:val="none"/>
          <w:lang w:eastAsia="zh-CN"/>
          <w14:textFill>
            <w14:solidFill>
              <w14:schemeClr w14:val="tx1"/>
            </w14:solidFill>
          </w14:textFill>
        </w:rPr>
        <w:t>）</w:t>
      </w:r>
      <w:r>
        <w:rPr>
          <w:rFonts w:hint="default" w:ascii="Times New Roman" w:hAnsi="Times New Roman" w:eastAsia="楷体_GB2312" w:cs="Times New Roman"/>
          <w:color w:val="000000" w:themeColor="text1"/>
          <w:highlight w:val="none"/>
          <w:lang w:val="en-US" w:eastAsia="zh-CN"/>
          <w14:textFill>
            <w14:solidFill>
              <w14:schemeClr w14:val="tx1"/>
            </w14:solidFill>
          </w14:textFill>
        </w:rPr>
        <w:t>评价结论</w:t>
      </w:r>
    </w:p>
    <w:p>
      <w:pPr>
        <w:pStyle w:val="12"/>
        <w:widowControl w:val="0"/>
        <w:spacing w:before="0" w:after="0" w:line="560" w:lineRule="exact"/>
        <w:ind w:firstLine="620" w:firstLineChars="200"/>
        <w:jc w:val="both"/>
        <w:outlineLvl w:val="9"/>
        <w:rPr>
          <w:rFonts w:hint="default" w:ascii="Times New Roman" w:hAnsi="Times New Roman" w:eastAsia="仿宋_GB2312" w:cs="Times New Roman"/>
          <w:b w:val="0"/>
          <w:bCs w:val="0"/>
          <w:color w:val="000000" w:themeColor="text1"/>
          <w:highlight w:val="none"/>
          <w:lang w:eastAsia="zh-CN"/>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91.52</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分，属于“优”。其中，项目决策类指标权重为20分，得分为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 xml:space="preserve">分，得分率为 </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%。项目过程类指标权重为20分，得分为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19.33</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 xml:space="preserve">分，得分率为 </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96.65</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%。项目产出类指标权重为40分，得分为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32.19</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分，得分率为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80.48</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%。项目效益类指标权重为20分，得分为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分，得分率为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%。具体打分情况详见：附件1综合评分表。</w:t>
      </w: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000000" w:themeColor="text1"/>
          <w:sz w:val="21"/>
          <w:szCs w:val="21"/>
          <w:highlight w:val="none"/>
          <w14:textFill>
            <w14:solidFill>
              <w14:schemeClr w14:val="tx1"/>
            </w14:solidFill>
          </w14:textFill>
        </w:rPr>
      </w:pP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000000" w:themeColor="text1"/>
          <w:sz w:val="21"/>
          <w:szCs w:val="21"/>
          <w:highlight w:val="none"/>
          <w14:textFill>
            <w14:solidFill>
              <w14:schemeClr w14:val="tx1"/>
            </w14:solidFill>
          </w14:textFill>
        </w:rPr>
      </w:pP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000000" w:themeColor="text1"/>
          <w:sz w:val="21"/>
          <w:szCs w:val="21"/>
          <w:highlight w:val="none"/>
          <w14:textFill>
            <w14:solidFill>
              <w14:schemeClr w14:val="tx1"/>
            </w14:solidFill>
          </w14:textFill>
        </w:rPr>
      </w:pP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000000" w:themeColor="text1"/>
          <w:sz w:val="21"/>
          <w:szCs w:val="21"/>
          <w:highlight w:val="none"/>
          <w14:textFill>
            <w14:solidFill>
              <w14:schemeClr w14:val="tx1"/>
            </w14:solidFill>
          </w14:textFill>
        </w:rPr>
      </w:pP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000000" w:themeColor="text1"/>
          <w:sz w:val="21"/>
          <w:szCs w:val="21"/>
          <w:highlight w:val="none"/>
          <w14:textFill>
            <w14:solidFill>
              <w14:schemeClr w14:val="tx1"/>
            </w14:solidFill>
          </w14:textFill>
        </w:rPr>
      </w:pP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000000" w:themeColor="text1"/>
          <w:sz w:val="21"/>
          <w:szCs w:val="21"/>
          <w:highlight w:val="none"/>
          <w14:textFill>
            <w14:solidFill>
              <w14:schemeClr w14:val="tx1"/>
            </w14:solidFill>
          </w14:textFill>
        </w:rPr>
      </w:pP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000000" w:themeColor="text1"/>
          <w:sz w:val="21"/>
          <w:szCs w:val="21"/>
          <w:highlight w:val="none"/>
          <w14:textFill>
            <w14:solidFill>
              <w14:schemeClr w14:val="tx1"/>
            </w14:solidFill>
          </w14:textFill>
        </w:rPr>
      </w:pP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21"/>
          <w:szCs w:val="21"/>
          <w:highlight w:val="none"/>
          <w14:textFill>
            <w14:solidFill>
              <w14:schemeClr w14:val="tx1"/>
            </w14:solidFill>
          </w14:textFill>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pPr>
            <w: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pPr>
            <w: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pPr>
            <w: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21"/>
                <w:szCs w:val="21"/>
                <w:highlight w:val="none"/>
                <w14:textFill>
                  <w14:solidFill>
                    <w14:schemeClr w14:val="tx1"/>
                  </w14:solidFill>
                </w14:textFill>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eastAsia" w:eastAsia="仿宋_GB2312" w:cs="Times New Roman"/>
                <w:color w:val="000000" w:themeColor="text1"/>
                <w:sz w:val="21"/>
                <w:szCs w:val="21"/>
                <w:highlight w:val="none"/>
                <w:lang w:val="en-US" w:eastAsia="zh-CN"/>
                <w14:textFill>
                  <w14:solidFill>
                    <w14:schemeClr w14:val="tx1"/>
                  </w14:solidFill>
                </w14:textFill>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21"/>
                <w:szCs w:val="21"/>
                <w:highlight w:val="none"/>
                <w14:textFill>
                  <w14:solidFill>
                    <w14:schemeClr w14:val="tx1"/>
                  </w14:solidFill>
                </w14:textFill>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eastAsia" w:eastAsia="仿宋_GB2312" w:cs="Times New Roman"/>
                <w:color w:val="000000" w:themeColor="text1"/>
                <w:sz w:val="21"/>
                <w:szCs w:val="21"/>
                <w:highlight w:val="none"/>
                <w:lang w:val="en-US" w:eastAsia="zh-CN"/>
                <w14:textFill>
                  <w14:solidFill>
                    <w14:schemeClr w14:val="tx1"/>
                  </w14:solidFill>
                </w14:textFill>
              </w:rPr>
              <w:t>19.33</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21"/>
                <w:szCs w:val="21"/>
                <w:highlight w:val="none"/>
                <w14:textFill>
                  <w14:solidFill>
                    <w14:schemeClr w14:val="tx1"/>
                  </w14:solidFill>
                </w14:textFill>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eastAsia" w:eastAsia="仿宋_GB2312" w:cs="Times New Roman"/>
                <w:color w:val="000000" w:themeColor="text1"/>
                <w:sz w:val="21"/>
                <w:szCs w:val="21"/>
                <w:highlight w:val="none"/>
                <w:lang w:val="en-US" w:eastAsia="zh-CN"/>
                <w14:textFill>
                  <w14:solidFill>
                    <w14:schemeClr w14:val="tx1"/>
                  </w14:solidFill>
                </w14:textFill>
              </w:rPr>
              <w:t>32.19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21"/>
                <w:szCs w:val="21"/>
                <w:highlight w:val="none"/>
                <w14:textFill>
                  <w14:solidFill>
                    <w14:schemeClr w14:val="tx1"/>
                  </w14:solidFill>
                </w14:textFill>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eastAsia" w:eastAsia="仿宋_GB2312" w:cs="Times New Roman"/>
                <w:color w:val="000000" w:themeColor="text1"/>
                <w:sz w:val="21"/>
                <w:szCs w:val="21"/>
                <w:highlight w:val="none"/>
                <w:lang w:val="en-US" w:eastAsia="zh-CN"/>
                <w14:textFill>
                  <w14:solidFill>
                    <w14:schemeClr w14:val="tx1"/>
                  </w14:solidFill>
                </w14:textFill>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pPr>
            <w: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21"/>
                <w:szCs w:val="21"/>
                <w:highlight w:val="none"/>
                <w:lang w:val="en-US" w:eastAsia="zh-CN"/>
                <w14:textFill>
                  <w14:solidFill>
                    <w14:schemeClr w14:val="tx1"/>
                  </w14:solidFill>
                </w14:textFill>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themeColor="text1"/>
                <w:sz w:val="21"/>
                <w:szCs w:val="21"/>
                <w:highlight w:val="none"/>
                <w:lang w:val="en-US" w:eastAsia="zh-CN"/>
                <w14:textFill>
                  <w14:solidFill>
                    <w14:schemeClr w14:val="tx1"/>
                  </w14:solidFill>
                </w14:textFill>
              </w:rPr>
            </w:pPr>
            <w:r>
              <w:rPr>
                <w:rFonts w:hint="eastAsia" w:eastAsia="仿宋_GB2312" w:cs="Times New Roman"/>
                <w:b/>
                <w:bCs/>
                <w:color w:val="000000" w:themeColor="text1"/>
                <w:sz w:val="21"/>
                <w:szCs w:val="21"/>
                <w:highlight w:val="none"/>
                <w:lang w:val="en-US" w:eastAsia="zh-CN"/>
                <w14:textFill>
                  <w14:solidFill>
                    <w14:schemeClr w14:val="tx1"/>
                  </w14:solidFill>
                </w14:textFill>
              </w:rPr>
              <w:t>91.52</w:t>
            </w:r>
          </w:p>
        </w:tc>
      </w:tr>
    </w:tbl>
    <w:p>
      <w:pPr>
        <w:spacing w:line="560"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四、绩效评价指标分析</w:t>
      </w:r>
    </w:p>
    <w:p>
      <w:pPr>
        <w:pStyle w:val="12"/>
        <w:spacing w:before="0" w:after="0" w:line="560" w:lineRule="exact"/>
        <w:ind w:firstLine="643" w:firstLineChars="200"/>
        <w:jc w:val="both"/>
        <w:rPr>
          <w:rFonts w:hint="default" w:ascii="Times New Roman" w:hAnsi="Times New Roman" w:eastAsia="楷体_GB2312" w:cs="Times New Roman"/>
          <w:color w:val="000000" w:themeColor="text1"/>
          <w:highlight w:val="none"/>
          <w14:textFill>
            <w14:solidFill>
              <w14:schemeClr w14:val="tx1"/>
            </w14:solidFill>
          </w14:textFill>
        </w:rPr>
      </w:pPr>
      <w:r>
        <w:rPr>
          <w:rFonts w:hint="default" w:ascii="Times New Roman" w:hAnsi="Times New Roman" w:eastAsia="楷体_GB2312" w:cs="Times New Roman"/>
          <w:color w:val="000000" w:themeColor="text1"/>
          <w:highlight w:val="none"/>
          <w14:textFill>
            <w14:solidFill>
              <w14:schemeClr w14:val="tx1"/>
            </w14:solidFill>
          </w14:textFill>
        </w:rPr>
        <w:t>（一）项目决策情况</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项目决策类指标包括项目立项、绩效目标和资金投入三方面的内容，由</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6</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个三级指标构成，权重分值为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分，实际得分</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分，得分率为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1.项目立项</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（1）立项依据充分性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该项目立项符合</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《中华人民共和国电力法》、《城市道路照明设施运行维护技术标准》、节能减排与绿色照明等国家相关法律法规及发展政策</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此项权重分值为3分，得分为3分。</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（2）立项程序规范性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项目申请、设立过程符合相关要求，</w:t>
      </w:r>
      <w:r>
        <w:rPr>
          <w:rFonts w:hint="default" w:ascii="Times New Roman" w:hAnsi="Times New Roman" w:eastAsia="方正仿宋_GBK" w:cs="Times New Roman"/>
          <w:b w:val="0"/>
          <w:bCs/>
          <w:color w:val="000000" w:themeColor="text1"/>
          <w:kern w:val="2"/>
          <w:sz w:val="31"/>
          <w:szCs w:val="31"/>
          <w:highlight w:val="none"/>
          <w:lang w:val="en-US" w:eastAsia="zh-Hans" w:bidi="ar-SA"/>
          <w14:textFill>
            <w14:solidFill>
              <w14:schemeClr w14:val="tx1"/>
            </w14:solidFill>
          </w14:textFill>
        </w:rPr>
        <w:t>严格按照审批流程准备符合要求的文件、材料；</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2.绩效目标</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（1）绩效目标合理性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Hans" w:bidi="ar-SA"/>
          <w14:textFill>
            <w14:solidFill>
              <w14:schemeClr w14:val="tx1"/>
            </w14:solidFill>
          </w14:textFill>
        </w:rPr>
        <w:t>年初结合实际工作内容</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设定绩效目标</w:t>
      </w:r>
      <w:r>
        <w:rPr>
          <w:rFonts w:hint="default" w:ascii="Times New Roman" w:hAnsi="Times New Roman" w:eastAsia="方正仿宋_GBK" w:cs="Times New Roman"/>
          <w:b w:val="0"/>
          <w:bCs/>
          <w:color w:val="000000" w:themeColor="text1"/>
          <w:kern w:val="2"/>
          <w:sz w:val="31"/>
          <w:szCs w:val="31"/>
          <w:highlight w:val="none"/>
          <w:lang w:val="en-US" w:eastAsia="zh-Hans" w:bidi="ar-SA"/>
          <w14:textFill>
            <w14:solidFill>
              <w14:schemeClr w14:val="tx1"/>
            </w14:solidFill>
          </w14:textFill>
        </w:rPr>
        <w:t>，绩效目标</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此项权重分值为3分，得分为3分。</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（2）绩效指标明确性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3.资金投入</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（1）预算编制科学性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此项权重分值为4分，得分为4分。</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（2）资金分配合理性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此项权重分值为4分，得分为4分。</w:t>
      </w:r>
    </w:p>
    <w:p>
      <w:pPr>
        <w:pStyle w:val="12"/>
        <w:numPr>
          <w:ilvl w:val="0"/>
          <w:numId w:val="3"/>
        </w:numPr>
        <w:spacing w:before="0" w:after="0" w:line="560" w:lineRule="exact"/>
        <w:ind w:firstLine="643" w:firstLineChars="200"/>
        <w:jc w:val="both"/>
        <w:rPr>
          <w:rFonts w:hint="default" w:ascii="Times New Roman" w:hAnsi="Times New Roman" w:eastAsia="楷体" w:cs="Times New Roman"/>
          <w:color w:val="000000" w:themeColor="text1"/>
          <w:highlight w:val="none"/>
          <w14:textFill>
            <w14:solidFill>
              <w14:schemeClr w14:val="tx1"/>
            </w14:solidFill>
          </w14:textFill>
        </w:rPr>
      </w:pPr>
      <w:r>
        <w:rPr>
          <w:rFonts w:hint="default" w:ascii="Times New Roman" w:hAnsi="Times New Roman" w:eastAsia="楷体" w:cs="Times New Roman"/>
          <w:color w:val="000000" w:themeColor="text1"/>
          <w:highlight w:val="none"/>
          <w14:textFill>
            <w14:solidFill>
              <w14:schemeClr w14:val="tx1"/>
            </w14:solidFill>
          </w14:textFill>
        </w:rPr>
        <w:t>项目过程情况</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项目过程类指标包括资金管理和组织实施两方面的内容，由5个三级指标构成，权重分值为20分，实际得分</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19.33</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分，得分率为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96.65</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1.资金管理</w:t>
      </w:r>
    </w:p>
    <w:p>
      <w:pPr>
        <w:shd w:val="clear"/>
        <w:spacing w:line="600" w:lineRule="exact"/>
        <w:ind w:firstLine="640" w:firstLineChars="200"/>
        <w:outlineLvl w:val="0"/>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（1）资金到位率</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本项目总投资</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900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万元，财政资金及时足额到位</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900万元</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，到位率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%，预算资金按计划进度执行。</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此项权重分值为4分，得分为4分。</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（2）预算执行率</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预算编制较为详细，项目资金支出总体能够按照预算执行，预算资金支出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750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万元，预算执行率为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83.33</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此项权重分值为4分，得分为3.33分。</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（3）资金使用合规性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本项目的资金使用严格遵循了</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《中华人民共和国预算法》、《中华人民共和国会计法》《库尔勒市市政工程事务中心财务制度》</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确保了资金的合规性与安全性。在资金使用过程中，我们建立了完善的财务管理体系，对资金的流动进行了全程监控与记录。</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hd w:val="clear"/>
        <w:spacing w:line="600" w:lineRule="exact"/>
        <w:ind w:firstLine="620" w:firstLineChars="200"/>
        <w:outlineLvl w:val="0"/>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此项权重分值为4分，得分为4分。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2.组织实施</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（1）管理制度健全性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本项目拥有</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《路灯巡查制度》《路灯微机监控值班制度》《路灯安全制度》等管理</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制度体系，为项目的成功实施提供了坚实的制度保障。项目管理制度的制定紧密结合了项目的特点与实际情况，涵盖了项目的策划、组织、实施、监控与收尾等各个环节。</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在制度设计上，我们注重了制度的科学性与可操作性，确保制度能够切实指导项目的执行与管理。</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此项权重分值为4分，得分为4分。</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（2）制度执行有效性</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在具体执行过程中，项目团队成员严格按照制度要求进行操作。同时，我们还建立了有效的沟通机制与反馈机制，确保项目信息的及时传递与问题的及时解决，进一步提高了制度执行的效率与效果。</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综上所述，本项目的管理制度在执行过程中表现出了高度的有效性，既确保了项目的顺利进行，又实现了项目目标的有效达成。</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此项权重分值为4分，得分为4分。</w:t>
      </w:r>
    </w:p>
    <w:p>
      <w:pPr>
        <w:pStyle w:val="14"/>
        <w:numPr>
          <w:ilvl w:val="0"/>
          <w:numId w:val="3"/>
        </w:numPr>
        <w:spacing w:line="560" w:lineRule="exact"/>
        <w:ind w:firstLine="643"/>
        <w:rPr>
          <w:rFonts w:hint="default" w:ascii="Times New Roman" w:hAnsi="Times New Roman" w:eastAsia="楷体_GB2312" w:cs="Times New Roman"/>
          <w:b/>
          <w:bCs/>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项目产出</w:t>
      </w: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情况</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项目产出类指标包括产出数量、产出质量、产出时效、产出成本四方面的内容，由</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6</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个三级指标构成，权重分为40分，实际得分</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32.19</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分，得分率为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80.48</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%。具体产出指标完成情况如下：</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begin"/>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instrText xml:space="preserve"> = 1 \* GB3 </w:instrTex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separate"/>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①</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end"/>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数量指标：</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指标1：保障路灯、景观灯数量，指标值：&gt;=10万盏</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实际完成值：10.97万盏，指标完成率109.7%，偏差原因：城市设施路灯增加。整改措施：对景观灯、路灯精准统计。</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：缴纳电费次数，指标值：&gt;=12次，实际完成值：10次，指标完成率83.33%，偏差原因：缴纳10次已完成保障全年的亮化工作。整改措施：年初精准预算。</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begin"/>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instrText xml:space="preserve"> = 2 \* GB3 </w:instrTex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separate"/>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②</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end"/>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质量指标：</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：路灯、景观灯正常照明率，指标值：&gt;=96% ，实际完成值：96%，指标完成率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begin"/>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instrText xml:space="preserve"> = 3 \* GB3 </w:instrTex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separate"/>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③</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end"/>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时效指标：</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：资金支付及时性，指标值：</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 ，实际完成值：</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%，指标完成率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begin"/>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instrText xml:space="preserve"> = 4 \* GB3 </w:instrTex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separate"/>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④</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fldChar w:fldCharType="end"/>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成本指标：</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：每月缴纳电费成本，指标值：&lt;=75万元/次 ，实际完成值：75万元/次 ，指标完成率100%</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：本次补助费用成本，指标值：&lt;=900万元，实际完成值：750万元，指标完成率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83.33</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%，偏差原因：缴纳10次已完成保障全年的亮化工作。整改措施：年初精准预算</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此项权重分值为40分，得分为32.19分。</w:t>
      </w:r>
    </w:p>
    <w:p>
      <w:pPr>
        <w:pStyle w:val="14"/>
        <w:numPr>
          <w:ilvl w:val="0"/>
          <w:numId w:val="3"/>
        </w:numPr>
        <w:spacing w:line="560" w:lineRule="exact"/>
        <w:ind w:firstLine="643"/>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项目效益情况</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项目效益类指标包括项目实施效益和满意度两方面的内容，由</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个三级指标构成，权重分为20分，实际得分</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分，得分率为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%。具体效益指标及满意度指标完成情况如下：</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1.实施效益</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社会效益指标：</w:t>
      </w:r>
    </w:p>
    <w:p>
      <w:pPr>
        <w:shd w:val="clear"/>
        <w:spacing w:line="600" w:lineRule="exact"/>
        <w:ind w:firstLine="620" w:firstLineChars="200"/>
        <w:outlineLvl w:val="0"/>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指标1：有效改善居民照明环境率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指标值：=20% ，实际完成值：</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%，指标完成率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shd w:val="clear"/>
        <w:spacing w:line="600" w:lineRule="exact"/>
        <w:ind w:firstLine="620" w:firstLineChars="200"/>
        <w:outlineLvl w:val="0"/>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满意度</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shd w:val="clear"/>
        <w:spacing w:line="600" w:lineRule="exact"/>
        <w:ind w:firstLine="620" w:firstLineChars="200"/>
        <w:outlineLvl w:val="0"/>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指标1：群众满意度</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指标值：&gt;=96%，实际完成值：</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96</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%，指标完成率</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此项权重分值为20分，得分为20分。</w:t>
      </w:r>
    </w:p>
    <w:p>
      <w:pPr>
        <w:spacing w:line="560" w:lineRule="exact"/>
        <w:ind w:firstLine="643" w:firstLineChars="200"/>
        <w:rPr>
          <w:rFonts w:hint="default" w:ascii="Times New Roman" w:hAnsi="Times New Roman" w:eastAsia="楷体_GB2312" w:cs="Times New Roman"/>
          <w:b/>
          <w:bCs/>
          <w:color w:val="000000" w:themeColor="text1"/>
          <w:sz w:val="32"/>
          <w:szCs w:val="32"/>
          <w:highlight w:val="none"/>
          <w:lang w:val="en-US" w:eastAsia="zh-Hans"/>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（五）</w:t>
      </w:r>
      <w:r>
        <w:rPr>
          <w:rFonts w:hint="default" w:ascii="Times New Roman" w:hAnsi="Times New Roman" w:eastAsia="楷体_GB2312" w:cs="Times New Roman"/>
          <w:b/>
          <w:bCs/>
          <w:color w:val="000000" w:themeColor="text1"/>
          <w:sz w:val="32"/>
          <w:szCs w:val="32"/>
          <w:highlight w:val="none"/>
          <w:lang w:val="en-US" w:eastAsia="zh-Hans"/>
          <w14:textFill>
            <w14:solidFill>
              <w14:schemeClr w14:val="tx1"/>
            </w14:solidFill>
          </w14:textFill>
        </w:rPr>
        <w:t>预算执行进度与绩效指标总体完成率偏差</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部门专项-路灯亮化经费项目年初预算</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900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万元，全年预算</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900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万元，实际支出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750</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万元，预算执行率为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83.33</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%，项目绩效指标总体完成率为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97.05</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r>
        <w:rPr>
          <w:rFonts w:hint="default" w:ascii="Times New Roman" w:hAnsi="Times New Roman" w:eastAsia="方正仿宋_GBK" w:cs="Times New Roman"/>
          <w:b w:val="0"/>
          <w:bCs/>
          <w:color w:val="000000" w:themeColor="text1"/>
          <w:kern w:val="2"/>
          <w:sz w:val="31"/>
          <w:szCs w:val="31"/>
          <w:highlight w:val="none"/>
          <w:lang w:val="en-US" w:eastAsia="zh-Hans" w:bidi="ar-SA"/>
          <w14:textFill>
            <w14:solidFill>
              <w14:schemeClr w14:val="tx1"/>
            </w14:solidFill>
          </w14:textFill>
        </w:rPr>
        <w:t>总体</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偏差率为</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13.72</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r>
        <w:rPr>
          <w:rFonts w:hint="default" w:ascii="Times New Roman" w:hAnsi="Times New Roman" w:eastAsia="方正仿宋_GBK" w:cs="Times New Roman"/>
          <w:b w:val="0"/>
          <w:bCs/>
          <w:color w:val="000000" w:themeColor="text1"/>
          <w:kern w:val="2"/>
          <w:sz w:val="31"/>
          <w:szCs w:val="31"/>
          <w:highlight w:val="none"/>
          <w:lang w:val="en-US" w:eastAsia="zh-Hans" w:bidi="ar-SA"/>
          <w14:textFill>
            <w14:solidFill>
              <w14:schemeClr w14:val="tx1"/>
            </w14:solidFill>
          </w14:textFill>
        </w:rPr>
        <w:t>偏差</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原因：城市设施路灯增加。</w:t>
      </w:r>
      <w:r>
        <w:rPr>
          <w:rFonts w:hint="default" w:ascii="Times New Roman" w:hAnsi="Times New Roman" w:eastAsia="方正仿宋_GBK" w:cs="Times New Roman"/>
          <w:b w:val="0"/>
          <w:bCs/>
          <w:color w:val="000000" w:themeColor="text1"/>
          <w:kern w:val="2"/>
          <w:sz w:val="31"/>
          <w:szCs w:val="31"/>
          <w:highlight w:val="none"/>
          <w:lang w:val="en-US" w:eastAsia="zh-Hans" w:bidi="ar-SA"/>
          <w14:textFill>
            <w14:solidFill>
              <w14:schemeClr w14:val="tx1"/>
            </w14:solidFill>
          </w14:textFill>
        </w:rPr>
        <w:t>改进</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措施：对景观灯、路灯精准统计。</w:t>
      </w:r>
    </w:p>
    <w:p>
      <w:pPr>
        <w:spacing w:line="560" w:lineRule="exact"/>
        <w:ind w:firstLine="640" w:firstLineChars="200"/>
        <w:rPr>
          <w:rStyle w:val="20"/>
          <w:rFonts w:hint="default" w:ascii="Times New Roman" w:hAnsi="Times New Roman" w:cs="Times New Roman"/>
          <w:color w:val="000000" w:themeColor="text1"/>
          <w:highlight w:val="none"/>
          <w14:textFill>
            <w14:solidFill>
              <w14:schemeClr w14:val="tx1"/>
            </w14:solidFill>
          </w14:textFill>
        </w:rPr>
      </w:pPr>
      <w:r>
        <w:rPr>
          <w:rFonts w:hint="eastAsia" w:eastAsia="黑体" w:cs="Times New Roman"/>
          <w:color w:val="000000" w:themeColor="text1"/>
          <w:sz w:val="32"/>
          <w:szCs w:val="32"/>
          <w:highlight w:val="none"/>
          <w:lang w:val="en-US" w:eastAsia="zh-CN"/>
          <w14:textFill>
            <w14:solidFill>
              <w14:schemeClr w14:val="tx1"/>
            </w14:solidFill>
          </w14:textFill>
        </w:rPr>
        <w:t>五</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w:t>
      </w:r>
      <w:r>
        <w:rPr>
          <w:rFonts w:hint="default" w:ascii="Times New Roman" w:hAnsi="Times New Roman" w:eastAsia="黑体" w:cs="Times New Roman"/>
          <w:color w:val="000000" w:themeColor="text1"/>
          <w:sz w:val="32"/>
          <w:szCs w:val="32"/>
          <w:highlight w:val="none"/>
          <w14:textFill>
            <w14:solidFill>
              <w14:schemeClr w14:val="tx1"/>
            </w14:solidFill>
          </w14:textFill>
        </w:rPr>
        <w:t>主要经验及做法、存在的问题及原因分析</w:t>
      </w:r>
    </w:p>
    <w:p>
      <w:pPr>
        <w:spacing w:line="560" w:lineRule="exact"/>
        <w:ind w:firstLine="627" w:firstLineChars="200"/>
        <w:rPr>
          <w:rFonts w:hint="default" w:ascii="Times New Roman" w:hAnsi="Times New Roman" w:eastAsia="楷体" w:cs="Times New Roman"/>
          <w:b/>
          <w:color w:val="000000" w:themeColor="text1"/>
          <w:spacing w:val="-4"/>
          <w:sz w:val="32"/>
          <w:szCs w:val="32"/>
          <w:highlight w:val="none"/>
          <w14:textFill>
            <w14:solidFill>
              <w14:schemeClr w14:val="tx1"/>
            </w14:solidFill>
          </w14:textFill>
        </w:rPr>
      </w:pPr>
      <w:r>
        <w:rPr>
          <w:rFonts w:hint="default" w:ascii="Times New Roman" w:hAnsi="Times New Roman" w:eastAsia="楷体" w:cs="Times New Roman"/>
          <w:b/>
          <w:color w:val="000000" w:themeColor="text1"/>
          <w:spacing w:val="-4"/>
          <w:sz w:val="32"/>
          <w:szCs w:val="32"/>
          <w:highlight w:val="none"/>
          <w14:textFill>
            <w14:solidFill>
              <w14:schemeClr w14:val="tx1"/>
            </w14:solidFill>
          </w14:textFill>
        </w:rPr>
        <w:t>（一）主要经验及做法</w:t>
      </w:r>
    </w:p>
    <w:p>
      <w:pPr>
        <w:shd w:val="clear"/>
        <w:spacing w:line="600" w:lineRule="exact"/>
        <w:ind w:firstLine="620" w:firstLineChars="200"/>
        <w:outlineLvl w:val="0"/>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一是高度重视。高度重视财政绩效评价工作，积极加强部门之间沟通协调，在总结以往工作经验的基础上，按照财政局通知要求认真开展绩效自评工作。</w:t>
      </w:r>
    </w:p>
    <w:p>
      <w:pPr>
        <w:shd w:val="clear"/>
        <w:spacing w:line="600" w:lineRule="exact"/>
        <w:ind w:firstLine="620" w:firstLineChars="200"/>
        <w:outlineLvl w:val="0"/>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 xml:space="preserve"> 二是明确责任。明确了绩效自评工作责任分工和完成时限，并提出了具体要求。</w:t>
      </w:r>
    </w:p>
    <w:p>
      <w:pPr>
        <w:shd w:val="clear"/>
        <w:spacing w:line="600" w:lineRule="exact"/>
        <w:ind w:firstLine="620" w:firstLineChars="200"/>
        <w:outlineLvl w:val="0"/>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三是严格监督和管理项目资金。严格按照绩效目标实施，按时支付路灯电费，按路灯所资金申请表支付资金，每笔路灯电费的支付按照申请部门及分管领导，主管领导审批等程序进行。</w:t>
      </w:r>
    </w:p>
    <w:p>
      <w:pPr>
        <w:pStyle w:val="2"/>
        <w:rPr>
          <w:rFonts w:hint="eastAsia"/>
          <w:color w:val="000000" w:themeColor="text1"/>
          <w:highlight w:val="none"/>
          <w14:textFill>
            <w14:solidFill>
              <w14:schemeClr w14:val="tx1"/>
            </w14:solidFill>
          </w14:textFill>
        </w:rPr>
      </w:pPr>
    </w:p>
    <w:p>
      <w:pPr>
        <w:pStyle w:val="2"/>
        <w:rPr>
          <w:rFonts w:hint="default" w:eastAsia="仿宋"/>
          <w:color w:val="000000" w:themeColor="text1"/>
          <w:highlight w:val="none"/>
          <w:lang w:val="en-US" w:eastAsia="zh-CN"/>
          <w14:textFill>
            <w14:solidFill>
              <w14:schemeClr w14:val="tx1"/>
            </w14:solidFill>
          </w14:textFill>
        </w:rPr>
      </w:pPr>
    </w:p>
    <w:p>
      <w:pPr>
        <w:keepNext/>
        <w:keepLines/>
        <w:numPr>
          <w:ilvl w:val="0"/>
          <w:numId w:val="4"/>
        </w:numPr>
        <w:spacing w:line="560" w:lineRule="exact"/>
        <w:ind w:left="-13" w:leftChars="0" w:firstLine="643" w:firstLineChars="0"/>
        <w:rPr>
          <w:rFonts w:hint="default" w:ascii="Times New Roman" w:hAnsi="Times New Roman" w:eastAsia="楷体_GB2312" w:cs="Times New Roman"/>
          <w:b/>
          <w:bCs/>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存在的问题及原因分析</w:t>
      </w:r>
    </w:p>
    <w:p>
      <w:pPr>
        <w:shd w:val="clear"/>
        <w:spacing w:line="600" w:lineRule="exact"/>
        <w:ind w:firstLine="620" w:firstLineChars="200"/>
        <w:outlineLvl w:val="0"/>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一是路灯设备老化：部分路灯使用年限过大，灯具、线路等设备老化影响照明效果，还可能因设备故障导致电力损耗增加，间接推高电费成本。</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二是每年随着城市的不断扩容，市政设施路灯盏数也在不断增加，电费成本随之增高。</w:t>
      </w:r>
    </w:p>
    <w:p>
      <w:pPr>
        <w:spacing w:line="560" w:lineRule="exact"/>
        <w:ind w:firstLine="627" w:firstLineChars="200"/>
        <w:rPr>
          <w:rFonts w:hint="default" w:ascii="Times New Roman" w:hAnsi="Times New Roman" w:eastAsia="楷体" w:cs="Times New Roman"/>
          <w:b/>
          <w:color w:val="000000" w:themeColor="text1"/>
          <w:spacing w:val="-4"/>
          <w:sz w:val="32"/>
          <w:szCs w:val="32"/>
          <w:highlight w:val="none"/>
          <w:lang w:val="en-US" w:eastAsia="zh-CN"/>
          <w14:textFill>
            <w14:solidFill>
              <w14:schemeClr w14:val="tx1"/>
            </w14:solidFill>
          </w14:textFill>
        </w:rPr>
      </w:pPr>
      <w:r>
        <w:rPr>
          <w:rFonts w:hint="eastAsia" w:ascii="Times New Roman" w:hAnsi="Times New Roman" w:eastAsia="楷体" w:cs="Times New Roman"/>
          <w:b/>
          <w:color w:val="000000" w:themeColor="text1"/>
          <w:spacing w:val="-4"/>
          <w:sz w:val="32"/>
          <w:szCs w:val="32"/>
          <w:highlight w:val="none"/>
          <w:lang w:val="en-US" w:eastAsia="zh-CN"/>
          <w14:textFill>
            <w14:solidFill>
              <w14:schemeClr w14:val="tx1"/>
            </w14:solidFill>
          </w14:textFill>
        </w:rPr>
        <w:t>六</w:t>
      </w:r>
      <w:r>
        <w:rPr>
          <w:rFonts w:hint="default" w:ascii="Times New Roman" w:hAnsi="Times New Roman" w:eastAsia="楷体" w:cs="Times New Roman"/>
          <w:b/>
          <w:color w:val="000000" w:themeColor="text1"/>
          <w:spacing w:val="-4"/>
          <w:sz w:val="32"/>
          <w:szCs w:val="32"/>
          <w:highlight w:val="none"/>
          <w:lang w:val="en-US" w:eastAsia="zh-CN"/>
          <w14:textFill>
            <w14:solidFill>
              <w14:schemeClr w14:val="tx1"/>
            </w14:solidFill>
          </w14:textFill>
        </w:rPr>
        <w:t>.有关建议</w:t>
      </w:r>
    </w:p>
    <w:p>
      <w:pPr>
        <w:shd w:val="clear"/>
        <w:spacing w:line="600" w:lineRule="exact"/>
        <w:ind w:firstLine="620" w:firstLineChars="200"/>
        <w:outlineLvl w:val="0"/>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1</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.加大路灯设备的更新和智能化改造投入，及时申请专项资金更换路灯设施。</w:t>
      </w:r>
    </w:p>
    <w:p>
      <w:pPr>
        <w:shd w:val="clear"/>
        <w:spacing w:line="600" w:lineRule="exact"/>
        <w:ind w:firstLine="620" w:firstLineChars="200"/>
        <w:outlineLvl w:val="0"/>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2.</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进一步完善项目评价过程中有关</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路灯</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数据和资料的收集、整理</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及数据</w:t>
      </w:r>
      <w:r>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分析</w:t>
      </w: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2"/>
          <w:sz w:val="31"/>
          <w:szCs w:val="31"/>
          <w:highlight w:val="none"/>
          <w:lang w:val="en-US" w:eastAsia="zh-CN" w:bidi="ar-SA"/>
          <w14:textFill>
            <w14:solidFill>
              <w14:schemeClr w14:val="tx1"/>
            </w14:solidFill>
          </w14:textFill>
        </w:rPr>
        <w:t xml:space="preserve"> 3.通过合同能源管理模式，引入专业的节能服务公司，由其负责路灯节能改造的资金投入、设备采购、施工安装和后期维护。节能服务公司通过分享节能效益回收投资并获取利润，实现政府、企业双赢。</w:t>
      </w:r>
    </w:p>
    <w:p>
      <w:pPr>
        <w:pStyle w:val="2"/>
        <w:rPr>
          <w:rFonts w:hint="eastAsia"/>
          <w:lang w:val="en-US" w:eastAsia="zh-CN"/>
        </w:rPr>
      </w:pPr>
    </w:p>
    <w:p>
      <w:pPr>
        <w:spacing w:line="560"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eastAsia" w:eastAsia="黑体" w:cs="Times New Roman"/>
          <w:color w:val="000000" w:themeColor="text1"/>
          <w:sz w:val="32"/>
          <w:szCs w:val="32"/>
          <w:highlight w:val="none"/>
          <w:lang w:val="en-US" w:eastAsia="zh-CN"/>
          <w14:textFill>
            <w14:solidFill>
              <w14:schemeClr w14:val="tx1"/>
            </w14:solidFill>
          </w14:textFill>
        </w:rPr>
        <w:t>七</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w:t>
      </w:r>
      <w:r>
        <w:rPr>
          <w:rFonts w:hint="default" w:ascii="Times New Roman" w:hAnsi="Times New Roman" w:eastAsia="黑体" w:cs="Times New Roman"/>
          <w:color w:val="000000" w:themeColor="text1"/>
          <w:sz w:val="32"/>
          <w:szCs w:val="32"/>
          <w:highlight w:val="none"/>
          <w14:textFill>
            <w14:solidFill>
              <w14:schemeClr w14:val="tx1"/>
            </w14:solidFill>
          </w14:textFill>
        </w:rPr>
        <w:t>其他需要说</w:t>
      </w:r>
      <w:bookmarkStart w:id="0" w:name="page8"/>
      <w:bookmarkEnd w:id="0"/>
      <w:r>
        <w:rPr>
          <w:rFonts w:hint="default" w:ascii="Times New Roman" w:hAnsi="Times New Roman" w:eastAsia="黑体" w:cs="Times New Roman"/>
          <w:color w:val="000000" w:themeColor="text1"/>
          <w:sz w:val="32"/>
          <w:szCs w:val="32"/>
          <w:highlight w:val="none"/>
          <w14:textFill>
            <w14:solidFill>
              <w14:schemeClr w14:val="tx1"/>
            </w14:solidFill>
          </w14:textFill>
        </w:rPr>
        <w:t>明的问题</w:t>
      </w:r>
    </w:p>
    <w:p>
      <w:pPr>
        <w:shd w:val="clear"/>
        <w:spacing w:line="600" w:lineRule="exact"/>
        <w:ind w:firstLine="620" w:firstLineChars="200"/>
        <w:outlineLvl w:val="0"/>
        <w:rPr>
          <w:rFonts w:hint="default" w:ascii="Times New Roman" w:hAnsi="Times New Roman" w:eastAsia="方正仿宋_GBK" w:cs="Times New Roman"/>
          <w:b w:val="0"/>
          <w:bCs/>
          <w:color w:val="000000" w:themeColor="text1"/>
          <w:kern w:val="2"/>
          <w:sz w:val="31"/>
          <w:szCs w:val="31"/>
          <w:highlight w:val="none"/>
          <w:lang w:val="en-US" w:eastAsia="zh-Hans"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1"/>
          <w:szCs w:val="31"/>
          <w:highlight w:val="none"/>
          <w:lang w:val="en-US" w:eastAsia="zh-Hans" w:bidi="ar-SA"/>
          <w14:textFill>
            <w14:solidFill>
              <w14:schemeClr w14:val="tx1"/>
            </w14:solidFill>
          </w14:textFill>
        </w:rPr>
        <w:t>本项目无其他需说明的问题。</w:t>
      </w:r>
    </w:p>
    <w:p>
      <w:pPr>
        <w:pStyle w:val="15"/>
        <w:spacing w:after="0" w:line="560" w:lineRule="exact"/>
        <w:ind w:left="0" w:leftChars="0" w:firstLine="64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p>
    <w:p>
      <w:pPr>
        <w:pStyle w:val="15"/>
        <w:spacing w:after="0" w:line="560" w:lineRule="exact"/>
        <w:ind w:left="0" w:leftChars="0" w:firstLine="64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p>
    <w:p>
      <w:pPr>
        <w:pStyle w:val="15"/>
        <w:spacing w:after="0" w:line="560" w:lineRule="exact"/>
        <w:ind w:left="0" w:leftChars="0" w:firstLine="0" w:firstLineChars="0"/>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pStyle w:val="15"/>
        <w:spacing w:after="0" w:line="560" w:lineRule="exact"/>
        <w:ind w:left="0" w:leftChars="0" w:firstLine="0" w:firstLineChars="0"/>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spacing w:line="600" w:lineRule="exact"/>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附件</w:t>
      </w:r>
      <w:r>
        <w:rPr>
          <w:rFonts w:hint="eastAsia" w:eastAsia="黑体" w:cs="Times New Roman"/>
          <w:color w:val="000000" w:themeColor="text1"/>
          <w:sz w:val="32"/>
          <w:szCs w:val="32"/>
          <w:highlight w:val="none"/>
          <w:lang w:val="en-US" w:eastAsia="zh-CN"/>
          <w14:textFill>
            <w14:solidFill>
              <w14:schemeClr w14:val="tx1"/>
            </w14:solidFill>
          </w14:textFill>
        </w:rPr>
        <w:t>1</w:t>
      </w:r>
    </w:p>
    <w:p>
      <w:pPr>
        <w:pStyle w:val="21"/>
        <w:ind w:firstLine="562"/>
        <w:jc w:val="center"/>
        <w:rPr>
          <w:rFonts w:hint="eastAsia" w:ascii="仿宋_GB2312" w:hAnsi="仿宋_GB2312" w:eastAsia="仿宋_GB2312" w:cs="仿宋_GB2312"/>
          <w:color w:val="000000" w:themeColor="text1"/>
          <w:sz w:val="28"/>
          <w:szCs w:val="40"/>
          <w:highlight w:val="none"/>
          <w14:textFill>
            <w14:solidFill>
              <w14:schemeClr w14:val="tx1"/>
            </w14:solidFill>
          </w14:textFill>
        </w:rPr>
      </w:pPr>
      <w:bookmarkStart w:id="1" w:name="_Toc26499_WPSOffice_Level2"/>
      <w:bookmarkStart w:id="2" w:name="_Toc30064_WPSOffice_Level1"/>
      <w:r>
        <w:rPr>
          <w:rFonts w:hint="default" w:ascii="Times New Roman" w:hAnsi="Times New Roman" w:eastAsia="仿宋_GB2312" w:cs="Times New Roman"/>
          <w:color w:val="000000" w:themeColor="text1"/>
          <w:sz w:val="32"/>
          <w:szCs w:val="32"/>
          <w:highlight w:val="none"/>
          <w14:textFill>
            <w14:solidFill>
              <w14:schemeClr w14:val="tx1"/>
            </w14:solidFill>
          </w14:textFill>
        </w:rPr>
        <w:t>部门专项-路灯亮化经费</w:t>
      </w:r>
      <w:r>
        <w:rPr>
          <w:rFonts w:hint="eastAsia" w:ascii="仿宋_GB2312" w:hAnsi="仿宋_GB2312" w:eastAsia="仿宋_GB2312" w:cs="仿宋_GB2312"/>
          <w:b/>
          <w:bCs/>
          <w:color w:val="000000" w:themeColor="text1"/>
          <w:sz w:val="28"/>
          <w:szCs w:val="40"/>
          <w:highlight w:val="none"/>
          <w14:textFill>
            <w14:solidFill>
              <w14:schemeClr w14:val="tx1"/>
            </w14:solidFill>
          </w14:textFill>
        </w:rPr>
        <w:t>项目绩效评价指标体系及综合评分表</w:t>
      </w:r>
      <w:bookmarkEnd w:id="1"/>
      <w:bookmarkEnd w:id="2"/>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立项依据</w:t>
            </w: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评价要点：</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①项目立项是否符合国家法律法规、国民经济发展规划和相关政策；</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②项目立项是否符合行业发展规划和政策要求；</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③项目立项是否与部门职责范围相符，属于部门履职所需；</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④项目是否属于公共财政支持范围，是否符合中央、地方事权支出责任划分原则；</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themeColor="text1"/>
                <w:kern w:val="0"/>
                <w:sz w:val="18"/>
                <w:szCs w:val="18"/>
                <w:highlight w:val="none"/>
                <w:lang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立项程序</w:t>
            </w: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评价要点：</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①项目是否按照规定的程序申请设立；</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②审批文件、材料是否符合相关要求；</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themeColor="text1"/>
                <w:kern w:val="0"/>
                <w:sz w:val="18"/>
                <w:szCs w:val="18"/>
                <w:highlight w:val="none"/>
                <w:lang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绩效目标</w:t>
            </w: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评价要点：</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（如未设定预算绩效目标，也可考核其他工作任务目标）</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①项目是否有绩效目标；</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②项目绩效目标与实际工作内容是否具有相关性；</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themeColor="text1"/>
                <w:kern w:val="0"/>
                <w:sz w:val="18"/>
                <w:szCs w:val="18"/>
                <w:highlight w:val="none"/>
                <w:lang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绩效指标</w:t>
            </w: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评价要点：</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①是否将项目绩效目标细化分解为具体的绩效指标；</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②是否通过清晰、可衡量的指标值予以体现；</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③是否与项目目标任务数或计划数相对应。</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themeColor="text1"/>
                <w:kern w:val="0"/>
                <w:sz w:val="18"/>
                <w:szCs w:val="18"/>
                <w:highlight w:val="none"/>
                <w:lang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资金投入</w:t>
            </w: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预算编制</w:t>
            </w: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评价要点：</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①预算编制是否经过科学论证；</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②预算内容与项目内容是否匹配；</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③预算额度测算依据是否充分，是否按照标准编制；</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themeColor="text1"/>
                <w:kern w:val="0"/>
                <w:sz w:val="18"/>
                <w:szCs w:val="18"/>
                <w:highlight w:val="none"/>
                <w:lang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资金分配</w:t>
            </w: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评价要点：</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①预算资金分配依据是否充分；</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themeColor="text1"/>
                <w:kern w:val="0"/>
                <w:sz w:val="18"/>
                <w:szCs w:val="18"/>
                <w:highlight w:val="none"/>
                <w:lang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过程</w:t>
            </w: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资金到位率=（实际到位资金/预算资金）×100%。</w:t>
            </w:r>
          </w:p>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4</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lang w:val="en-US"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预算执行率=（实际支出资金/实际到位资金）×100%。</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lang w:val="en-US"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3.33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资金使用</w:t>
            </w: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评价要点：</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①是否符合国家财经法规和财务管理制度以及有关专项资金管理办法的规定；</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②资金的拨付是否有完整的审批程序和手续；</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③是否符合项目预算批复或合同规定的用途；</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themeColor="text1"/>
                <w:kern w:val="0"/>
                <w:sz w:val="18"/>
                <w:szCs w:val="18"/>
                <w:highlight w:val="none"/>
                <w:lang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组织实施</w:t>
            </w:r>
          </w:p>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管理制度</w:t>
            </w: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评价要点：</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①是否已制定或具有相应的财务和业务管理制度；</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themeColor="text1"/>
                <w:kern w:val="0"/>
                <w:sz w:val="18"/>
                <w:szCs w:val="18"/>
                <w:highlight w:val="none"/>
                <w:lang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制度执行</w:t>
            </w:r>
          </w:p>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评价要点：</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①是否遵守相关法律法规和相关管理规定；</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②项目调整及支出调整手续是否完备；</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③项目合同书、验收报告、技术鉴定等资料是否齐全并及时归档；</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themeColor="text1"/>
                <w:kern w:val="0"/>
                <w:sz w:val="18"/>
                <w:szCs w:val="18"/>
                <w:highlight w:val="none"/>
                <w:lang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实际完成率=（实际产出数/计划产出数）×100%。</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实际产出数：一定时期（本年度或项目期）内项目实际产出的产品或提供的服务数量。</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lang w:val="en-US"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3.86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质量达标率=（质量达标产出数/实际产出数）×100%。</w:t>
            </w:r>
          </w:p>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lang w:val="en-US"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实际完成时间：项目实施单位完成该项目实际所耗用的时间。</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lang w:val="en-US"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成本节约率=[（计划成本-实际成本）/计划成本]×100%。</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实际成本：项目实施单位如期、保质、保量完成既定工作目标实际所耗费的支出。</w:t>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lang w:val="en-US"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8.33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lang w:val="en-US"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14:textFill>
                  <w14:solidFill>
                    <w14:schemeClr w14:val="tx1"/>
                  </w14:solidFill>
                </w14:textFill>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pPr>
            <w:r>
              <w:rPr>
                <w:rFonts w:hint="default" w:ascii="Times New Roman" w:hAnsi="Times New Roman" w:eastAsia="仿宋_GB2312" w:cs="Times New Roman"/>
                <w:b/>
                <w:bCs/>
                <w:color w:val="000000" w:themeColor="text1"/>
                <w:kern w:val="0"/>
                <w:sz w:val="18"/>
                <w:szCs w:val="18"/>
                <w:highlight w:val="none"/>
                <w14:textFill>
                  <w14:solidFill>
                    <w14:schemeClr w14:val="tx1"/>
                  </w14:solidFill>
                </w14:textFill>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themeColor="text1"/>
                <w:kern w:val="0"/>
                <w:sz w:val="18"/>
                <w:szCs w:val="18"/>
                <w:highlight w:val="none"/>
                <w:lang w:val="en-US" w:eastAsia="zh-CN"/>
                <w14:textFill>
                  <w14:solidFill>
                    <w14:schemeClr w14:val="tx1"/>
                  </w14:solidFill>
                </w14:textFill>
              </w:rPr>
            </w:pPr>
            <w:r>
              <w:rPr>
                <w:rFonts w:hint="eastAsia" w:eastAsia="仿宋_GB2312" w:cs="Times New Roman"/>
                <w:b/>
                <w:bCs/>
                <w:color w:val="000000" w:themeColor="text1"/>
                <w:kern w:val="0"/>
                <w:sz w:val="18"/>
                <w:szCs w:val="18"/>
                <w:highlight w:val="none"/>
                <w:lang w:val="en-US" w:eastAsia="zh-CN"/>
                <w14:textFill>
                  <w14:solidFill>
                    <w14:schemeClr w14:val="tx1"/>
                  </w14:solidFill>
                </w14:textFill>
              </w:rPr>
              <w:t>10</w:t>
            </w:r>
          </w:p>
        </w:tc>
      </w:tr>
    </w:tbl>
    <w:p>
      <w:pPr>
        <w:rPr>
          <w:rFonts w:hint="default" w:ascii="Times New Roman" w:hAnsi="Times New Roman" w:cs="Times New Roman"/>
          <w:color w:val="000000" w:themeColor="text1"/>
          <w:highlight w:val="none"/>
          <w14:textFill>
            <w14:solidFill>
              <w14:schemeClr w14:val="tx1"/>
            </w14:solidFill>
          </w14:textFill>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附件</w:t>
      </w:r>
      <w:r>
        <w:rPr>
          <w:rFonts w:hint="eastAsia" w:eastAsia="黑体" w:cs="Times New Roman"/>
          <w:color w:val="000000" w:themeColor="text1"/>
          <w:sz w:val="32"/>
          <w:szCs w:val="32"/>
          <w:highlight w:val="none"/>
          <w:lang w:val="en-US" w:eastAsia="zh-CN"/>
          <w14:textFill>
            <w14:solidFill>
              <w14:schemeClr w14:val="tx1"/>
            </w14:solidFill>
          </w14:textFill>
        </w:rPr>
        <w:t>2</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仿宋_GB2312" w:hAnsi="仿宋_GB2312"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仿宋_GB2312"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themeColor="text1"/>
          <w:kern w:val="0"/>
          <w:sz w:val="22"/>
          <w:szCs w:val="22"/>
          <w:highlight w:val="none"/>
          <w:u w:val="none"/>
          <w:lang w:val="en-US" w:eastAsia="zh-CN" w:bidi="ar"/>
          <w14:textFill>
            <w14:solidFill>
              <w14:schemeClr w14:val="tx1"/>
            </w14:solidFill>
          </w14:textFill>
        </w:rPr>
      </w:pPr>
      <w:r>
        <w:rPr>
          <w:rFonts w:hint="default" w:ascii="Times New Roman" w:hAnsi="Times New Roman" w:eastAsia="仿宋_GB2312" w:cs="Times New Roman"/>
          <w:b/>
          <w:bCs/>
          <w:i w:val="0"/>
          <w:iCs w:val="0"/>
          <w:color w:val="000000" w:themeColor="text1"/>
          <w:kern w:val="0"/>
          <w:sz w:val="22"/>
          <w:szCs w:val="22"/>
          <w:highlight w:val="none"/>
          <w:u w:val="none"/>
          <w:lang w:val="en-US" w:eastAsia="zh-CN" w:bidi="ar"/>
          <w14:textFill>
            <w14:solidFill>
              <w14:schemeClr w14:val="tx1"/>
            </w14:solidFill>
          </w14:textFill>
        </w:rPr>
        <w:t>（ 2024年度）</w:t>
      </w:r>
    </w:p>
    <w:tbl>
      <w:tblPr>
        <w:tblStyle w:val="16"/>
        <w:tblW w:w="508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8"/>
        <w:gridCol w:w="957"/>
        <w:gridCol w:w="1335"/>
        <w:gridCol w:w="1426"/>
        <w:gridCol w:w="1166"/>
        <w:gridCol w:w="993"/>
        <w:gridCol w:w="780"/>
        <w:gridCol w:w="1218"/>
        <w:gridCol w:w="902"/>
        <w:gridCol w:w="795"/>
        <w:gridCol w:w="1055"/>
        <w:gridCol w:w="849"/>
        <w:gridCol w:w="765"/>
        <w:gridCol w:w="15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项目名称</w:t>
            </w:r>
          </w:p>
        </w:tc>
        <w:tc>
          <w:tcPr>
            <w:tcW w:w="4357"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t>部门专项-路灯亮化经费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主管部门</w:t>
            </w:r>
          </w:p>
        </w:tc>
        <w:tc>
          <w:tcPr>
            <w:tcW w:w="19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t>库尔勒市市政工程事务中心</w:t>
            </w: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实施单位</w:t>
            </w:r>
          </w:p>
        </w:tc>
        <w:tc>
          <w:tcPr>
            <w:tcW w:w="170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t>库尔勒市市政工程事务中心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4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项目资金</w:t>
            </w: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（万元）</w:t>
            </w:r>
          </w:p>
        </w:tc>
        <w:tc>
          <w:tcPr>
            <w:tcW w:w="9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资金来源</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年初预算数</w:t>
            </w:r>
          </w:p>
        </w:tc>
        <w:tc>
          <w:tcPr>
            <w:tcW w:w="6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全年预算数</w:t>
            </w: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全年执行数</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分值权重</w:t>
            </w:r>
          </w:p>
        </w:tc>
        <w:tc>
          <w:tcPr>
            <w:tcW w:w="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执行率</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9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年度资金总额</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900.00</w:t>
            </w:r>
          </w:p>
        </w:tc>
        <w:tc>
          <w:tcPr>
            <w:tcW w:w="6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900.00</w:t>
            </w: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750.00</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10</w:t>
            </w:r>
          </w:p>
        </w:tc>
        <w:tc>
          <w:tcPr>
            <w:tcW w:w="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83.33%</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cs="宋体"/>
                <w:i w:val="0"/>
                <w:iCs w:val="0"/>
                <w:color w:val="000000" w:themeColor="text1"/>
                <w:kern w:val="0"/>
                <w:sz w:val="18"/>
                <w:szCs w:val="18"/>
                <w:highlight w:val="none"/>
                <w:u w:val="none"/>
                <w:lang w:val="en-US" w:eastAsia="zh-CN" w:bidi="ar"/>
                <w14:textFill>
                  <w14:solidFill>
                    <w14:schemeClr w14:val="tx1"/>
                  </w14:solidFill>
                </w14:textFill>
              </w:rPr>
              <w:t>5.83</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9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其中：当年财政拨款</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900</w:t>
            </w:r>
          </w:p>
        </w:tc>
        <w:tc>
          <w:tcPr>
            <w:tcW w:w="6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900</w:t>
            </w: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750</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w:t>
            </w:r>
          </w:p>
        </w:tc>
        <w:tc>
          <w:tcPr>
            <w:tcW w:w="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935"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其他资金</w:t>
            </w:r>
          </w:p>
        </w:tc>
        <w:tc>
          <w:tcPr>
            <w:tcW w:w="39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0.00</w:t>
            </w:r>
          </w:p>
        </w:tc>
        <w:tc>
          <w:tcPr>
            <w:tcW w:w="601"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0.00</w:t>
            </w:r>
          </w:p>
        </w:tc>
        <w:tc>
          <w:tcPr>
            <w:tcW w:w="718"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w:t>
            </w:r>
          </w:p>
        </w:tc>
        <w:tc>
          <w:tcPr>
            <w:tcW w:w="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年度总体目标</w:t>
            </w:r>
          </w:p>
        </w:tc>
        <w:tc>
          <w:tcPr>
            <w:tcW w:w="29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总体目标</w:t>
            </w:r>
          </w:p>
        </w:tc>
        <w:tc>
          <w:tcPr>
            <w:tcW w:w="170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29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目标1：完成全市路灯、景观灯10万余盏照明工作。缴纳电费不少于12次。</w:t>
            </w: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目标2：通过项目实施，美化了城市生活环境，提升了城市景观与品质，提高了城市精细化管理水平，居民照明环境进一步完善。</w:t>
            </w:r>
          </w:p>
        </w:tc>
        <w:tc>
          <w:tcPr>
            <w:tcW w:w="170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截至12月31日已完成项目支付750万元，完成全市路灯照明工作。缴纳路灯亮化电费10次。通过项目实施，美化了城市生活环境，提升了城市景观与品质，提高了城市精细化管理水平，居民照明环境进一步完善，丰富市民的夜生活，对经济繁荣，发展旅游业，树立城市夜间形象，营造高尚的文化氛围，为城市带来更多的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lang w:val="en-US" w:eastAsia="zh-CN"/>
                <w14:textFill>
                  <w14:solidFill>
                    <w14:schemeClr w14:val="tx1"/>
                  </w14:solidFill>
                </w14:textFill>
              </w:rPr>
            </w:pPr>
            <w:r>
              <w:rPr>
                <w:rFonts w:hint="eastAsia" w:ascii="仿宋_GB2312" w:hAnsi="仿宋_GB2312" w:eastAsia="仿宋_GB2312" w:cs="仿宋_GB2312"/>
                <w:i w:val="0"/>
                <w:iCs w:val="0"/>
                <w:color w:val="000000" w:themeColor="text1"/>
                <w:sz w:val="18"/>
                <w:szCs w:val="18"/>
                <w:highlight w:val="none"/>
                <w:u w:val="none"/>
                <w:lang w:val="en-US" w:eastAsia="zh-CN"/>
                <w14:textFill>
                  <w14:solidFill>
                    <w14:schemeClr w14:val="tx1"/>
                  </w14:solidFill>
                </w14:textFill>
              </w:rPr>
              <w:t>绩效指标</w:t>
            </w:r>
          </w:p>
        </w:tc>
        <w:tc>
          <w:tcPr>
            <w:tcW w:w="324"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一级指标</w:t>
            </w:r>
          </w:p>
        </w:tc>
        <w:tc>
          <w:tcPr>
            <w:tcW w:w="45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二级指标</w:t>
            </w:r>
          </w:p>
        </w:tc>
        <w:tc>
          <w:tcPr>
            <w:tcW w:w="483"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三级指标</w:t>
            </w:r>
          </w:p>
        </w:tc>
        <w:tc>
          <w:tcPr>
            <w:tcW w:w="39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指标值</w:t>
            </w:r>
          </w:p>
        </w:tc>
        <w:tc>
          <w:tcPr>
            <w:tcW w:w="336"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指标值设置依据</w:t>
            </w:r>
          </w:p>
        </w:tc>
        <w:tc>
          <w:tcPr>
            <w:tcW w:w="264"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上年完成值</w:t>
            </w:r>
          </w:p>
        </w:tc>
        <w:tc>
          <w:tcPr>
            <w:tcW w:w="41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指标分值权重</w:t>
            </w:r>
          </w:p>
        </w:tc>
        <w:tc>
          <w:tcPr>
            <w:tcW w:w="30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指标赋分规则</w:t>
            </w:r>
          </w:p>
        </w:tc>
        <w:tc>
          <w:tcPr>
            <w:tcW w:w="269"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佐证资料</w:t>
            </w:r>
          </w:p>
        </w:tc>
        <w:tc>
          <w:tcPr>
            <w:tcW w:w="357"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指标实际完成值</w:t>
            </w:r>
          </w:p>
        </w:tc>
        <w:tc>
          <w:tcPr>
            <w:tcW w:w="287"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完成率</w:t>
            </w:r>
          </w:p>
        </w:tc>
        <w:tc>
          <w:tcPr>
            <w:tcW w:w="259"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指标得分</w:t>
            </w:r>
          </w:p>
        </w:tc>
        <w:tc>
          <w:tcPr>
            <w:tcW w:w="53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产出指标</w:t>
            </w:r>
          </w:p>
        </w:tc>
        <w:tc>
          <w:tcPr>
            <w:tcW w:w="45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数量指标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保障路灯、景观灯数量</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&gt;=10万盏</w:t>
            </w: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计划标准</w:t>
            </w: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按照正常比例赋分</w:t>
            </w: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工作资料</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=10.97万盏</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109.70%</w:t>
            </w: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9.03</w:t>
            </w: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2"/>
                <w:szCs w:val="12"/>
                <w:highlight w:val="none"/>
                <w:u w:val="none"/>
                <w:lang w:val="en-US" w:eastAsia="zh-CN" w:bidi="ar"/>
                <w14:textFill>
                  <w14:solidFill>
                    <w14:schemeClr w14:val="tx1"/>
                  </w14:solidFill>
                </w14:textFill>
              </w:rPr>
              <w:t>原因：城市设施路灯增加。整改措施：对景观灯、路灯精准统计。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5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数量指标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缴纳电费次数</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&gt;=12次</w:t>
            </w: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计划标准</w:t>
            </w: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按照正常比例赋分</w:t>
            </w: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工作资料</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=10次</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83.33%</w:t>
            </w: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8.33</w:t>
            </w: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2"/>
                <w:szCs w:val="12"/>
                <w:highlight w:val="none"/>
                <w:u w:val="none"/>
                <w:lang w:val="en-US" w:eastAsia="zh-CN" w:bidi="ar"/>
                <w14:textFill>
                  <w14:solidFill>
                    <w14:schemeClr w14:val="tx1"/>
                  </w14:solidFill>
                </w14:textFill>
              </w:rPr>
              <w:t xml:space="preserve"> 原因：缴纳10次已完成保障全年的亮化工作。整改措施：年初精准预算。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45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质量指标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路灯、景观灯正常照明率</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&gt;=96%</w:t>
            </w: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计划标准</w:t>
            </w: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按照正常比例赋分</w:t>
            </w: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工作资料</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=96%</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100%</w:t>
            </w: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45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时效指标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资金支付及时性</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=100%</w:t>
            </w: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计划标准</w:t>
            </w: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按照正常比例赋分</w:t>
            </w: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工作资料</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=100%</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100%</w:t>
            </w: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成本指标</w:t>
            </w:r>
          </w:p>
        </w:tc>
        <w:tc>
          <w:tcPr>
            <w:tcW w:w="45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经济成本指标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每月缴纳电费成本</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&lt;=75万元/次</w:t>
            </w: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计划标准</w:t>
            </w: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按照正常比例赋分</w:t>
            </w: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原始凭证</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=75万元/次</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100%</w:t>
            </w: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5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经济成本指标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本次补助费用成本</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&lt;=900万元</w:t>
            </w: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计划标准</w:t>
            </w: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按照正常比例赋分</w:t>
            </w: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原始凭证</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=750万元</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83.33%</w:t>
            </w: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8.33</w:t>
            </w: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2"/>
                <w:szCs w:val="12"/>
                <w:highlight w:val="none"/>
                <w:u w:val="none"/>
                <w:lang w:val="en-US" w:eastAsia="zh-CN" w:bidi="ar"/>
                <w14:textFill>
                  <w14:solidFill>
                    <w14:schemeClr w14:val="tx1"/>
                  </w14:solidFill>
                </w14:textFill>
              </w:rPr>
              <w:t xml:space="preserve"> 原因：缴纳10次已完成保障全年的亮化工作。整改措施：年初精准预算。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5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社会成本指标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5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生态环境成本指标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效益指标</w:t>
            </w:r>
          </w:p>
        </w:tc>
        <w:tc>
          <w:tcPr>
            <w:tcW w:w="45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经济效益指标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5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社会效益指标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有效改善居民照明环境率</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=20%</w:t>
            </w: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计划标准</w:t>
            </w: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20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按照正常比例赋分</w:t>
            </w: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工作资料</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=20%</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100%</w:t>
            </w: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20</w:t>
            </w: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5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生态效益指标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满意度指标</w:t>
            </w:r>
          </w:p>
        </w:tc>
        <w:tc>
          <w:tcPr>
            <w:tcW w:w="45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满意度指标</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群众满意度</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&gt;=96%</w:t>
            </w: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计划标准</w:t>
            </w: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满意度赋分</w:t>
            </w: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工作资料</w:t>
            </w: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=96%</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100%</w:t>
            </w: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10</w:t>
            </w: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57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总分</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p>
        </w:tc>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18"/>
                <w:szCs w:val="18"/>
                <w:highlight w:val="none"/>
                <w:u w:val="none"/>
                <w:lang w:val="en-US" w:eastAsia="zh-CN" w:bidi="ar"/>
                <w14:textFill>
                  <w14:solidFill>
                    <w14:schemeClr w14:val="tx1"/>
                  </w14:solidFill>
                </w14:textFill>
              </w:rPr>
              <w:t>91.52分</w:t>
            </w:r>
          </w:p>
        </w:tc>
        <w:tc>
          <w:tcPr>
            <w:tcW w:w="532"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i w:val="0"/>
                <w:iCs w:val="0"/>
                <w:color w:val="000000" w:themeColor="text1"/>
                <w:sz w:val="18"/>
                <w:szCs w:val="18"/>
                <w:highlight w:val="none"/>
                <w:u w:val="none"/>
                <w14:textFill>
                  <w14:solidFill>
                    <w14:schemeClr w14:val="tx1"/>
                  </w14:solidFill>
                </w14:textFill>
              </w:rPr>
            </w:pPr>
          </w:p>
        </w:tc>
      </w:tr>
    </w:tbl>
    <w:p>
      <w:pPr>
        <w:rPr>
          <w:rFonts w:hint="default" w:ascii="Times New Roman" w:hAnsi="Times New Roman" w:cs="Times New Roman"/>
          <w:color w:val="000000" w:themeColor="text1"/>
          <w:highlight w:val="none"/>
          <w14:textFill>
            <w14:solidFill>
              <w14:schemeClr w14:val="tx1"/>
            </w14:solidFill>
          </w14:textFill>
        </w:rPr>
      </w:pPr>
    </w:p>
    <w:sectPr>
      <w:pgSz w:w="16838" w:h="11906" w:orient="landscape"/>
      <w:pgMar w:top="1800" w:right="1118"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379A8"/>
    <w:multiLevelType w:val="singleLevel"/>
    <w:tmpl w:val="FF9379A8"/>
    <w:lvl w:ilvl="0" w:tentative="0">
      <w:start w:val="2"/>
      <w:numFmt w:val="chineseCounting"/>
      <w:suff w:val="nothing"/>
      <w:lvlText w:val="（%1）"/>
      <w:lvlJc w:val="left"/>
      <w:pPr>
        <w:ind w:left="-13"/>
      </w:pPr>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MjhiOGU2NTFmZDhhZGQxNGU1YTAxNmJiOGIxZTkifQ=="/>
  </w:docVars>
  <w:rsids>
    <w:rsidRoot w:val="FF6C4049"/>
    <w:rsid w:val="006F7242"/>
    <w:rsid w:val="007B168A"/>
    <w:rsid w:val="008B2CFE"/>
    <w:rsid w:val="00F26FF6"/>
    <w:rsid w:val="01610122"/>
    <w:rsid w:val="02510197"/>
    <w:rsid w:val="03EC461B"/>
    <w:rsid w:val="0461077D"/>
    <w:rsid w:val="07397B77"/>
    <w:rsid w:val="0AD007F3"/>
    <w:rsid w:val="0B6445CA"/>
    <w:rsid w:val="0E144A86"/>
    <w:rsid w:val="0E3C619F"/>
    <w:rsid w:val="0FD46CA2"/>
    <w:rsid w:val="100F38EC"/>
    <w:rsid w:val="11170296"/>
    <w:rsid w:val="128C3B81"/>
    <w:rsid w:val="128C77F4"/>
    <w:rsid w:val="12C66037"/>
    <w:rsid w:val="12CD1ABC"/>
    <w:rsid w:val="13471461"/>
    <w:rsid w:val="139750B7"/>
    <w:rsid w:val="13B90F01"/>
    <w:rsid w:val="155E4C4D"/>
    <w:rsid w:val="1645767F"/>
    <w:rsid w:val="17084995"/>
    <w:rsid w:val="181066D2"/>
    <w:rsid w:val="1A23787E"/>
    <w:rsid w:val="1C671E73"/>
    <w:rsid w:val="1CB05EAB"/>
    <w:rsid w:val="1CF87CD1"/>
    <w:rsid w:val="1D322C47"/>
    <w:rsid w:val="200B2F8D"/>
    <w:rsid w:val="229078A9"/>
    <w:rsid w:val="2303136D"/>
    <w:rsid w:val="23616034"/>
    <w:rsid w:val="23696C97"/>
    <w:rsid w:val="24480FA2"/>
    <w:rsid w:val="2510553A"/>
    <w:rsid w:val="25227A45"/>
    <w:rsid w:val="26AC3A6A"/>
    <w:rsid w:val="2876328B"/>
    <w:rsid w:val="2A561F22"/>
    <w:rsid w:val="2B9D7E25"/>
    <w:rsid w:val="2C7C7A3B"/>
    <w:rsid w:val="2D5D114B"/>
    <w:rsid w:val="2E446EF6"/>
    <w:rsid w:val="2E731F85"/>
    <w:rsid w:val="2F364819"/>
    <w:rsid w:val="2FD63906"/>
    <w:rsid w:val="37215DAE"/>
    <w:rsid w:val="38CA40DD"/>
    <w:rsid w:val="395F2B56"/>
    <w:rsid w:val="3BBA0580"/>
    <w:rsid w:val="3BECE841"/>
    <w:rsid w:val="3CDE204C"/>
    <w:rsid w:val="3D363C36"/>
    <w:rsid w:val="3E9C3F6D"/>
    <w:rsid w:val="3EEB0492"/>
    <w:rsid w:val="3FF55C76"/>
    <w:rsid w:val="3FF7797D"/>
    <w:rsid w:val="403C4F1B"/>
    <w:rsid w:val="404107FC"/>
    <w:rsid w:val="41DD1A8C"/>
    <w:rsid w:val="46690BD8"/>
    <w:rsid w:val="477F4011"/>
    <w:rsid w:val="49F70BF1"/>
    <w:rsid w:val="4B4340EE"/>
    <w:rsid w:val="4B621B83"/>
    <w:rsid w:val="503D507A"/>
    <w:rsid w:val="50995C33"/>
    <w:rsid w:val="519368FB"/>
    <w:rsid w:val="51FA74D0"/>
    <w:rsid w:val="52AA4A52"/>
    <w:rsid w:val="556905A0"/>
    <w:rsid w:val="59943D66"/>
    <w:rsid w:val="59E051FD"/>
    <w:rsid w:val="59E6355E"/>
    <w:rsid w:val="5B821531"/>
    <w:rsid w:val="5BFF6039"/>
    <w:rsid w:val="5D76A616"/>
    <w:rsid w:val="5D7E6F04"/>
    <w:rsid w:val="5D7F20B9"/>
    <w:rsid w:val="5DAC7D0E"/>
    <w:rsid w:val="5F755E49"/>
    <w:rsid w:val="5F98B5AF"/>
    <w:rsid w:val="5FFE8511"/>
    <w:rsid w:val="5FFEACE2"/>
    <w:rsid w:val="60492236"/>
    <w:rsid w:val="609D5BF6"/>
    <w:rsid w:val="61073070"/>
    <w:rsid w:val="61B9080E"/>
    <w:rsid w:val="61DF3FED"/>
    <w:rsid w:val="642B176B"/>
    <w:rsid w:val="643EE26D"/>
    <w:rsid w:val="656019A0"/>
    <w:rsid w:val="65F242EE"/>
    <w:rsid w:val="666D7E19"/>
    <w:rsid w:val="66C72DC8"/>
    <w:rsid w:val="674C4466"/>
    <w:rsid w:val="68376930"/>
    <w:rsid w:val="684674A3"/>
    <w:rsid w:val="68967C09"/>
    <w:rsid w:val="68BA215E"/>
    <w:rsid w:val="68F91E38"/>
    <w:rsid w:val="6AF06835"/>
    <w:rsid w:val="6B3158B9"/>
    <w:rsid w:val="6BA02A3F"/>
    <w:rsid w:val="6C1E5A53"/>
    <w:rsid w:val="6CAF6A59"/>
    <w:rsid w:val="6F3B2464"/>
    <w:rsid w:val="6F5C41AC"/>
    <w:rsid w:val="6FAF6C78"/>
    <w:rsid w:val="716167CC"/>
    <w:rsid w:val="718A7AD1"/>
    <w:rsid w:val="720D2CC4"/>
    <w:rsid w:val="72A44BC2"/>
    <w:rsid w:val="72AF54FA"/>
    <w:rsid w:val="7317C656"/>
    <w:rsid w:val="734ED73F"/>
    <w:rsid w:val="73C82B32"/>
    <w:rsid w:val="73F94DAE"/>
    <w:rsid w:val="74194789"/>
    <w:rsid w:val="74220495"/>
    <w:rsid w:val="747D1B6F"/>
    <w:rsid w:val="749E5641"/>
    <w:rsid w:val="75643EA4"/>
    <w:rsid w:val="76271066"/>
    <w:rsid w:val="77FD8BE9"/>
    <w:rsid w:val="78000AED"/>
    <w:rsid w:val="78BA614C"/>
    <w:rsid w:val="795F6990"/>
    <w:rsid w:val="79A9BD3F"/>
    <w:rsid w:val="7A927FA1"/>
    <w:rsid w:val="7B776F12"/>
    <w:rsid w:val="7BFFFDD0"/>
    <w:rsid w:val="7C336E5F"/>
    <w:rsid w:val="7C8D4919"/>
    <w:rsid w:val="7D2A2FA7"/>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5">
    <w:name w:val="annotation text"/>
    <w:basedOn w:val="1"/>
    <w:link w:val="24"/>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2"/>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5"/>
    <w:next w:val="5"/>
    <w:link w:val="25"/>
    <w:qFormat/>
    <w:uiPriority w:val="0"/>
    <w:rPr>
      <w:b/>
      <w:bCs/>
    </w:rPr>
  </w:style>
  <w:style w:type="paragraph" w:styleId="14">
    <w:name w:val="Body Text First Indent"/>
    <w:basedOn w:val="6"/>
    <w:qFormat/>
    <w:uiPriority w:val="0"/>
    <w:pPr>
      <w:spacing w:after="0"/>
      <w:ind w:firstLine="200" w:firstLineChars="200"/>
    </w:pPr>
  </w:style>
  <w:style w:type="paragraph" w:styleId="15">
    <w:name w:val="Body Text First Indent 2"/>
    <w:basedOn w:val="7"/>
    <w:qFormat/>
    <w:uiPriority w:val="0"/>
    <w:pPr>
      <w:ind w:firstLine="42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7"/>
    <w:link w:val="8"/>
    <w:qFormat/>
    <w:uiPriority w:val="0"/>
    <w:rPr>
      <w:rFonts w:ascii="Times New Roman" w:hAnsi="Times New Roman" w:eastAsia="宋体" w:cs="Times New Roman"/>
      <w:kern w:val="2"/>
      <w:sz w:val="18"/>
      <w:szCs w:val="18"/>
    </w:rPr>
  </w:style>
  <w:style w:type="character" w:customStyle="1" w:styleId="23">
    <w:name w:val="页眉 字符"/>
    <w:basedOn w:val="17"/>
    <w:link w:val="10"/>
    <w:qFormat/>
    <w:uiPriority w:val="0"/>
    <w:rPr>
      <w:rFonts w:ascii="Times New Roman" w:hAnsi="Times New Roman" w:eastAsia="宋体" w:cs="Times New Roman"/>
      <w:kern w:val="2"/>
      <w:sz w:val="18"/>
      <w:szCs w:val="18"/>
    </w:rPr>
  </w:style>
  <w:style w:type="character" w:customStyle="1" w:styleId="24">
    <w:name w:val="批注文字 字符"/>
    <w:basedOn w:val="17"/>
    <w:link w:val="5"/>
    <w:qFormat/>
    <w:uiPriority w:val="0"/>
    <w:rPr>
      <w:rFonts w:ascii="Times New Roman" w:hAnsi="Times New Roman" w:eastAsia="宋体" w:cs="Times New Roman"/>
      <w:kern w:val="2"/>
      <w:sz w:val="21"/>
      <w:szCs w:val="24"/>
    </w:rPr>
  </w:style>
  <w:style w:type="character" w:customStyle="1" w:styleId="25">
    <w:name w:val="批注主题 字符"/>
    <w:basedOn w:val="24"/>
    <w:link w:val="13"/>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13115</Words>
  <Characters>13619</Characters>
  <Lines>58</Lines>
  <Paragraphs>16</Paragraphs>
  <TotalTime>17</TotalTime>
  <ScaleCrop>false</ScaleCrop>
  <LinksUpToDate>false</LinksUpToDate>
  <CharactersWithSpaces>13641</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2025-04-29T09:49:00Z</cp:lastPrinted>
  <dcterms:modified xsi:type="dcterms:W3CDTF">2025-08-21T04:10:42Z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y fmtid="{D5CDD505-2E9C-101B-9397-08002B2CF9AE}" pid="3" name="ICV">
    <vt:lpwstr>D72784BF82134E2BBF481DE17D783733</vt:lpwstr>
  </property>
  <property fmtid="{D5CDD505-2E9C-101B-9397-08002B2CF9AE}" pid="4" name="KSOTemplateDocerSaveRecord">
    <vt:lpwstr>eyJoZGlkIjoiYTRkOTIwZjc5YmU2ZTY5MjQ2MTljMmZlZWEzNGY0OTAiLCJ1c2VySWQiOiI0MzUzMjU0MzcifQ==</vt:lpwstr>
  </property>
</Properties>
</file>