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库尔勒市市政工程事务中心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pStyle w:val="6"/>
        <w:spacing w:line="560" w:lineRule="exact"/>
        <w:ind w:firstLine="560"/>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为市政建设提供管理服务。市政道路、桥梁、路灯维护与养护；市政基础设施及市政监察管理；市政工程施工及市政管道工程；相关社会服务。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库尔勒市市政工程事务中心2024年度，实有人数224人，其中：在职人员90人，减少8人；离休人员0人，较上年无变化；退休人员134人，增加4人。</w:t>
      </w:r>
    </w:p>
    <w:p>
      <w:pPr>
        <w:widowControl/>
        <w:spacing w:before="0" w:beforeLines="0" w:beforeAutospacing="0" w:after="0" w:afterLines="0" w:afterAutospacing="0" w:line="240" w:lineRule="auto"/>
        <w:ind w:firstLine="640" w:firstLineChars="200"/>
        <w:jc w:val="both"/>
        <w:rPr>
          <w:rFonts w:ascii="仿宋_GB2312" w:eastAsia="仿宋_GB2312" w:hAnsiTheme="minorHAnsi" w:cstheme="minorBidi"/>
          <w:b w:val="0"/>
          <w:sz w:val="32"/>
          <w:szCs w:val="32"/>
        </w:rPr>
      </w:pPr>
      <w:r>
        <w:rPr>
          <w:rFonts w:ascii="仿宋_GB2312" w:eastAsia="仿宋_GB2312" w:hAnsiTheme="minorHAnsi" w:cstheme="minorBidi"/>
          <w:b w:val="0"/>
          <w:sz w:val="32"/>
          <w:szCs w:val="32"/>
        </w:rPr>
        <w:t>库尔勒市市政工程事务中心无下属预算单位，</w:t>
      </w:r>
      <w:r>
        <w:rPr>
          <w:rFonts w:hint="eastAsia" w:ascii="仿宋_GB2312" w:eastAsia="仿宋_GB2312" w:hAnsiTheme="minorHAnsi" w:cstheme="minorBidi"/>
          <w:b w:val="0"/>
          <w:sz w:val="32"/>
          <w:szCs w:val="32"/>
        </w:rPr>
        <w:t>下设11个处室，分别是：党政办公室、纪检监察室、工会、财务室、劳资室、市政综合业务室、总务室、安全生产应急室、路灯管理所、市政设施养护管理所、市政监察室</w:t>
      </w:r>
      <w:r>
        <w:rPr>
          <w:rFonts w:ascii="仿宋_GB2312" w:eastAsia="仿宋_GB2312" w:hAnsiTheme="minorHAnsi" w:cstheme="minorBidi"/>
          <w:b w:val="0"/>
          <w:sz w:val="32"/>
          <w:szCs w:val="32"/>
        </w:rPr>
        <w:t>。</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2024年度收入总计3,350.01万元，其中：本年收入合计3,350.01万元，使用非财政拨款结余（含专用结余）0.00万元，年初结转和结余0.00万元。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2024年度支出总计3,350.01万元，其中：本年支出合计3,350.01万元，结余分配0.00万元，年末结转和结余0.00万元。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收入支出总体与上年相比，增加251.77万元，增长8.13%，主要原因是：</w:t>
      </w:r>
      <w:r>
        <w:rPr>
          <w:rFonts w:hint="eastAsia" w:ascii="仿宋_GB2312" w:eastAsia="仿宋_GB2312"/>
          <w:b w:val="0"/>
          <w:sz w:val="32"/>
          <w:szCs w:val="32"/>
          <w:lang w:eastAsia="zh-CN"/>
        </w:rPr>
        <w:t>本年度人员经费减少了</w:t>
      </w:r>
      <w:r>
        <w:rPr>
          <w:rFonts w:hint="eastAsia" w:ascii="仿宋_GB2312" w:eastAsia="仿宋_GB2312"/>
          <w:b w:val="0"/>
          <w:sz w:val="32"/>
          <w:szCs w:val="32"/>
          <w:lang w:val="en-US" w:eastAsia="zh-CN"/>
        </w:rPr>
        <w:t>52.12万元，公用经费减少了1298.39万元，项目支出增加了1602.28万元，因此，本年度收入支出比往年增加251.77万元</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本年收入3,350.01万元，其中：财政拨款收入3,350.01万元,占100.00%；上级补助收入0.00万元,占0.00%；事业收入0.00万元，占0.00%；经营收入0.00万元,占0.00%；附属单位上缴收入0.00万元，占0.00%；其他收入0.00万元，占0.00%。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本年支出3,350.01万元，其中：基本支出1,747.73万元，占52.17%；项目支出1,602.28万元，占47.83%；上缴上级支出0.00万元，占0.00%；经营支出0.00万元，占0.00%；对附属单位补助支出0.00万元，占0.00%。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3,350.01万元，其中：年初财政拨款结转和结余0.00万元，本年财政拨款收入3,350.01万元。财政拨款支出总计3,350.01万元，其中：年末财政拨款结转和结余0.00万元，本年财政拨款支出3,350.01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财政拨款收入支出总体与上年相比，增加251.77万元，增长8.13%，主要原因是：</w:t>
      </w:r>
      <w:r>
        <w:rPr>
          <w:rFonts w:hint="eastAsia" w:ascii="仿宋_GB2312" w:eastAsia="仿宋_GB2312"/>
          <w:b w:val="0"/>
          <w:sz w:val="32"/>
          <w:szCs w:val="32"/>
          <w:lang w:eastAsia="zh-CN"/>
        </w:rPr>
        <w:t>本年度人员经费减少了</w:t>
      </w:r>
      <w:r>
        <w:rPr>
          <w:rFonts w:hint="eastAsia" w:ascii="仿宋_GB2312" w:eastAsia="仿宋_GB2312"/>
          <w:b w:val="0"/>
          <w:sz w:val="32"/>
          <w:szCs w:val="32"/>
          <w:lang w:val="en-US" w:eastAsia="zh-CN"/>
        </w:rPr>
        <w:t>52.12万元，公用经费减少了1298.39万元，项目支出增加了1602.28万元，因此，本年度收入支出比往年增加251.77万元</w:t>
      </w:r>
      <w:r>
        <w:rPr>
          <w:rFonts w:ascii="仿宋_GB2312" w:eastAsia="仿宋_GB2312"/>
          <w:b w:val="0"/>
          <w:sz w:val="32"/>
          <w:szCs w:val="32"/>
        </w:rPr>
        <w:t>。与年初预算相比，年初预算数4,747.85万元，决算数3,350.01万元，预决算差异率-29.44%，主要原因是：</w:t>
      </w:r>
      <w:r>
        <w:rPr>
          <w:rFonts w:hint="eastAsia" w:ascii="仿宋_GB2312" w:eastAsia="仿宋_GB2312"/>
          <w:b w:val="0"/>
          <w:sz w:val="32"/>
          <w:szCs w:val="32"/>
          <w:lang w:eastAsia="zh-CN"/>
        </w:rPr>
        <w:t>本年度的部分项目未达到资金支付的进度</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2024年度一般公共预算财政拨款支出1,942.01万元，占本年支出合计的57.97%。与上年相比，增加689.50万元，增长55.05%，主要原因是：</w:t>
      </w:r>
      <w:r>
        <w:rPr>
          <w:rFonts w:hint="eastAsia" w:ascii="仿宋_GB2312" w:eastAsia="仿宋_GB2312"/>
          <w:b w:val="0"/>
          <w:sz w:val="32"/>
          <w:szCs w:val="32"/>
          <w:lang w:eastAsia="zh-CN"/>
        </w:rPr>
        <w:t>人员经费比往年增加</w:t>
      </w:r>
      <w:r>
        <w:rPr>
          <w:rFonts w:hint="eastAsia" w:ascii="仿宋_GB2312" w:eastAsia="仿宋_GB2312"/>
          <w:b w:val="0"/>
          <w:sz w:val="32"/>
          <w:szCs w:val="32"/>
          <w:lang w:val="en-US" w:eastAsia="zh-CN"/>
        </w:rPr>
        <w:t>465.02万元，公用经费比往年增加30.20万元，项目支出增加了194.28万元</w:t>
      </w:r>
      <w:r>
        <w:rPr>
          <w:rFonts w:ascii="仿宋_GB2312" w:eastAsia="仿宋_GB2312"/>
          <w:b w:val="0"/>
          <w:sz w:val="32"/>
          <w:szCs w:val="32"/>
        </w:rPr>
        <w:t>。与年初预算相比，年初预算数2,077.47万元，决算数1,942.01万元，预决算差异率-6.52%，主要原因是：</w:t>
      </w:r>
      <w:r>
        <w:rPr>
          <w:rFonts w:hint="eastAsia" w:ascii="仿宋_GB2312" w:eastAsia="仿宋_GB2312"/>
          <w:b w:val="0"/>
          <w:sz w:val="32"/>
          <w:szCs w:val="32"/>
          <w:lang w:eastAsia="zh-CN"/>
        </w:rPr>
        <w:t>本年度的部分项目未达到资金支付的进度</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一般公共服务支出（类）31.26万元，占1.61%。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社会保障和就业支出（类）370.97万元，占19.10%。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卫生健康支出（类）36.53万元，占1.88%。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城乡社区支出（类）1,375.63万元，占70.84%。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住房保障支出（类）127.62万元，占6.57%。</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val="en-US" w:eastAsia="zh-CN"/>
        </w:rPr>
      </w:pPr>
      <w:r>
        <w:rPr>
          <w:rFonts w:ascii="仿宋_GB2312" w:eastAsia="仿宋_GB2312"/>
          <w:b w:val="0"/>
          <w:sz w:val="32"/>
          <w:szCs w:val="32"/>
        </w:rPr>
        <w:t>一般公共服务支出（类）组织事务（款）其他组织事务支出（项）：支出决算数为31.26万元，比上年决算增加31.26万元，增长100.00%，主要原因是：</w:t>
      </w:r>
      <w:r>
        <w:rPr>
          <w:rFonts w:hint="eastAsia" w:ascii="仿宋_GB2312" w:eastAsia="仿宋_GB2312"/>
          <w:b w:val="0"/>
          <w:sz w:val="32"/>
          <w:szCs w:val="32"/>
          <w:lang w:eastAsia="zh-CN"/>
        </w:rPr>
        <w:t>本年度办公费为</w:t>
      </w:r>
      <w:r>
        <w:rPr>
          <w:rFonts w:hint="eastAsia" w:ascii="仿宋_GB2312" w:eastAsia="仿宋_GB2312"/>
          <w:b w:val="0"/>
          <w:sz w:val="32"/>
          <w:szCs w:val="32"/>
          <w:lang w:val="en-US" w:eastAsia="zh-CN"/>
        </w:rPr>
        <w:t>31.26万元，往年办公费未在</w:t>
      </w:r>
      <w:r>
        <w:rPr>
          <w:rFonts w:ascii="仿宋_GB2312" w:eastAsia="仿宋_GB2312"/>
          <w:b w:val="0"/>
          <w:sz w:val="32"/>
          <w:szCs w:val="32"/>
        </w:rPr>
        <w:t>一般公共服务支出（类）组织事务（款）其他组织事务支出（项）</w:t>
      </w:r>
      <w:r>
        <w:rPr>
          <w:rFonts w:hint="eastAsia" w:ascii="仿宋_GB2312" w:eastAsia="仿宋_GB2312"/>
          <w:b w:val="0"/>
          <w:sz w:val="32"/>
          <w:szCs w:val="32"/>
          <w:lang w:eastAsia="zh-CN"/>
        </w:rPr>
        <w:t>科目核算。</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社会保障和就业支出（类）行政事业单位养老支出（款）事业单位离退休（项）：支出决算数为129.48万元，比上年决算增加68.15万元，增长111.12%，主要原因是：</w:t>
      </w:r>
      <w:r>
        <w:rPr>
          <w:rFonts w:hint="eastAsia" w:ascii="仿宋_GB2312" w:eastAsia="仿宋_GB2312"/>
          <w:b w:val="0"/>
          <w:sz w:val="32"/>
          <w:szCs w:val="32"/>
          <w:lang w:eastAsia="zh-CN"/>
        </w:rPr>
        <w:t>本年度退休人员增加</w:t>
      </w:r>
      <w:r>
        <w:rPr>
          <w:rFonts w:hint="eastAsia" w:ascii="仿宋_GB2312" w:eastAsia="仿宋_GB2312"/>
          <w:b w:val="0"/>
          <w:sz w:val="32"/>
          <w:szCs w:val="32"/>
          <w:lang w:val="en-US" w:eastAsia="zh-CN"/>
        </w:rPr>
        <w:t>4人且</w:t>
      </w:r>
      <w:r>
        <w:rPr>
          <w:rFonts w:hint="eastAsia" w:ascii="仿宋_GB2312" w:eastAsia="仿宋_GB2312"/>
          <w:b w:val="0"/>
          <w:sz w:val="32"/>
          <w:szCs w:val="32"/>
          <w:lang w:eastAsia="zh-CN"/>
        </w:rPr>
        <w:t>退休人员</w:t>
      </w:r>
      <w:r>
        <w:rPr>
          <w:rFonts w:hint="eastAsia" w:ascii="仿宋_GB2312" w:eastAsia="仿宋_GB2312"/>
          <w:b w:val="0"/>
          <w:sz w:val="32"/>
          <w:szCs w:val="32"/>
          <w:lang w:val="en-US" w:eastAsia="zh-CN"/>
        </w:rPr>
        <w:t>2024</w:t>
      </w:r>
      <w:r>
        <w:rPr>
          <w:rFonts w:hint="eastAsia" w:ascii="仿宋_GB2312" w:eastAsia="仿宋_GB2312"/>
          <w:b w:val="0"/>
          <w:sz w:val="32"/>
          <w:szCs w:val="32"/>
          <w:lang w:eastAsia="zh-CN"/>
        </w:rPr>
        <w:t>年绩效考核较上年上涨</w:t>
      </w:r>
      <w:r>
        <w:rPr>
          <w:rFonts w:hint="eastAsia" w:ascii="仿宋_GB2312" w:eastAsia="仿宋_GB2312"/>
          <w:b w:val="0"/>
          <w:sz w:val="32"/>
          <w:szCs w:val="32"/>
          <w:lang w:val="en-US" w:eastAsia="zh-CN"/>
        </w:rPr>
        <w:t>因此该项</w:t>
      </w:r>
      <w:r>
        <w:rPr>
          <w:rFonts w:ascii="仿宋_GB2312" w:eastAsia="仿宋_GB2312"/>
          <w:b w:val="0"/>
          <w:sz w:val="32"/>
          <w:szCs w:val="32"/>
        </w:rPr>
        <w:t>支出决算数</w:t>
      </w:r>
      <w:r>
        <w:rPr>
          <w:rFonts w:hint="eastAsia" w:ascii="仿宋_GB2312" w:eastAsia="仿宋_GB2312"/>
          <w:b w:val="0"/>
          <w:sz w:val="32"/>
          <w:szCs w:val="32"/>
          <w:lang w:val="en-US" w:eastAsia="zh-CN"/>
        </w:rPr>
        <w:t>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社会保障和就业支出（类）行政事业单位养老支出（款）机关事业单位基本养老保险缴费支出（项）：支出决算数为167.07万元，比上年决算增加11.93万元，增长7.69%，主要原因是：</w:t>
      </w:r>
      <w:r>
        <w:rPr>
          <w:rFonts w:hint="eastAsia" w:ascii="仿宋_GB2312" w:eastAsia="仿宋_GB2312" w:hAnsiTheme="minorHAnsi" w:cstheme="minorBidi"/>
          <w:b w:val="0"/>
          <w:sz w:val="32"/>
          <w:szCs w:val="32"/>
        </w:rPr>
        <w:t>在职职工基本工资、津贴补贴等工资福利增涨导致</w:t>
      </w:r>
      <w:r>
        <w:rPr>
          <w:rFonts w:hint="eastAsia" w:ascii="仿宋_GB2312" w:eastAsia="仿宋_GB2312" w:hAnsiTheme="minorHAnsi" w:cstheme="minorBidi"/>
          <w:b w:val="0"/>
          <w:sz w:val="32"/>
          <w:szCs w:val="32"/>
          <w:lang w:eastAsia="zh-CN"/>
        </w:rPr>
        <w:t>养老</w:t>
      </w:r>
      <w:r>
        <w:rPr>
          <w:rFonts w:hint="eastAsia" w:ascii="仿宋_GB2312" w:eastAsia="仿宋_GB2312" w:hAnsiTheme="minorHAnsi" w:cstheme="minorBidi"/>
          <w:b w:val="0"/>
          <w:sz w:val="32"/>
          <w:szCs w:val="32"/>
        </w:rPr>
        <w:t>金基数增加</w:t>
      </w:r>
      <w:r>
        <w:rPr>
          <w:rFonts w:hint="eastAsia" w:ascii="仿宋_GB2312" w:eastAsia="仿宋_GB2312" w:hAnsiTheme="minorHAnsi" w:cstheme="minorBidi"/>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社会保障和就业支出（类）行政事业单位养老支出（款）机关事业单位职业年金缴费支出（项）：支出决算数为74.42万元，比上年决算减少0.23万元，下降0.31%，主要原因是：</w:t>
      </w:r>
      <w:r>
        <w:rPr>
          <w:rFonts w:hint="eastAsia" w:ascii="仿宋_GB2312" w:eastAsia="仿宋_GB2312"/>
          <w:b w:val="0"/>
          <w:sz w:val="32"/>
          <w:szCs w:val="32"/>
          <w:lang w:eastAsia="zh-CN"/>
        </w:rPr>
        <w:t>本年度退休人员比往年退休人员减少。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rPr>
      </w:pPr>
      <w:r>
        <w:rPr>
          <w:rFonts w:ascii="仿宋_GB2312" w:eastAsia="仿宋_GB2312"/>
          <w:b w:val="0"/>
          <w:sz w:val="32"/>
          <w:szCs w:val="32"/>
        </w:rPr>
        <w:t>社会保障和就业支出（类）就业补助（款）公益性岗位补贴（项）：支出决算数为0.00万元，比上年决算减少0.55万元，下降100.00%，主要原因是：</w:t>
      </w:r>
      <w:r>
        <w:rPr>
          <w:rFonts w:hint="eastAsia" w:ascii="仿宋_GB2312" w:eastAsia="仿宋_GB2312"/>
          <w:b w:val="0"/>
          <w:sz w:val="32"/>
          <w:szCs w:val="32"/>
          <w:lang w:eastAsia="zh-CN"/>
        </w:rPr>
        <w:t>本年度公益岗人员</w:t>
      </w:r>
      <w:r>
        <w:rPr>
          <w:rFonts w:hint="eastAsia" w:ascii="仿宋_GB2312" w:eastAsia="仿宋_GB2312"/>
          <w:b w:val="0"/>
          <w:sz w:val="32"/>
          <w:szCs w:val="32"/>
          <w:lang w:val="en-US" w:eastAsia="zh-CN"/>
        </w:rPr>
        <w:t>2人已辞职，故未产生公益性岗位补贴费用。</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卫生健康支出（类）行政事业单位医疗（款）事业单位医疗（项）：支出决算数为36.53万元，比上年决算增加36.53万元，增长100.00%，主要原因是：</w:t>
      </w:r>
      <w:r>
        <w:rPr>
          <w:rFonts w:hint="eastAsia" w:ascii="仿宋_GB2312" w:eastAsia="仿宋_GB2312"/>
          <w:b w:val="0"/>
          <w:sz w:val="32"/>
          <w:szCs w:val="32"/>
          <w:lang w:eastAsia="zh-CN"/>
        </w:rPr>
        <w:t>本年度因我单位性质由差额财政拨款事业单位改为全额财政拨款事业单位，医疗保险费用支出在该功能科目下核算。</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城乡社区支出（类）城乡社区管理事务（款）其他城乡社区管理事务支出（项）：支出决算数为913.43万元，比上年决算增加74.18万元，增长8.84%，主要原因是：</w:t>
      </w:r>
      <w:r>
        <w:rPr>
          <w:rFonts w:hint="eastAsia" w:ascii="仿宋_GB2312" w:eastAsia="仿宋_GB2312"/>
          <w:b w:val="0"/>
          <w:sz w:val="32"/>
          <w:szCs w:val="32"/>
          <w:lang w:eastAsia="zh-CN"/>
        </w:rPr>
        <w:t>本年度发放</w:t>
      </w:r>
      <w:r>
        <w:rPr>
          <w:rFonts w:hint="eastAsia" w:ascii="仿宋_GB2312" w:eastAsia="仿宋_GB2312"/>
          <w:b w:val="0"/>
          <w:sz w:val="32"/>
          <w:szCs w:val="32"/>
          <w:lang w:val="en-US" w:eastAsia="zh-CN"/>
        </w:rPr>
        <w:t>2020年半年以及2023年绩效考核奖金。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城乡社区支出（类）城乡社区公共设施（款）其他城乡社区公共设施支出（项）：支出决算数为462.21万元，比上年决算增加462.21万元，增长100.00%，主要原因是：</w:t>
      </w:r>
      <w:r>
        <w:rPr>
          <w:rFonts w:hint="eastAsia" w:ascii="仿宋_GB2312" w:eastAsia="仿宋_GB2312"/>
          <w:b w:val="0"/>
          <w:sz w:val="32"/>
          <w:szCs w:val="32"/>
          <w:lang w:eastAsia="zh-CN"/>
        </w:rPr>
        <w:t>部分维修（护）费本年度调整到该功能科目下核算。</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住房保障支出（类）住房改革支出（款）住房公积金（项）：支出决算数为127.62万元，比上年决算增加6.03万元，增长4.96%，主要原因是：</w:t>
      </w:r>
      <w:r>
        <w:rPr>
          <w:rFonts w:hint="eastAsia" w:ascii="仿宋_GB2312" w:eastAsia="仿宋_GB2312" w:hAnsiTheme="minorHAnsi" w:cstheme="minorBidi"/>
          <w:b w:val="0"/>
          <w:sz w:val="32"/>
          <w:szCs w:val="32"/>
        </w:rPr>
        <w:t>在职职工基本工资、津贴补贴等工资福利增涨导致</w:t>
      </w:r>
      <w:r>
        <w:rPr>
          <w:rFonts w:hint="eastAsia" w:ascii="仿宋_GB2312" w:eastAsia="仿宋_GB2312" w:hAnsiTheme="minorHAnsi" w:cstheme="minorBidi"/>
          <w:b w:val="0"/>
          <w:sz w:val="32"/>
          <w:szCs w:val="32"/>
          <w:lang w:eastAsia="zh-CN"/>
        </w:rPr>
        <w:t>公积</w:t>
      </w:r>
      <w:r>
        <w:rPr>
          <w:rFonts w:hint="eastAsia" w:ascii="仿宋_GB2312" w:eastAsia="仿宋_GB2312" w:hAnsiTheme="minorHAnsi" w:cstheme="minorBidi"/>
          <w:b w:val="0"/>
          <w:sz w:val="32"/>
          <w:szCs w:val="32"/>
        </w:rPr>
        <w:t>金基数增加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1,747.73万元，其中：人员经费1,700.99万元，包括：基本工资、津贴补贴、奖金、绩效工资、机关事业单位基本养老保险缴费、职业年金缴费、职工基本医疗保险缴费、其他社会保障缴费、住房公积金、退休费、抚恤金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公用经费46.74万元，包括：办公费、取暖费和差旅费。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2024年度政府性基金预算财政拨款收入总计1,408.00万元，其中：年初结转和结余0.00万元，本年收入1,408.00万元。政府性基金预算财政拨款支出总计1,408.00万元，其中：年末结转和结余0.00万元，本年支出1,408.00万元。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政府性基金预算财政拨款收入支出总体与上年相比，减少437.73万元，下降23.72%，主要原因是：</w:t>
      </w:r>
      <w:r>
        <w:rPr>
          <w:rFonts w:hint="eastAsia" w:ascii="仿宋_GB2312" w:eastAsia="仿宋_GB2312"/>
          <w:b w:val="0"/>
          <w:sz w:val="32"/>
          <w:szCs w:val="32"/>
          <w:lang w:eastAsia="zh-CN"/>
        </w:rPr>
        <w:t>本年度城市建设支出未在政府性基金预算财政拨款收入支出里面体现。</w:t>
      </w:r>
      <w:r>
        <w:rPr>
          <w:rFonts w:ascii="仿宋_GB2312" w:eastAsia="仿宋_GB2312"/>
          <w:b w:val="0"/>
          <w:sz w:val="32"/>
          <w:szCs w:val="32"/>
        </w:rPr>
        <w:t>与年初预算相比，年初预算数2,670.38万元，决算数1,408.00万元，预决算差异率-47.27%，主要原因是：</w:t>
      </w:r>
      <w:r>
        <w:rPr>
          <w:rFonts w:hint="eastAsia" w:ascii="仿宋_GB2312" w:eastAsia="仿宋_GB2312" w:hAnsiTheme="minorHAnsi" w:cstheme="minorBidi"/>
          <w:b w:val="0"/>
          <w:sz w:val="32"/>
          <w:szCs w:val="32"/>
          <w:lang w:eastAsia="zh-CN"/>
        </w:rPr>
        <w:t>按决算填报口径将政府性基金预算财政拨款收入调整至一般公共预算财政拨款收入</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政府性基金预算财政拨款支出1,408.00万元。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城乡社区支出（类）国有土地使用权出让收入安排的支出（款）城市建设支出（项）：支出决算数为0.00万元，比上年决算减少550.00万元，下降100.00%，主要原因是：</w:t>
      </w:r>
      <w:r>
        <w:rPr>
          <w:rFonts w:hint="eastAsia" w:ascii="仿宋_GB2312" w:eastAsia="仿宋_GB2312"/>
          <w:b w:val="0"/>
          <w:sz w:val="32"/>
          <w:szCs w:val="32"/>
          <w:lang w:eastAsia="zh-CN"/>
        </w:rPr>
        <w:t>本年度城市建设支出未在政府性基金预算财政拨款收入支出里面体现。维修（护）费及其他商品服务支出调到城乡社区支出（类）国有土地使用权出让收入安排的支出（款）其他国有土地使用权出让收入安排的支出（项）科目下核算。</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城乡社区支出（类）国有土地使用权出让收入安排的支出（款）其他国有土地使用权出让收入安排的支出（项）：支出决算数为658.00万元，比上年决算增加112.27万元，增长20.57%，主要原因是：</w:t>
      </w:r>
      <w:r>
        <w:rPr>
          <w:rFonts w:hint="eastAsia" w:ascii="仿宋_GB2312" w:eastAsia="仿宋_GB2312"/>
          <w:b w:val="0"/>
          <w:sz w:val="32"/>
          <w:szCs w:val="32"/>
          <w:lang w:eastAsia="zh-CN"/>
        </w:rPr>
        <w:t>本年度维修（护）费及其他商品服务支出调到城乡社区支出（类）国有土地使用权出让收入安排的支出（款）其他国有土地使用权出让收入安排的支出（项）科目下核算</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城乡社区支出（类）城市基础设施配套费安排的支出（款）城市公共设施（项）：支出决算数为750.00万元，与上年相比无变化，主要原因是：</w:t>
      </w:r>
      <w:r>
        <w:rPr>
          <w:rFonts w:hint="eastAsia" w:ascii="仿宋_GB2312" w:eastAsia="仿宋_GB2312"/>
          <w:b w:val="0"/>
          <w:sz w:val="32"/>
          <w:szCs w:val="32"/>
          <w:lang w:eastAsia="zh-CN"/>
        </w:rPr>
        <w:t>该支出为全市电费支出，本年度交国家电网电费与上年相同。</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2024年度财政拨款“三公”经费支出0.00万元，与上年相比无变化，主要原因是：</w:t>
      </w:r>
      <w:r>
        <w:rPr>
          <w:rFonts w:hint="eastAsia" w:ascii="仿宋_GB2312" w:eastAsia="仿宋_GB2312"/>
          <w:b w:val="0"/>
          <w:sz w:val="32"/>
          <w:szCs w:val="32"/>
          <w:lang w:eastAsia="zh-CN"/>
        </w:rPr>
        <w:t>我单位本年度未发生此项业务</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lang w:eastAsia="zh-CN"/>
        </w:rPr>
        <w:t>我单位本年度未发生</w:t>
      </w:r>
      <w:r>
        <w:rPr>
          <w:rFonts w:ascii="仿宋_GB2312" w:eastAsia="仿宋_GB2312"/>
          <w:b w:val="0"/>
          <w:sz w:val="32"/>
          <w:szCs w:val="32"/>
        </w:rPr>
        <w:t>因公出国（境）</w:t>
      </w:r>
      <w:r>
        <w:rPr>
          <w:rFonts w:hint="eastAsia" w:ascii="仿宋_GB2312" w:eastAsia="仿宋_GB2312"/>
          <w:b w:val="0"/>
          <w:sz w:val="32"/>
          <w:szCs w:val="32"/>
          <w:lang w:eastAsia="zh-CN"/>
        </w:rPr>
        <w:t>业务</w:t>
      </w:r>
      <w:r>
        <w:rPr>
          <w:rFonts w:ascii="仿宋_GB2312" w:eastAsia="仿宋_GB2312"/>
          <w:b w:val="0"/>
          <w:sz w:val="32"/>
          <w:szCs w:val="32"/>
        </w:rPr>
        <w:t>；公务用车购置及运行维护费支出0.00万元，占0.00%，与上年相比无变化，主要原因是：</w:t>
      </w:r>
      <w:r>
        <w:rPr>
          <w:rFonts w:hint="eastAsia" w:ascii="仿宋_GB2312" w:eastAsia="仿宋_GB2312"/>
          <w:b w:val="0"/>
          <w:sz w:val="32"/>
          <w:szCs w:val="32"/>
          <w:lang w:eastAsia="zh-CN"/>
        </w:rPr>
        <w:t>我单位本年度未发生</w:t>
      </w:r>
      <w:r>
        <w:rPr>
          <w:rFonts w:ascii="仿宋_GB2312" w:eastAsia="仿宋_GB2312"/>
          <w:b w:val="0"/>
          <w:sz w:val="32"/>
          <w:szCs w:val="32"/>
        </w:rPr>
        <w:t>公务用车购置及运行维护</w:t>
      </w:r>
      <w:r>
        <w:rPr>
          <w:rFonts w:hint="eastAsia" w:ascii="仿宋_GB2312" w:eastAsia="仿宋_GB2312"/>
          <w:b w:val="0"/>
          <w:sz w:val="32"/>
          <w:szCs w:val="32"/>
          <w:lang w:eastAsia="zh-CN"/>
        </w:rPr>
        <w:t>业务</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lang w:eastAsia="zh-CN"/>
        </w:rPr>
        <w:t>我单位本年度未发生</w:t>
      </w:r>
      <w:r>
        <w:rPr>
          <w:rFonts w:ascii="仿宋_GB2312" w:eastAsia="仿宋_GB2312"/>
          <w:b w:val="0"/>
          <w:sz w:val="32"/>
          <w:szCs w:val="32"/>
        </w:rPr>
        <w:t>公务接待</w:t>
      </w:r>
      <w:r>
        <w:rPr>
          <w:rFonts w:hint="eastAsia" w:ascii="仿宋_GB2312" w:eastAsia="仿宋_GB2312"/>
          <w:b w:val="0"/>
          <w:sz w:val="32"/>
          <w:szCs w:val="32"/>
          <w:lang w:eastAsia="zh-CN"/>
        </w:rPr>
        <w:t>业务</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w:t>
      </w:r>
      <w:r>
        <w:rPr>
          <w:rFonts w:hint="eastAsia" w:ascii="仿宋_GB2312" w:hAnsi="Times New Roman" w:eastAsia="仿宋_GB2312" w:cs="Times New Roman"/>
          <w:sz w:val="32"/>
          <w:szCs w:val="32"/>
          <w:lang w:eastAsia="zh-CN"/>
        </w:rPr>
        <w:t>本年未安排因公出国（境）费支出，无开支内容</w:t>
      </w:r>
      <w:r>
        <w:rPr>
          <w:rFonts w:ascii="仿宋_GB2312" w:eastAsia="仿宋_GB2312"/>
          <w:b w:val="0"/>
          <w:sz w:val="32"/>
          <w:szCs w:val="32"/>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w:t>
      </w:r>
      <w:r>
        <w:rPr>
          <w:rFonts w:hint="eastAsia" w:ascii="仿宋_GB2312" w:eastAsia="仿宋_GB2312"/>
          <w:b w:val="0"/>
          <w:sz w:val="32"/>
          <w:szCs w:val="32"/>
          <w:lang w:eastAsia="zh-CN"/>
        </w:rPr>
        <w:t>无</w:t>
      </w:r>
      <w:r>
        <w:rPr>
          <w:rFonts w:ascii="仿宋_GB2312" w:eastAsia="仿宋_GB2312"/>
          <w:b w:val="0"/>
          <w:sz w:val="32"/>
          <w:szCs w:val="32"/>
        </w:rPr>
        <w:t>开支内容。公务用车购置数0辆，公务用车保有量</w:t>
      </w:r>
      <w:r>
        <w:rPr>
          <w:rFonts w:hint="eastAsia" w:ascii="仿宋_GB2312" w:eastAsia="仿宋_GB2312"/>
          <w:b w:val="0"/>
          <w:sz w:val="32"/>
          <w:szCs w:val="32"/>
          <w:lang w:val="en-US" w:eastAsia="zh-CN"/>
        </w:rPr>
        <w:t>0</w:t>
      </w:r>
      <w:r>
        <w:rPr>
          <w:rFonts w:ascii="仿宋_GB2312" w:eastAsia="仿宋_GB2312"/>
          <w:b w:val="0"/>
          <w:sz w:val="32"/>
          <w:szCs w:val="32"/>
        </w:rPr>
        <w:t>辆。国有资产占用情况中固定资产车辆9辆，与公务用车保有量差异原因是：</w:t>
      </w:r>
      <w:r>
        <w:rPr>
          <w:rFonts w:hint="eastAsia" w:ascii="仿宋_GB2312" w:eastAsia="仿宋_GB2312"/>
          <w:b w:val="0"/>
          <w:sz w:val="32"/>
          <w:szCs w:val="32"/>
          <w:lang w:eastAsia="zh-CN"/>
        </w:rPr>
        <w:t>我单位车辆为道路养护车辆，费用由财政拨款专项保障</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w:t>
      </w:r>
      <w:r>
        <w:rPr>
          <w:rFonts w:hint="eastAsia" w:ascii="仿宋_GB2312" w:hAnsi="Times New Roman" w:eastAsia="仿宋_GB2312" w:cs="Times New Roman"/>
          <w:sz w:val="32"/>
          <w:szCs w:val="32"/>
          <w:lang w:eastAsia="zh-CN"/>
        </w:rPr>
        <w:t>本年未安排</w:t>
      </w:r>
      <w:r>
        <w:rPr>
          <w:rFonts w:ascii="仿宋_GB2312" w:eastAsia="仿宋_GB2312"/>
          <w:b w:val="0"/>
          <w:sz w:val="32"/>
          <w:szCs w:val="32"/>
        </w:rPr>
        <w:t>公务接待</w:t>
      </w:r>
      <w:r>
        <w:rPr>
          <w:rFonts w:hint="eastAsia" w:ascii="仿宋_GB2312" w:hAnsi="Times New Roman" w:eastAsia="仿宋_GB2312" w:cs="Times New Roman"/>
          <w:sz w:val="32"/>
          <w:szCs w:val="32"/>
          <w:lang w:eastAsia="zh-CN"/>
        </w:rPr>
        <w:t>费支出，无开支内容</w:t>
      </w:r>
      <w:r>
        <w:rPr>
          <w:rFonts w:ascii="仿宋_GB2312" w:eastAsia="仿宋_GB2312"/>
          <w:b w:val="0"/>
          <w:sz w:val="32"/>
          <w:szCs w:val="32"/>
        </w:rPr>
        <w:t>。单位全年安排的国内公务接待0批次，0人次。</w:t>
      </w:r>
      <w:bookmarkStart w:id="0" w:name="_GoBack"/>
      <w:bookmarkEnd w:id="0"/>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w:t>
      </w:r>
      <w:r>
        <w:rPr>
          <w:rFonts w:hint="eastAsia" w:ascii="仿宋_GB2312" w:eastAsia="仿宋_GB2312"/>
          <w:color w:val="auto"/>
          <w:sz w:val="32"/>
          <w:szCs w:val="32"/>
          <w:highlight w:val="none"/>
          <w:lang w:val="zh-CN" w:eastAsia="zh-CN"/>
        </w:rPr>
        <w:t>预决算一致无差异</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color w:val="auto"/>
          <w:sz w:val="32"/>
          <w:szCs w:val="32"/>
          <w:highlight w:val="none"/>
          <w:lang w:val="zh-CN" w:eastAsia="zh-CN"/>
        </w:rPr>
        <w:t>预决算一致无差异</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lang w:eastAsia="zh-CN"/>
        </w:rPr>
        <w:t>本年度未购置公务用车</w:t>
      </w:r>
      <w:r>
        <w:rPr>
          <w:rFonts w:ascii="仿宋_GB2312" w:eastAsia="仿宋_GB2312"/>
          <w:b w:val="0"/>
          <w:sz w:val="32"/>
          <w:szCs w:val="32"/>
        </w:rPr>
        <w:t>。公务用车运行维护费全年预算数0.00万元，决算数0.00万元，预决算差异率0.00%，主要原因是：</w:t>
      </w:r>
      <w:r>
        <w:rPr>
          <w:rFonts w:hint="eastAsia" w:ascii="仿宋_GB2312" w:eastAsia="仿宋_GB2312"/>
          <w:color w:val="auto"/>
          <w:sz w:val="32"/>
          <w:szCs w:val="32"/>
          <w:highlight w:val="none"/>
          <w:lang w:val="zh-CN" w:eastAsia="zh-CN"/>
        </w:rPr>
        <w:t>预决算一致无差异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color w:val="auto"/>
          <w:sz w:val="32"/>
          <w:szCs w:val="32"/>
          <w:highlight w:val="none"/>
          <w:lang w:val="zh-CN" w:eastAsia="zh-CN"/>
        </w:rPr>
        <w:t>预决算一致无差异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2024年度公用经费支出46.74万元，比上年减少1,298.39万元，下降96.53%，主要原因是：</w:t>
      </w:r>
      <w:r>
        <w:rPr>
          <w:rFonts w:hint="eastAsia" w:ascii="仿宋_GB2312" w:eastAsia="仿宋_GB2312"/>
          <w:b w:val="0"/>
          <w:sz w:val="32"/>
          <w:szCs w:val="32"/>
          <w:lang w:eastAsia="zh-CN"/>
        </w:rPr>
        <w:t>本年度办公费减少，劳务费、工会经费、基础设施建设费纳入到项目支出里面核算，因此，公用经费减少幅度大</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2024年度政府采购支出总额717.64万元，其中：政府采购货物支出421.72万元、政府采购工程支出295.19万元、政府采购服务支出0.73万元。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授予中小企业合同金额656.80万元，占政府采购支出总额的91.52%，其中：授予小微企业合同金额197.04万元，占政府采购支出总额的27.46%。</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360.00平方米，价值10.00万元。车辆9辆，价值66.92万元，其中：副部（省）级及以上领导用车0辆、主要负责人用车0辆、机要通信用车0辆、应急保障用车0辆、执法执勤用车0辆、特种专业技术用车0辆、离退休干部服务用车0辆、其他用车9辆，其他用车主要是：</w:t>
      </w:r>
      <w:r>
        <w:rPr>
          <w:rFonts w:hint="eastAsia" w:ascii="仿宋_GB2312" w:eastAsia="仿宋_GB2312"/>
          <w:b w:val="0"/>
          <w:sz w:val="32"/>
          <w:szCs w:val="32"/>
          <w:lang w:eastAsia="zh-CN"/>
        </w:rPr>
        <w:t>办公用车及业务用车</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hint="default" w:ascii="仿宋_GB2312" w:eastAsia="仿宋_GB2312" w:hAnsiTheme="minorHAnsi" w:cstheme="minorBidi"/>
          <w:b w:val="0"/>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3350.01</w:t>
      </w:r>
      <w:r>
        <w:rPr>
          <w:rFonts w:ascii="仿宋_GB2312" w:eastAsia="仿宋_GB2312"/>
          <w:b w:val="0"/>
          <w:sz w:val="32"/>
          <w:szCs w:val="32"/>
        </w:rPr>
        <w:t>万元，实际执行总额</w:t>
      </w:r>
      <w:r>
        <w:rPr>
          <w:rFonts w:hint="eastAsia" w:ascii="仿宋_GB2312" w:eastAsia="仿宋_GB2312"/>
          <w:b w:val="0"/>
          <w:sz w:val="32"/>
          <w:szCs w:val="32"/>
          <w:lang w:val="en-US" w:eastAsia="zh-CN"/>
        </w:rPr>
        <w:t>3350.01</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3</w:t>
      </w:r>
      <w:r>
        <w:rPr>
          <w:rFonts w:ascii="仿宋_GB2312" w:eastAsia="仿宋_GB2312"/>
          <w:b w:val="0"/>
          <w:sz w:val="32"/>
          <w:szCs w:val="32"/>
        </w:rPr>
        <w:t>个，全年预算数</w:t>
      </w:r>
      <w:r>
        <w:rPr>
          <w:rFonts w:hint="eastAsia" w:ascii="仿宋_GB2312" w:eastAsia="仿宋_GB2312"/>
          <w:b w:val="0"/>
          <w:sz w:val="32"/>
          <w:szCs w:val="32"/>
          <w:lang w:val="en-US" w:eastAsia="zh-CN"/>
        </w:rPr>
        <w:t>1003.40</w:t>
      </w:r>
      <w:r>
        <w:rPr>
          <w:rFonts w:ascii="仿宋_GB2312" w:eastAsia="仿宋_GB2312"/>
          <w:b w:val="0"/>
          <w:sz w:val="32"/>
          <w:szCs w:val="32"/>
        </w:rPr>
        <w:t>万元，全年执行数</w:t>
      </w:r>
      <w:r>
        <w:rPr>
          <w:rFonts w:hint="eastAsia" w:ascii="仿宋_GB2312" w:eastAsia="仿宋_GB2312"/>
          <w:b w:val="0"/>
          <w:sz w:val="32"/>
          <w:szCs w:val="32"/>
          <w:lang w:val="en-US" w:eastAsia="zh-CN"/>
        </w:rPr>
        <w:t>846.95</w:t>
      </w:r>
      <w:r>
        <w:rPr>
          <w:rFonts w:ascii="仿宋_GB2312" w:eastAsia="仿宋_GB2312"/>
          <w:b w:val="0"/>
          <w:sz w:val="32"/>
          <w:szCs w:val="32"/>
        </w:rPr>
        <w:t>万元。预算绩效管理取得的</w:t>
      </w:r>
      <w:r>
        <w:rPr>
          <w:rFonts w:ascii="仿宋_GB2312" w:eastAsia="仿宋_GB2312" w:hAnsiTheme="minorHAnsi" w:cstheme="minorBidi"/>
          <w:b w:val="0"/>
          <w:sz w:val="32"/>
          <w:szCs w:val="32"/>
        </w:rPr>
        <w:t>成效：</w:t>
      </w:r>
      <w:r>
        <w:rPr>
          <w:rFonts w:hint="eastAsia" w:ascii="仿宋_GB2312" w:eastAsia="仿宋_GB2312" w:hAnsiTheme="minorHAnsi" w:cstheme="minorBidi"/>
          <w:b w:val="0"/>
          <w:sz w:val="32"/>
          <w:szCs w:val="32"/>
          <w:lang w:val="en-US" w:eastAsia="zh-CN"/>
        </w:rPr>
        <w:t>（一）</w:t>
      </w:r>
      <w:r>
        <w:rPr>
          <w:rFonts w:hint="eastAsia" w:ascii="仿宋_GB2312" w:eastAsia="仿宋_GB2312" w:hAnsiTheme="minorHAnsi" w:cstheme="minorBidi"/>
          <w:b w:val="0"/>
          <w:sz w:val="32"/>
          <w:szCs w:val="32"/>
        </w:rPr>
        <w:t>城市道路维修</w:t>
      </w:r>
      <w:r>
        <w:rPr>
          <w:rFonts w:hint="eastAsia" w:ascii="仿宋_GB2312" w:eastAsia="仿宋_GB2312" w:hAnsiTheme="minorHAnsi" w:cstheme="minorBidi"/>
          <w:b w:val="0"/>
          <w:sz w:val="32"/>
          <w:szCs w:val="32"/>
          <w:lang w:eastAsia="zh-CN"/>
        </w:rPr>
        <w:t>管理方面。坚持从巡、养、管、防4个方面入手，动态掌握城市道路实际状况，修复道路塌陷、破损情况，确保道路完好率在95%以上。今年以来，完成维修破损路面</w:t>
      </w:r>
      <w:r>
        <w:rPr>
          <w:rFonts w:hint="eastAsia" w:ascii="仿宋_GB2312" w:eastAsia="仿宋_GB2312" w:hAnsiTheme="minorHAnsi" w:cstheme="minorBidi"/>
          <w:b w:val="0"/>
          <w:sz w:val="32"/>
          <w:szCs w:val="32"/>
          <w:lang w:val="en-US" w:eastAsia="zh-CN"/>
        </w:rPr>
        <w:t>15965.25</w:t>
      </w:r>
      <w:r>
        <w:rPr>
          <w:rFonts w:hint="eastAsia" w:ascii="仿宋_GB2312" w:eastAsia="仿宋_GB2312" w:hAnsiTheme="minorHAnsi" w:cstheme="minorBidi"/>
          <w:b w:val="0"/>
          <w:sz w:val="32"/>
          <w:szCs w:val="32"/>
          <w:lang w:eastAsia="zh-CN"/>
        </w:rPr>
        <w:t>平方米，维修人行道板</w:t>
      </w:r>
      <w:r>
        <w:rPr>
          <w:rFonts w:hint="eastAsia" w:ascii="仿宋_GB2312" w:eastAsia="仿宋_GB2312" w:hAnsiTheme="minorHAnsi" w:cstheme="minorBidi"/>
          <w:b w:val="0"/>
          <w:sz w:val="32"/>
          <w:szCs w:val="32"/>
          <w:lang w:val="en-US" w:eastAsia="zh-CN"/>
        </w:rPr>
        <w:t>8869.8</w:t>
      </w:r>
      <w:r>
        <w:rPr>
          <w:rFonts w:hint="eastAsia" w:ascii="仿宋_GB2312" w:eastAsia="仿宋_GB2312" w:hAnsiTheme="minorHAnsi" w:cstheme="minorBidi"/>
          <w:b w:val="0"/>
          <w:sz w:val="32"/>
          <w:szCs w:val="32"/>
          <w:lang w:eastAsia="zh-CN"/>
        </w:rPr>
        <w:t>平方米</w:t>
      </w:r>
      <w:r>
        <w:rPr>
          <w:rFonts w:hint="eastAsia" w:ascii="仿宋_GB2312" w:eastAsia="仿宋_GB2312" w:hAnsiTheme="minorHAnsi" w:cstheme="minorBidi"/>
          <w:b w:val="0"/>
          <w:sz w:val="32"/>
          <w:szCs w:val="32"/>
          <w:lang w:val="en-US" w:eastAsia="zh-CN"/>
        </w:rPr>
        <w:t>(其中:</w:t>
      </w:r>
      <w:r>
        <w:rPr>
          <w:rFonts w:hint="eastAsia" w:ascii="仿宋_GB2312" w:eastAsia="仿宋_GB2312" w:hAnsiTheme="minorHAnsi" w:cstheme="minorBidi"/>
          <w:b w:val="0"/>
          <w:sz w:val="32"/>
          <w:szCs w:val="32"/>
          <w:lang w:eastAsia="zh-CN"/>
        </w:rPr>
        <w:t>大理石板3</w:t>
      </w:r>
      <w:r>
        <w:rPr>
          <w:rFonts w:hint="eastAsia" w:ascii="仿宋_GB2312" w:eastAsia="仿宋_GB2312" w:hAnsiTheme="minorHAnsi" w:cstheme="minorBidi"/>
          <w:b w:val="0"/>
          <w:sz w:val="32"/>
          <w:szCs w:val="32"/>
          <w:lang w:val="en-US" w:eastAsia="zh-CN"/>
        </w:rPr>
        <w:t>40.66</w:t>
      </w:r>
      <w:r>
        <w:rPr>
          <w:rFonts w:hint="eastAsia" w:ascii="仿宋_GB2312" w:eastAsia="仿宋_GB2312" w:hAnsiTheme="minorHAnsi" w:cstheme="minorBidi"/>
          <w:b w:val="0"/>
          <w:sz w:val="32"/>
          <w:szCs w:val="32"/>
          <w:lang w:eastAsia="zh-CN"/>
        </w:rPr>
        <w:t>平方米</w:t>
      </w:r>
      <w:r>
        <w:rPr>
          <w:rFonts w:hint="eastAsia" w:ascii="仿宋_GB2312" w:eastAsia="仿宋_GB2312" w:hAnsiTheme="minorHAnsi" w:cstheme="minorBidi"/>
          <w:b w:val="0"/>
          <w:sz w:val="32"/>
          <w:szCs w:val="32"/>
          <w:lang w:val="en-US" w:eastAsia="zh-CN"/>
        </w:rPr>
        <w:t>)</w:t>
      </w:r>
      <w:r>
        <w:rPr>
          <w:rFonts w:hint="eastAsia" w:ascii="仿宋_GB2312" w:eastAsia="仿宋_GB2312" w:hAnsiTheme="minorHAnsi" w:cstheme="minorBidi"/>
          <w:b w:val="0"/>
          <w:sz w:val="32"/>
          <w:szCs w:val="32"/>
          <w:lang w:eastAsia="zh-CN"/>
        </w:rPr>
        <w:t>；采取有效措确保新城北路、铁门关路、建国桥地下通道、开发区智海路、科创路雨后防洪排涝路段积水问题得到及时处理。修补破损路面，改善出行环境，切实保障了市民出行的便利性和安全性</w:t>
      </w:r>
      <w:r>
        <w:rPr>
          <w:rFonts w:hint="default" w:ascii="仿宋_GB2312" w:eastAsia="仿宋_GB2312" w:hAnsiTheme="minorHAnsi" w:cstheme="minorBidi"/>
          <w:b w:val="0"/>
          <w:sz w:val="32"/>
          <w:szCs w:val="32"/>
        </w:rPr>
        <w:t>。</w:t>
      </w:r>
    </w:p>
    <w:p>
      <w:pPr>
        <w:widowControl/>
        <w:spacing w:before="0" w:beforeLines="0" w:beforeAutospacing="0" w:after="0" w:afterLines="0" w:afterAutospacing="0" w:line="240" w:lineRule="auto"/>
        <w:ind w:firstLine="640" w:firstLineChars="200"/>
        <w:jc w:val="both"/>
        <w:rPr>
          <w:rFonts w:hint="eastAsia" w:ascii="仿宋_GB2312" w:eastAsia="仿宋_GB2312" w:hAnsiTheme="minorHAnsi" w:cstheme="minorBidi"/>
          <w:b w:val="0"/>
          <w:sz w:val="32"/>
          <w:szCs w:val="32"/>
          <w:lang w:eastAsia="zh-CN"/>
        </w:rPr>
      </w:pPr>
      <w:r>
        <w:rPr>
          <w:rFonts w:hint="eastAsia" w:ascii="仿宋_GB2312" w:eastAsia="仿宋_GB2312" w:hAnsiTheme="minorHAnsi" w:cstheme="minorBidi"/>
          <w:b w:val="0"/>
          <w:sz w:val="32"/>
          <w:szCs w:val="32"/>
          <w:lang w:eastAsia="zh-CN"/>
        </w:rPr>
        <w:t>（二）城市照明设施维修管理方面。按照预防为主、协同配合、有序有力有效的原则，持续开展城市路灯设施监督巡查工作，确保道路照明设施的正常运行和安全，改善市民群众夜间出行环境，提升群众满意度和幸福感。今年以来，</w:t>
      </w:r>
      <w:r>
        <w:rPr>
          <w:rFonts w:hint="default" w:ascii="仿宋_GB2312" w:eastAsia="仿宋_GB2312" w:hAnsiTheme="minorHAnsi" w:cstheme="minorBidi"/>
          <w:b w:val="0"/>
          <w:sz w:val="32"/>
          <w:szCs w:val="32"/>
        </w:rPr>
        <w:t>维修路灯4</w:t>
      </w:r>
      <w:r>
        <w:rPr>
          <w:rFonts w:hint="eastAsia" w:ascii="仿宋_GB2312" w:eastAsia="仿宋_GB2312" w:hAnsiTheme="minorHAnsi" w:cstheme="minorBidi"/>
          <w:b w:val="0"/>
          <w:sz w:val="32"/>
          <w:szCs w:val="32"/>
          <w:lang w:val="en-US" w:eastAsia="zh-CN"/>
        </w:rPr>
        <w:t>924</w:t>
      </w:r>
      <w:r>
        <w:rPr>
          <w:rFonts w:hint="default" w:ascii="仿宋_GB2312" w:eastAsia="仿宋_GB2312" w:hAnsiTheme="minorHAnsi" w:cstheme="minorBidi"/>
          <w:b w:val="0"/>
          <w:sz w:val="32"/>
          <w:szCs w:val="32"/>
        </w:rPr>
        <w:t>盏，维修灯笼、国旗灯、中国结560组，维修灯杆门10</w:t>
      </w:r>
      <w:r>
        <w:rPr>
          <w:rFonts w:hint="eastAsia" w:ascii="仿宋_GB2312" w:eastAsia="仿宋_GB2312" w:hAnsiTheme="minorHAnsi" w:cstheme="minorBidi"/>
          <w:b w:val="0"/>
          <w:sz w:val="32"/>
          <w:szCs w:val="32"/>
          <w:lang w:val="en-US" w:eastAsia="zh-CN"/>
        </w:rPr>
        <w:t>4</w:t>
      </w:r>
      <w:r>
        <w:rPr>
          <w:rFonts w:hint="default" w:ascii="仿宋_GB2312" w:eastAsia="仿宋_GB2312" w:hAnsiTheme="minorHAnsi" w:cstheme="minorBidi"/>
          <w:b w:val="0"/>
          <w:sz w:val="32"/>
          <w:szCs w:val="32"/>
        </w:rPr>
        <w:t>个，维修微机监控设备47个</w:t>
      </w:r>
      <w:r>
        <w:rPr>
          <w:rFonts w:hint="eastAsia" w:ascii="仿宋_GB2312" w:eastAsia="仿宋_GB2312" w:hAnsiTheme="minorHAnsi" w:cstheme="minorBidi"/>
          <w:b w:val="0"/>
          <w:sz w:val="32"/>
          <w:szCs w:val="32"/>
          <w:lang w:eastAsia="zh-CN"/>
        </w:rPr>
        <w:t>，安装各类照明设施构件</w:t>
      </w:r>
      <w:r>
        <w:rPr>
          <w:rFonts w:hint="eastAsia" w:ascii="仿宋_GB2312" w:eastAsia="仿宋_GB2312" w:hAnsiTheme="minorHAnsi" w:cstheme="minorBidi"/>
          <w:b w:val="0"/>
          <w:sz w:val="32"/>
          <w:szCs w:val="32"/>
          <w:lang w:val="en-US" w:eastAsia="zh-CN"/>
        </w:rPr>
        <w:t>569个，处理各类照明设施故障792处</w:t>
      </w:r>
      <w:r>
        <w:rPr>
          <w:rFonts w:hint="eastAsia" w:ascii="仿宋_GB2312" w:eastAsia="仿宋_GB2312" w:hAnsiTheme="minorHAnsi" w:cstheme="minorBidi"/>
          <w:b w:val="0"/>
          <w:sz w:val="32"/>
          <w:szCs w:val="32"/>
          <w:lang w:eastAsia="zh-CN"/>
        </w:rPr>
        <w:t>。</w:t>
      </w:r>
      <w:r>
        <w:rPr>
          <w:rFonts w:hint="default" w:ascii="仿宋_GB2312" w:eastAsia="仿宋_GB2312" w:hAnsiTheme="minorHAnsi" w:cstheme="minorBidi"/>
          <w:b w:val="0"/>
          <w:sz w:val="32"/>
          <w:szCs w:val="32"/>
        </w:rPr>
        <w:t>使的主</w:t>
      </w:r>
      <w:r>
        <w:rPr>
          <w:rFonts w:hint="eastAsia" w:ascii="仿宋_GB2312" w:eastAsia="仿宋_GB2312" w:hAnsiTheme="minorHAnsi" w:cstheme="minorBidi"/>
          <w:b w:val="0"/>
          <w:sz w:val="32"/>
          <w:szCs w:val="32"/>
          <w:lang w:eastAsia="zh-CN"/>
        </w:rPr>
        <w:t>次</w:t>
      </w:r>
      <w:r>
        <w:rPr>
          <w:rFonts w:hint="default" w:ascii="仿宋_GB2312" w:eastAsia="仿宋_GB2312" w:hAnsiTheme="minorHAnsi" w:cstheme="minorBidi"/>
          <w:b w:val="0"/>
          <w:sz w:val="32"/>
          <w:szCs w:val="32"/>
        </w:rPr>
        <w:t>干道及景观灯亮灯率达</w:t>
      </w:r>
      <w:r>
        <w:rPr>
          <w:rFonts w:hint="eastAsia" w:ascii="仿宋_GB2312" w:eastAsia="仿宋_GB2312" w:hAnsiTheme="minorHAnsi" w:cstheme="minorBidi"/>
          <w:b w:val="0"/>
          <w:sz w:val="32"/>
          <w:szCs w:val="32"/>
          <w:lang w:eastAsia="zh-CN"/>
        </w:rPr>
        <w:t>标。</w:t>
      </w:r>
    </w:p>
    <w:p>
      <w:pPr>
        <w:widowControl/>
        <w:spacing w:before="0" w:beforeLines="0" w:beforeAutospacing="0" w:after="0" w:afterLines="0" w:afterAutospacing="0" w:line="240" w:lineRule="auto"/>
        <w:ind w:firstLine="640" w:firstLineChars="200"/>
        <w:jc w:val="both"/>
        <w:rPr>
          <w:rFonts w:hint="eastAsia" w:ascii="仿宋_GB2312" w:eastAsia="仿宋_GB2312" w:hAnsiTheme="minorHAnsi" w:cstheme="minorBidi"/>
          <w:b w:val="0"/>
          <w:sz w:val="32"/>
          <w:szCs w:val="32"/>
          <w:lang w:eastAsia="zh-CN"/>
        </w:rPr>
      </w:pPr>
      <w:r>
        <w:rPr>
          <w:rFonts w:hint="eastAsia" w:ascii="仿宋_GB2312" w:eastAsia="仿宋_GB2312" w:hAnsiTheme="minorHAnsi" w:cstheme="minorBidi"/>
          <w:b w:val="0"/>
          <w:sz w:val="32"/>
          <w:szCs w:val="32"/>
          <w:lang w:eastAsia="zh-CN"/>
        </w:rPr>
        <w:t>（三）</w:t>
      </w:r>
      <w:r>
        <w:rPr>
          <w:rFonts w:hint="eastAsia" w:ascii="仿宋_GB2312" w:eastAsia="仿宋_GB2312" w:hAnsiTheme="minorHAnsi" w:cstheme="minorBidi"/>
          <w:b w:val="0"/>
          <w:sz w:val="32"/>
          <w:szCs w:val="32"/>
        </w:rPr>
        <w:t>城市交安设施维修管理</w:t>
      </w:r>
      <w:r>
        <w:rPr>
          <w:rFonts w:hint="eastAsia" w:ascii="仿宋_GB2312" w:eastAsia="仿宋_GB2312" w:hAnsiTheme="minorHAnsi" w:cstheme="minorBidi"/>
          <w:b w:val="0"/>
          <w:sz w:val="32"/>
          <w:szCs w:val="32"/>
          <w:lang w:eastAsia="zh-CN"/>
        </w:rPr>
        <w:t>方面</w:t>
      </w:r>
      <w:r>
        <w:rPr>
          <w:rFonts w:hint="eastAsia" w:ascii="仿宋_GB2312" w:eastAsia="仿宋_GB2312" w:hAnsiTheme="minorHAnsi" w:cstheme="minorBidi"/>
          <w:b w:val="0"/>
          <w:sz w:val="32"/>
          <w:szCs w:val="32"/>
        </w:rPr>
        <w:t>。</w:t>
      </w:r>
      <w:r>
        <w:rPr>
          <w:rFonts w:hint="eastAsia" w:ascii="仿宋_GB2312" w:eastAsia="仿宋_GB2312" w:hAnsiTheme="minorHAnsi" w:cstheme="minorBidi"/>
          <w:b w:val="0"/>
          <w:sz w:val="32"/>
          <w:szCs w:val="32"/>
          <w:lang w:eastAsia="zh-CN"/>
        </w:rPr>
        <w:t>今年以来，</w:t>
      </w:r>
      <w:r>
        <w:rPr>
          <w:rFonts w:hint="default" w:ascii="仿宋_GB2312" w:eastAsia="仿宋_GB2312" w:hAnsiTheme="minorHAnsi" w:cstheme="minorBidi"/>
          <w:b w:val="0"/>
          <w:sz w:val="32"/>
          <w:szCs w:val="32"/>
        </w:rPr>
        <w:t>维修护栏</w:t>
      </w:r>
      <w:r>
        <w:rPr>
          <w:rFonts w:hint="eastAsia" w:ascii="仿宋_GB2312" w:eastAsia="仿宋_GB2312" w:hAnsiTheme="minorHAnsi" w:cstheme="minorBidi"/>
          <w:b w:val="0"/>
          <w:sz w:val="32"/>
          <w:szCs w:val="32"/>
          <w:lang w:val="en-US" w:eastAsia="zh-CN"/>
        </w:rPr>
        <w:t>5616</w:t>
      </w:r>
      <w:r>
        <w:rPr>
          <w:rFonts w:hint="default" w:ascii="仿宋_GB2312" w:eastAsia="仿宋_GB2312" w:hAnsiTheme="minorHAnsi" w:cstheme="minorBidi"/>
          <w:b w:val="0"/>
          <w:sz w:val="32"/>
          <w:szCs w:val="32"/>
        </w:rPr>
        <w:t>米，</w:t>
      </w:r>
      <w:r>
        <w:rPr>
          <w:rFonts w:hint="eastAsia" w:ascii="仿宋_GB2312" w:eastAsia="仿宋_GB2312" w:hAnsiTheme="minorHAnsi" w:cstheme="minorBidi"/>
          <w:b w:val="0"/>
          <w:sz w:val="32"/>
          <w:szCs w:val="32"/>
          <w:lang w:val="en-US" w:eastAsia="zh-CN"/>
        </w:rPr>
        <w:t>安装新护栏7581.28（其中：商业广告护栏6300米），施画城市道路标线73000平方米，维修交通信号灯28起，</w:t>
      </w:r>
      <w:r>
        <w:rPr>
          <w:rFonts w:hint="default" w:ascii="仿宋_GB2312" w:eastAsia="仿宋_GB2312" w:hAnsiTheme="minorHAnsi" w:cstheme="minorBidi"/>
          <w:b w:val="0"/>
          <w:sz w:val="32"/>
          <w:szCs w:val="32"/>
        </w:rPr>
        <w:t>协调产权单位处理井盖安全隐患</w:t>
      </w:r>
      <w:r>
        <w:rPr>
          <w:rFonts w:hint="eastAsia" w:ascii="仿宋_GB2312" w:eastAsia="仿宋_GB2312" w:hAnsiTheme="minorHAnsi" w:cstheme="minorBidi"/>
          <w:b w:val="0"/>
          <w:sz w:val="32"/>
          <w:szCs w:val="32"/>
          <w:lang w:val="en-US" w:eastAsia="zh-CN"/>
        </w:rPr>
        <w:t>260</w:t>
      </w:r>
      <w:r>
        <w:rPr>
          <w:rFonts w:hint="default" w:ascii="仿宋_GB2312" w:eastAsia="仿宋_GB2312" w:hAnsiTheme="minorHAnsi" w:cstheme="minorBidi"/>
          <w:b w:val="0"/>
          <w:sz w:val="32"/>
          <w:szCs w:val="32"/>
        </w:rPr>
        <w:t>起</w:t>
      </w:r>
      <w:r>
        <w:rPr>
          <w:rFonts w:hint="eastAsia" w:ascii="仿宋_GB2312" w:eastAsia="仿宋_GB2312" w:hAnsiTheme="minorHAnsi" w:cstheme="minorBidi"/>
          <w:b w:val="0"/>
          <w:sz w:val="32"/>
          <w:szCs w:val="32"/>
          <w:lang w:eastAsia="zh-CN"/>
        </w:rPr>
        <w:t>，</w:t>
      </w:r>
      <w:r>
        <w:rPr>
          <w:rFonts w:hint="default" w:ascii="仿宋_GB2312" w:eastAsia="仿宋_GB2312" w:hAnsiTheme="minorHAnsi" w:cstheme="minorBidi"/>
          <w:b w:val="0"/>
          <w:sz w:val="32"/>
          <w:szCs w:val="32"/>
        </w:rPr>
        <w:t>人工校正隔离墩、交通指示牌1</w:t>
      </w:r>
      <w:r>
        <w:rPr>
          <w:rFonts w:hint="eastAsia" w:ascii="仿宋_GB2312" w:eastAsia="仿宋_GB2312" w:hAnsiTheme="minorHAnsi" w:cstheme="minorBidi"/>
          <w:b w:val="0"/>
          <w:sz w:val="32"/>
          <w:szCs w:val="32"/>
          <w:lang w:val="en-US" w:eastAsia="zh-CN"/>
        </w:rPr>
        <w:t>91</w:t>
      </w:r>
      <w:r>
        <w:rPr>
          <w:rFonts w:hint="default" w:ascii="仿宋_GB2312" w:eastAsia="仿宋_GB2312" w:hAnsiTheme="minorHAnsi" w:cstheme="minorBidi"/>
          <w:b w:val="0"/>
          <w:sz w:val="32"/>
          <w:szCs w:val="32"/>
        </w:rPr>
        <w:t>个，确保交通安全设施完好。</w:t>
      </w:r>
    </w:p>
    <w:p>
      <w:pPr>
        <w:widowControl/>
        <w:spacing w:before="0" w:beforeLines="0" w:beforeAutospacing="0" w:after="0" w:afterLines="0" w:afterAutospacing="0" w:line="240" w:lineRule="auto"/>
        <w:ind w:firstLine="640" w:firstLineChars="200"/>
        <w:jc w:val="both"/>
        <w:rPr>
          <w:rFonts w:hint="eastAsia" w:ascii="仿宋_GB2312" w:eastAsia="仿宋_GB2312" w:hAnsiTheme="minorHAnsi" w:cstheme="minorBidi"/>
          <w:b w:val="0"/>
          <w:sz w:val="32"/>
          <w:szCs w:val="32"/>
          <w:lang w:eastAsia="zh-CN"/>
        </w:rPr>
      </w:pPr>
      <w:r>
        <w:rPr>
          <w:rFonts w:hint="eastAsia" w:ascii="仿宋_GB2312" w:eastAsia="仿宋_GB2312" w:hAnsiTheme="minorHAnsi" w:cstheme="minorBidi"/>
          <w:b w:val="0"/>
          <w:sz w:val="32"/>
          <w:szCs w:val="32"/>
          <w:lang w:eastAsia="zh-CN"/>
        </w:rPr>
        <w:t>（四）</w:t>
      </w:r>
      <w:r>
        <w:rPr>
          <w:rFonts w:hint="eastAsia" w:ascii="仿宋_GB2312" w:eastAsia="仿宋_GB2312" w:hAnsiTheme="minorHAnsi" w:cstheme="minorBidi"/>
          <w:b w:val="0"/>
          <w:sz w:val="32"/>
          <w:szCs w:val="32"/>
        </w:rPr>
        <w:t>重点任务</w:t>
      </w:r>
      <w:r>
        <w:rPr>
          <w:rFonts w:hint="eastAsia" w:ascii="仿宋_GB2312" w:eastAsia="仿宋_GB2312" w:hAnsiTheme="minorHAnsi" w:cstheme="minorBidi"/>
          <w:b w:val="0"/>
          <w:sz w:val="32"/>
          <w:szCs w:val="32"/>
          <w:lang w:eastAsia="zh-CN"/>
        </w:rPr>
        <w:t>完成情况。</w:t>
      </w:r>
      <w:r>
        <w:rPr>
          <w:rFonts w:hint="default" w:ascii="仿宋_GB2312" w:eastAsia="仿宋_GB2312" w:hAnsiTheme="minorHAnsi" w:cstheme="minorBidi"/>
          <w:b w:val="0"/>
          <w:sz w:val="32"/>
          <w:szCs w:val="32"/>
        </w:rPr>
        <w:t>一是营造良好</w:t>
      </w:r>
      <w:r>
        <w:rPr>
          <w:rFonts w:hint="eastAsia" w:ascii="仿宋_GB2312" w:eastAsia="仿宋_GB2312" w:hAnsiTheme="minorHAnsi" w:cstheme="minorBidi"/>
          <w:b w:val="0"/>
          <w:sz w:val="32"/>
          <w:szCs w:val="32"/>
          <w:lang w:eastAsia="zh-CN"/>
        </w:rPr>
        <w:t>春节</w:t>
      </w:r>
      <w:r>
        <w:rPr>
          <w:rFonts w:hint="default" w:ascii="仿宋_GB2312" w:eastAsia="仿宋_GB2312" w:hAnsiTheme="minorHAnsi" w:cstheme="minorBidi"/>
          <w:b w:val="0"/>
          <w:sz w:val="32"/>
          <w:szCs w:val="32"/>
        </w:rPr>
        <w:t>氛围</w:t>
      </w:r>
      <w:r>
        <w:rPr>
          <w:rFonts w:hint="eastAsia" w:ascii="仿宋_GB2312" w:eastAsia="仿宋_GB2312" w:hAnsiTheme="minorHAnsi" w:cstheme="minorBidi"/>
          <w:b w:val="0"/>
          <w:sz w:val="32"/>
          <w:szCs w:val="32"/>
          <w:lang w:eastAsia="zh-CN"/>
        </w:rPr>
        <w:t>。</w:t>
      </w:r>
      <w:r>
        <w:rPr>
          <w:rFonts w:hint="default" w:ascii="仿宋_GB2312" w:eastAsia="仿宋_GB2312" w:hAnsiTheme="minorHAnsi" w:cstheme="minorBidi"/>
          <w:b w:val="0"/>
          <w:sz w:val="32"/>
          <w:szCs w:val="32"/>
        </w:rPr>
        <w:t>安装LED灯带2.8万米、</w:t>
      </w:r>
      <w:r>
        <w:rPr>
          <w:rFonts w:hint="eastAsia" w:ascii="仿宋_GB2312" w:eastAsia="仿宋_GB2312" w:hAnsiTheme="minorHAnsi" w:cstheme="minorBidi"/>
          <w:b w:val="0"/>
          <w:sz w:val="32"/>
          <w:szCs w:val="32"/>
          <w:lang w:eastAsia="zh-CN"/>
        </w:rPr>
        <w:t>安装</w:t>
      </w:r>
      <w:r>
        <w:rPr>
          <w:rFonts w:hint="default" w:ascii="仿宋_GB2312" w:eastAsia="仿宋_GB2312" w:hAnsiTheme="minorHAnsi" w:cstheme="minorBidi"/>
          <w:b w:val="0"/>
          <w:sz w:val="32"/>
          <w:szCs w:val="32"/>
        </w:rPr>
        <w:t>装饰灯笼</w:t>
      </w:r>
      <w:r>
        <w:rPr>
          <w:rFonts w:hint="eastAsia" w:ascii="仿宋_GB2312" w:eastAsia="仿宋_GB2312" w:hAnsiTheme="minorHAnsi" w:cstheme="minorBidi"/>
          <w:b w:val="0"/>
          <w:sz w:val="32"/>
          <w:szCs w:val="32"/>
          <w:lang w:eastAsia="zh-CN"/>
        </w:rPr>
        <w:t>、中国节</w:t>
      </w:r>
      <w:r>
        <w:rPr>
          <w:rFonts w:hint="eastAsia" w:ascii="仿宋_GB2312" w:eastAsia="仿宋_GB2312" w:hAnsiTheme="minorHAnsi" w:cstheme="minorBidi"/>
          <w:b w:val="0"/>
          <w:sz w:val="32"/>
          <w:szCs w:val="32"/>
          <w:lang w:val="en-US" w:eastAsia="zh-CN"/>
        </w:rPr>
        <w:t>6127</w:t>
      </w:r>
      <w:r>
        <w:rPr>
          <w:rFonts w:hint="default" w:ascii="仿宋_GB2312" w:eastAsia="仿宋_GB2312" w:hAnsiTheme="minorHAnsi" w:cstheme="minorBidi"/>
          <w:b w:val="0"/>
          <w:sz w:val="32"/>
          <w:szCs w:val="32"/>
        </w:rPr>
        <w:t>个</w:t>
      </w:r>
      <w:r>
        <w:rPr>
          <w:rFonts w:hint="eastAsia" w:ascii="仿宋_GB2312" w:eastAsia="仿宋_GB2312" w:hAnsiTheme="minorHAnsi" w:cstheme="minorBidi"/>
          <w:b w:val="0"/>
          <w:sz w:val="32"/>
          <w:szCs w:val="32"/>
          <w:lang w:eastAsia="zh-CN"/>
        </w:rPr>
        <w:t>，</w:t>
      </w:r>
      <w:r>
        <w:rPr>
          <w:rFonts w:hint="default" w:ascii="仿宋_GB2312" w:eastAsia="仿宋_GB2312" w:hAnsiTheme="minorHAnsi" w:cstheme="minorBidi"/>
          <w:b w:val="0"/>
          <w:sz w:val="32"/>
          <w:szCs w:val="32"/>
        </w:rPr>
        <w:t>实现昼夜皆景，提升城市亮化品质和效果。二是市政设施整治维修</w:t>
      </w:r>
      <w:r>
        <w:rPr>
          <w:rFonts w:hint="eastAsia" w:ascii="仿宋_GB2312" w:eastAsia="仿宋_GB2312" w:hAnsiTheme="minorHAnsi" w:cstheme="minorBidi"/>
          <w:b w:val="0"/>
          <w:sz w:val="32"/>
          <w:szCs w:val="32"/>
          <w:lang w:eastAsia="zh-CN"/>
        </w:rPr>
        <w:t>。助力</w:t>
      </w:r>
      <w:r>
        <w:rPr>
          <w:rFonts w:hint="eastAsia" w:ascii="仿宋_GB2312" w:eastAsia="仿宋_GB2312" w:hAnsiTheme="minorHAnsi" w:cstheme="minorBidi"/>
          <w:b w:val="0"/>
          <w:sz w:val="32"/>
          <w:szCs w:val="32"/>
          <w:lang w:val="en-US" w:eastAsia="zh-CN"/>
        </w:rPr>
        <w:t>2024</w:t>
      </w:r>
      <w:r>
        <w:rPr>
          <w:rFonts w:hint="default" w:ascii="仿宋_GB2312" w:eastAsia="仿宋_GB2312" w:hAnsiTheme="minorHAnsi" w:cstheme="minorBidi"/>
          <w:b w:val="0"/>
          <w:sz w:val="32"/>
          <w:szCs w:val="32"/>
        </w:rPr>
        <w:t>库尔勒马拉松比赛</w:t>
      </w:r>
      <w:r>
        <w:rPr>
          <w:rFonts w:hint="eastAsia" w:ascii="仿宋_GB2312" w:eastAsia="仿宋_GB2312" w:hAnsiTheme="minorHAnsi" w:cstheme="minorBidi"/>
          <w:b w:val="0"/>
          <w:sz w:val="32"/>
          <w:szCs w:val="32"/>
          <w:lang w:eastAsia="zh-CN"/>
        </w:rPr>
        <w:t>、2024“新疆是个好地方”对口援疆非遗展示活动的顺利举办，做好重点区域路段市政</w:t>
      </w:r>
      <w:r>
        <w:rPr>
          <w:rFonts w:hint="default" w:ascii="仿宋_GB2312" w:eastAsia="仿宋_GB2312" w:hAnsiTheme="minorHAnsi" w:cstheme="minorBidi"/>
          <w:b w:val="0"/>
          <w:sz w:val="32"/>
          <w:szCs w:val="32"/>
        </w:rPr>
        <w:t>设施整治维修工</w:t>
      </w:r>
      <w:r>
        <w:rPr>
          <w:rFonts w:hint="eastAsia" w:ascii="仿宋_GB2312" w:eastAsia="仿宋_GB2312" w:hAnsiTheme="minorHAnsi" w:cstheme="minorBidi"/>
          <w:b w:val="0"/>
          <w:sz w:val="32"/>
          <w:szCs w:val="32"/>
          <w:lang w:eastAsia="zh-CN"/>
        </w:rPr>
        <w:t>作</w:t>
      </w:r>
      <w:r>
        <w:rPr>
          <w:rFonts w:hint="default" w:ascii="仿宋_GB2312" w:eastAsia="仿宋_GB2312" w:hAnsiTheme="minorHAnsi" w:cstheme="minorBidi"/>
          <w:b w:val="0"/>
          <w:sz w:val="32"/>
          <w:szCs w:val="32"/>
        </w:rPr>
        <w:t>。</w:t>
      </w:r>
      <w:r>
        <w:rPr>
          <w:rFonts w:hint="eastAsia" w:ascii="仿宋_GB2312" w:eastAsia="仿宋_GB2312" w:hAnsiTheme="minorHAnsi" w:cstheme="minorBidi"/>
          <w:b w:val="0"/>
          <w:sz w:val="32"/>
          <w:szCs w:val="32"/>
          <w:lang w:eastAsia="zh-CN"/>
        </w:rPr>
        <w:t>三是重大活动保电。做好</w:t>
      </w:r>
      <w:r>
        <w:rPr>
          <w:rFonts w:hint="default" w:ascii="仿宋_GB2312" w:eastAsia="仿宋_GB2312" w:hAnsiTheme="minorHAnsi" w:cstheme="minorBidi"/>
          <w:b w:val="0"/>
          <w:sz w:val="32"/>
          <w:szCs w:val="32"/>
        </w:rPr>
        <w:t>“巴州70年大庆”、“2024年新疆中秋晚会”、库尔勒烈士陵园纪念日、国庆节升国旗仪式</w:t>
      </w:r>
      <w:r>
        <w:rPr>
          <w:rFonts w:hint="eastAsia" w:ascii="仿宋_GB2312" w:eastAsia="仿宋_GB2312" w:hAnsiTheme="minorHAnsi" w:cstheme="minorBidi"/>
          <w:b w:val="0"/>
          <w:sz w:val="32"/>
          <w:szCs w:val="32"/>
          <w:lang w:eastAsia="zh-CN"/>
        </w:rPr>
        <w:t>等活动的</w:t>
      </w:r>
      <w:r>
        <w:rPr>
          <w:rFonts w:hint="default" w:ascii="仿宋_GB2312" w:eastAsia="仿宋_GB2312" w:hAnsiTheme="minorHAnsi" w:cstheme="minorBidi"/>
          <w:b w:val="0"/>
          <w:sz w:val="32"/>
          <w:szCs w:val="32"/>
        </w:rPr>
        <w:t>电力保障工作</w:t>
      </w:r>
      <w:r>
        <w:rPr>
          <w:rFonts w:hint="eastAsia" w:ascii="仿宋_GB2312" w:eastAsia="仿宋_GB2312" w:hAnsiTheme="minorHAnsi" w:cstheme="minorBidi"/>
          <w:b w:val="0"/>
          <w:sz w:val="32"/>
          <w:szCs w:val="32"/>
          <w:lang w:eastAsia="zh-CN"/>
        </w:rPr>
        <w:t>。</w:t>
      </w:r>
    </w:p>
    <w:p>
      <w:pPr>
        <w:widowControl/>
        <w:spacing w:before="0" w:beforeLines="0" w:beforeAutospacing="0" w:after="0" w:afterLines="0" w:afterAutospacing="0" w:line="240" w:lineRule="auto"/>
        <w:ind w:firstLine="640" w:firstLineChars="200"/>
        <w:jc w:val="both"/>
        <w:rPr>
          <w:rFonts w:hint="eastAsia" w:ascii="仿宋_GB2312" w:eastAsia="仿宋_GB2312" w:hAnsiTheme="minorHAnsi" w:cstheme="minorBidi"/>
          <w:b w:val="0"/>
          <w:sz w:val="32"/>
          <w:szCs w:val="32"/>
          <w:lang w:eastAsia="zh-CN"/>
        </w:rPr>
      </w:pPr>
      <w:r>
        <w:rPr>
          <w:rFonts w:hint="eastAsia" w:ascii="仿宋_GB2312" w:eastAsia="仿宋_GB2312" w:hAnsiTheme="minorHAnsi" w:cstheme="minorBidi"/>
          <w:b w:val="0"/>
          <w:sz w:val="32"/>
          <w:szCs w:val="32"/>
          <w:lang w:val="en-US" w:eastAsia="zh-CN"/>
        </w:rPr>
        <w:t>（五）其它。</w:t>
      </w:r>
      <w:r>
        <w:rPr>
          <w:rFonts w:hint="eastAsia" w:ascii="仿宋_GB2312" w:eastAsia="仿宋_GB2312" w:hAnsiTheme="minorHAnsi" w:cstheme="minorBidi"/>
          <w:b w:val="0"/>
          <w:sz w:val="32"/>
          <w:szCs w:val="32"/>
          <w:lang w:eastAsia="zh-CN"/>
        </w:rPr>
        <w:t>另据梨马办、12345政务热线、自治区互联网+督查、网络舆情、综治平台及人大、政协提案议案、州长信箱等渠道反应市政设施存在问题，做到及时整治修复，案件办结总计</w:t>
      </w:r>
      <w:r>
        <w:rPr>
          <w:rFonts w:hint="eastAsia" w:ascii="仿宋_GB2312" w:eastAsia="仿宋_GB2312" w:hAnsiTheme="minorHAnsi" w:cstheme="minorBidi"/>
          <w:b w:val="0"/>
          <w:sz w:val="32"/>
          <w:szCs w:val="32"/>
          <w:lang w:val="en-US" w:eastAsia="zh-CN"/>
        </w:rPr>
        <w:t>378</w:t>
      </w:r>
      <w:r>
        <w:rPr>
          <w:rFonts w:hint="eastAsia" w:ascii="仿宋_GB2312" w:eastAsia="仿宋_GB2312" w:hAnsiTheme="minorHAnsi" w:cstheme="minorBidi"/>
          <w:b w:val="0"/>
          <w:sz w:val="32"/>
          <w:szCs w:val="32"/>
          <w:lang w:eastAsia="zh-CN"/>
        </w:rPr>
        <w:t>件，办结率</w:t>
      </w:r>
      <w:r>
        <w:rPr>
          <w:rFonts w:hint="eastAsia" w:ascii="仿宋_GB2312" w:eastAsia="仿宋_GB2312" w:hAnsiTheme="minorHAnsi" w:cstheme="minorBidi"/>
          <w:b w:val="0"/>
          <w:sz w:val="32"/>
          <w:szCs w:val="32"/>
          <w:lang w:val="en-US" w:eastAsia="zh-CN"/>
        </w:rPr>
        <w:t>100</w:t>
      </w:r>
      <w:r>
        <w:rPr>
          <w:rFonts w:hint="eastAsia" w:ascii="仿宋_GB2312" w:eastAsia="仿宋_GB2312" w:hAnsiTheme="minorHAnsi" w:cstheme="minorBidi"/>
          <w:b w:val="0"/>
          <w:sz w:val="32"/>
          <w:szCs w:val="32"/>
          <w:lang w:eastAsia="zh-CN"/>
        </w:rPr>
        <w:t>%，群众满意率100%。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。发现的问题及原因：</w:t>
      </w:r>
      <w:r>
        <w:rPr>
          <w:rFonts w:hint="eastAsia" w:ascii="仿宋_GB2312" w:eastAsia="仿宋_GB2312"/>
          <w:b w:val="0"/>
          <w:sz w:val="32"/>
          <w:szCs w:val="32"/>
          <w:lang w:eastAsia="zh-CN"/>
        </w:rPr>
        <w:t>一是公共设施不足，城市新建道路的增多，公共设施严重不足；二是，公共设施数量多，分布广，需要更多的人力及财力</w:t>
      </w:r>
      <w:r>
        <w:rPr>
          <w:rFonts w:ascii="仿宋_GB2312" w:eastAsia="仿宋_GB2312"/>
          <w:b w:val="0"/>
          <w:sz w:val="32"/>
          <w:szCs w:val="32"/>
        </w:rPr>
        <w:t>。下一步改进措施：</w:t>
      </w:r>
      <w:r>
        <w:rPr>
          <w:rFonts w:hint="eastAsia" w:ascii="仿宋_GB2312" w:eastAsia="仿宋_GB2312"/>
          <w:b w:val="0"/>
          <w:sz w:val="32"/>
          <w:szCs w:val="32"/>
          <w:lang w:eastAsia="zh-CN"/>
        </w:rPr>
        <w:t>紧跟市政府及各级上级部门的步伐，将上级部门的各项工作安排落实到实处；争取将公共设施建设的更好更实用；</w:t>
      </w:r>
      <w:r>
        <w:rPr>
          <w:rFonts w:hint="eastAsia" w:ascii="仿宋_GB2312" w:eastAsia="仿宋_GB2312"/>
          <w:color w:val="auto"/>
          <w:sz w:val="32"/>
          <w:szCs w:val="32"/>
          <w:highlight w:val="none"/>
          <w:lang w:eastAsia="zh-CN"/>
        </w:rPr>
        <w:t>改善城市基础公共设施，保障城市公共设施正常运行，提高市政公共设施的完好率</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pStyle w:val="2"/>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r>
        <w:drawing>
          <wp:inline distT="0" distB="0" distL="114300" distR="114300">
            <wp:extent cx="5389880" cy="6485255"/>
            <wp:effectExtent l="0" t="0" r="127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389880" cy="6485255"/>
                    </a:xfrm>
                    <a:prstGeom prst="rect">
                      <a:avLst/>
                    </a:prstGeom>
                    <a:noFill/>
                    <a:ln>
                      <a:noFill/>
                    </a:ln>
                  </pic:spPr>
                </pic:pic>
              </a:graphicData>
            </a:graphic>
          </wp:inline>
        </w:drawing>
      </w: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r>
        <w:drawing>
          <wp:inline distT="0" distB="0" distL="114300" distR="114300">
            <wp:extent cx="5482590" cy="6015355"/>
            <wp:effectExtent l="0" t="0" r="381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482590" cy="6015355"/>
                    </a:xfrm>
                    <a:prstGeom prst="rect">
                      <a:avLst/>
                    </a:prstGeom>
                    <a:noFill/>
                    <a:ln>
                      <a:noFill/>
                    </a:ln>
                  </pic:spPr>
                </pic:pic>
              </a:graphicData>
            </a:graphic>
          </wp:inline>
        </w:drawing>
      </w: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r>
        <w:drawing>
          <wp:inline distT="0" distB="0" distL="114300" distR="114300">
            <wp:extent cx="5451475" cy="6652260"/>
            <wp:effectExtent l="0" t="0" r="15875" b="152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451475" cy="6652260"/>
                    </a:xfrm>
                    <a:prstGeom prst="rect">
                      <a:avLst/>
                    </a:prstGeom>
                    <a:noFill/>
                    <a:ln>
                      <a:noFill/>
                    </a:ln>
                  </pic:spPr>
                </pic:pic>
              </a:graphicData>
            </a:graphic>
          </wp:inline>
        </w:drawing>
      </w: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r>
        <w:drawing>
          <wp:inline distT="0" distB="0" distL="114300" distR="114300">
            <wp:extent cx="5482590" cy="6082030"/>
            <wp:effectExtent l="0" t="0" r="3810" b="139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482590" cy="6082030"/>
                    </a:xfrm>
                    <a:prstGeom prst="rect">
                      <a:avLst/>
                    </a:prstGeom>
                    <a:noFill/>
                    <a:ln>
                      <a:noFill/>
                    </a:ln>
                  </pic:spPr>
                </pic:pic>
              </a:graphicData>
            </a:graphic>
          </wp:inline>
        </w:drawing>
      </w: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r>
        <w:drawing>
          <wp:inline distT="0" distB="0" distL="114300" distR="114300">
            <wp:extent cx="5483225" cy="6315710"/>
            <wp:effectExtent l="0" t="0" r="317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483225" cy="6315710"/>
                    </a:xfrm>
                    <a:prstGeom prst="rect">
                      <a:avLst/>
                    </a:prstGeom>
                    <a:noFill/>
                    <a:ln>
                      <a:noFill/>
                    </a:ln>
                  </pic:spPr>
                </pic:pic>
              </a:graphicData>
            </a:graphic>
          </wp:inline>
        </w:drawing>
      </w: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r>
        <w:drawing>
          <wp:inline distT="0" distB="0" distL="114300" distR="114300">
            <wp:extent cx="5480685" cy="6972300"/>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480685" cy="6972300"/>
                    </a:xfrm>
                    <a:prstGeom prst="rect">
                      <a:avLst/>
                    </a:prstGeom>
                    <a:noFill/>
                    <a:ln>
                      <a:noFill/>
                    </a:ln>
                  </pic:spPr>
                </pic:pic>
              </a:graphicData>
            </a:graphic>
          </wp:inline>
        </w:drawing>
      </w: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r>
        <w:drawing>
          <wp:inline distT="0" distB="0" distL="114300" distR="114300">
            <wp:extent cx="5481955" cy="3063240"/>
            <wp:effectExtent l="0" t="0" r="4445"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481955" cy="3063240"/>
                    </a:xfrm>
                    <a:prstGeom prst="rect">
                      <a:avLst/>
                    </a:prstGeom>
                    <a:noFill/>
                    <a:ln>
                      <a:noFill/>
                    </a:ln>
                  </pic:spPr>
                </pic:pic>
              </a:graphicData>
            </a:graphic>
          </wp:inline>
        </w:drawing>
      </w: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r>
        <w:drawing>
          <wp:inline distT="0" distB="0" distL="114300" distR="114300">
            <wp:extent cx="5482590" cy="3152140"/>
            <wp:effectExtent l="0" t="0" r="3810" b="1016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482590" cy="3152140"/>
                    </a:xfrm>
                    <a:prstGeom prst="rect">
                      <a:avLst/>
                    </a:prstGeom>
                    <a:noFill/>
                    <a:ln>
                      <a:noFill/>
                    </a:ln>
                  </pic:spPr>
                </pic:pic>
              </a:graphicData>
            </a:graphic>
          </wp:inline>
        </w:drawing>
      </w: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p>
    <w:p>
      <w:pPr>
        <w:pStyle w:val="3"/>
        <w:rPr>
          <w:rFonts w:ascii="仿宋_GB2312" w:eastAsia="仿宋_GB2312"/>
          <w:b w:val="0"/>
          <w:sz w:val="32"/>
          <w:szCs w:val="32"/>
        </w:rPr>
      </w:pPr>
      <w:r>
        <w:drawing>
          <wp:inline distT="0" distB="0" distL="114300" distR="114300">
            <wp:extent cx="5485765" cy="2449830"/>
            <wp:effectExtent l="0" t="0" r="635"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485765" cy="2449830"/>
                    </a:xfrm>
                    <a:prstGeom prst="rect">
                      <a:avLst/>
                    </a:prstGeom>
                    <a:noFill/>
                    <a:ln>
                      <a:noFill/>
                    </a:ln>
                  </pic:spPr>
                </pic:pic>
              </a:graphicData>
            </a:graphic>
          </wp:inline>
        </w:drawing>
      </w:r>
    </w:p>
    <w:p>
      <w:pPr>
        <w:pStyle w:val="3"/>
        <w:rPr>
          <w:rFonts w:ascii="仿宋_GB2312" w:eastAsia="仿宋_GB2312"/>
          <w:b w:val="0"/>
          <w:sz w:val="32"/>
          <w:szCs w:val="32"/>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001E2152"/>
    <w:rsid w:val="163811DA"/>
    <w:rsid w:val="180072BD"/>
    <w:rsid w:val="1EF71FC7"/>
    <w:rsid w:val="2C7B13E6"/>
    <w:rsid w:val="356B6527"/>
    <w:rsid w:val="4CB06BE7"/>
    <w:rsid w:val="4D483A4D"/>
    <w:rsid w:val="544F4ED5"/>
    <w:rsid w:val="55F168A5"/>
    <w:rsid w:val="5B787752"/>
    <w:rsid w:val="6C3C448E"/>
    <w:rsid w:val="74A764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Body Text First Indent"/>
    <w:basedOn w:val="2"/>
    <w:unhideWhenUsed/>
    <w:qFormat/>
    <w:uiPriority w:val="0"/>
    <w:pPr>
      <w:ind w:firstLine="420" w:firstLineChars="100"/>
    </w:pPr>
  </w:style>
  <w:style w:type="paragraph" w:customStyle="1" w:styleId="6">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2025-08-13T11:30:00Z</dcterms:created>
  <dc:creator>Administrator</dc:creator>
  <cp:lastModifiedBy>lenovo</cp:lastModifiedBy>
  <dcterms:modified xsi:type="dcterms:W3CDTF">2025-10-24T05:19:00Z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95D2E86107AD46FAAD150A46F1207CD2</vt:lpwstr>
  </property>
</Properties>
</file>