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left"/>
        <w:rPr>
          <w:rFonts w:ascii="黑体" w:hAnsi="黑体" w:eastAsia="黑体" w:cs="宋体"/>
          <w:color w:val="333333"/>
          <w:sz w:val="32"/>
          <w:szCs w:val="32"/>
          <w:lang w:bidi="ar"/>
        </w:rPr>
      </w:pPr>
      <w:bookmarkStart w:id="1" w:name="_GoBack"/>
      <w:bookmarkEnd w:id="1"/>
      <w:r>
        <w:rPr>
          <w:rFonts w:hint="eastAsia" w:ascii="黑体" w:hAnsi="黑体" w:eastAsia="黑体" w:cs="宋体"/>
          <w:color w:val="333333"/>
          <w:sz w:val="32"/>
          <w:szCs w:val="32"/>
          <w:lang w:bidi="ar"/>
        </w:rPr>
        <w:t>附件4：</w:t>
      </w: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部门单位整体支出绩效</w:t>
      </w: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w:t>
      </w:r>
      <w:r>
        <w:rPr>
          <w:rFonts w:hint="eastAsia" w:ascii="仿宋_GB2312" w:hAnsi="宋体" w:eastAsia="仿宋_GB2312"/>
          <w:b/>
          <w:sz w:val="32"/>
          <w:szCs w:val="32"/>
        </w:rPr>
        <w:t>2024</w:t>
      </w:r>
      <w:r>
        <w:rPr>
          <w:rFonts w:hint="eastAsia" w:hAnsi="宋体" w:eastAsia="仿宋_GB2312" w:cs="宋体"/>
          <w:kern w:val="0"/>
          <w:sz w:val="36"/>
          <w:szCs w:val="36"/>
        </w:rPr>
        <w:t>年度）</w:t>
      </w: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540" w:lineRule="exact"/>
        <w:ind w:firstLine="720" w:firstLineChars="200"/>
        <w:rPr>
          <w:rFonts w:hAnsi="宋体" w:eastAsia="仿宋_GB2312" w:cs="宋体"/>
          <w:kern w:val="0"/>
          <w:sz w:val="44"/>
          <w:szCs w:val="44"/>
        </w:rPr>
      </w:pPr>
      <w:r>
        <w:rPr>
          <w:rFonts w:hint="eastAsia" w:hAnsi="宋体" w:eastAsia="仿宋_GB2312" w:cs="宋体"/>
          <w:kern w:val="0"/>
          <w:sz w:val="36"/>
          <w:szCs w:val="36"/>
        </w:rPr>
        <w:t>部门单位名称（公章）</w:t>
      </w:r>
      <w:r>
        <w:rPr>
          <w:rFonts w:hint="eastAsia" w:ascii="仿宋" w:hAnsi="仿宋" w:eastAsia="仿宋" w:cs="仿宋"/>
          <w:kern w:val="0"/>
          <w:sz w:val="44"/>
          <w:szCs w:val="44"/>
        </w:rPr>
        <w:t>：</w:t>
      </w:r>
      <w:r>
        <w:rPr>
          <w:rStyle w:val="6"/>
          <w:rFonts w:hint="eastAsia" w:ascii="仿宋" w:hAnsi="仿宋" w:eastAsia="仿宋" w:cs="仿宋"/>
          <w:b w:val="0"/>
          <w:bCs w:val="0"/>
          <w:spacing w:val="-4"/>
          <w:sz w:val="44"/>
          <w:szCs w:val="44"/>
        </w:rPr>
        <w:t>库尔勒市园林绿化事务中心</w:t>
      </w:r>
    </w:p>
    <w:p>
      <w:pPr>
        <w:spacing w:line="540" w:lineRule="exact"/>
        <w:ind w:firstLine="720" w:firstLineChars="200"/>
        <w:rPr>
          <w:rFonts w:ascii="仿宋" w:hAnsi="仿宋" w:eastAsia="仿宋" w:cs="仿宋"/>
          <w:kern w:val="0"/>
          <w:sz w:val="44"/>
          <w:szCs w:val="44"/>
        </w:rPr>
      </w:pPr>
      <w:r>
        <w:rPr>
          <w:rFonts w:hint="eastAsia" w:hAnsi="宋体" w:eastAsia="仿宋_GB2312" w:cs="宋体"/>
          <w:kern w:val="0"/>
          <w:sz w:val="36"/>
          <w:szCs w:val="36"/>
        </w:rPr>
        <w:t>填报时间：</w:t>
      </w:r>
      <w:r>
        <w:rPr>
          <w:rStyle w:val="6"/>
          <w:rFonts w:hint="eastAsia" w:ascii="仿宋" w:hAnsi="仿宋" w:eastAsia="仿宋" w:cs="仿宋"/>
          <w:b w:val="0"/>
          <w:bCs w:val="0"/>
          <w:spacing w:val="-4"/>
          <w:sz w:val="44"/>
          <w:szCs w:val="44"/>
        </w:rPr>
        <w:t>2025年04月29日</w:t>
      </w: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基本概况：</w:t>
      </w:r>
    </w:p>
    <w:p>
      <w:pPr>
        <w:spacing w:line="600" w:lineRule="exact"/>
        <w:ind w:firstLine="964" w:firstLineChars="300"/>
        <w:jc w:val="left"/>
        <w:rPr>
          <w:rFonts w:hint="eastAsia" w:ascii="Arial" w:hAnsi="Arial" w:cs="Arial"/>
          <w:b/>
          <w:bCs/>
          <w:color w:val="333333"/>
          <w:sz w:val="30"/>
          <w:szCs w:val="30"/>
        </w:rPr>
      </w:pPr>
      <w:r>
        <w:rPr>
          <w:rFonts w:hint="eastAsia" w:ascii="黑体" w:hAnsi="黑体" w:eastAsia="黑体" w:cs="宋体"/>
          <w:b/>
          <w:color w:val="000000" w:themeColor="text1"/>
          <w:sz w:val="32"/>
          <w:szCs w:val="32"/>
          <w:lang w:bidi="ar"/>
          <w14:textFill>
            <w14:solidFill>
              <w14:schemeClr w14:val="tx1"/>
            </w14:solidFill>
          </w14:textFill>
        </w:rPr>
        <w:t>（一）</w:t>
      </w:r>
      <w:r>
        <w:rPr>
          <w:rFonts w:ascii="黑体" w:hAnsi="黑体" w:eastAsia="黑体" w:cs="宋体"/>
          <w:b/>
          <w:color w:val="000000" w:themeColor="text1"/>
          <w:sz w:val="32"/>
          <w:szCs w:val="32"/>
          <w:lang w:bidi="ar"/>
          <w14:textFill>
            <w14:solidFill>
              <w14:schemeClr w14:val="tx1"/>
            </w14:solidFill>
          </w14:textFill>
        </w:rPr>
        <w:t>部门单位基本情况</w:t>
      </w:r>
      <w:r>
        <w:rPr>
          <w:rFonts w:hint="eastAsia" w:ascii="Arial" w:hAnsi="Arial" w:cs="Arial"/>
          <w:b/>
          <w:bCs/>
          <w:color w:val="333333"/>
          <w:sz w:val="30"/>
          <w:szCs w:val="30"/>
        </w:rPr>
        <w:t>：</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（一）单位基本情况</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1.主要职能</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市园林绿化事务中心贯彻落实党中央关于园林绿化工作的方针政策和决策部署，以及自治区、自治州党委和市委相关工作要求，在履职尽责过程中坚持和加强党对园林绿化工作的集中统一领导，主要职责是:</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(一)负责贯彻落实国家、自治区、自治州、库尔勒市有关园林绿化的方针、政策、法律、法规和规章；结合本市实际起草城市园林绿化有关政策、实施细则。</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(二)负责实施城市绿地系统规划；组织制定城市绿化发展年度计划，并组织实施；负责园林行业的普查、统计、申报工作。</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(三)负责公共绿地的养护管理；负责对城市建成区内其他绿地的建设和管理进行监督检查指导。</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(四)执行城市绿化“绿线”管理制度；监督检查城市建成区各类绿地的达标情况；验收城市建设项目中园林绿化的比例和布局；监督检查城市建成区绿地领养及异地绿化工作。</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(五)根据国家《城市绿化条例》依法上报违反园林绿化法律、法规、规章有关线索。</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(六)负责城市园林队伍的建设、组织人才培养、技术交流、在职人员岗位和业务培训、继续教育工作；负责园林绿化的安全生产工作。</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(七)完成市住房和城乡建设局交办的其他任务。</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2.机构设置及人员情况</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库尔勒市园林绿化事务中心编制数181，实有人数356人，其中：在职210人，减少6人；退休146人，增加5人；离休0人，增加0人。</w:t>
      </w:r>
      <w:bookmarkStart w:id="0" w:name="_Hlk43849111"/>
      <w:bookmarkEnd w:id="0"/>
    </w:p>
    <w:p>
      <w:pPr>
        <w:spacing w:line="600" w:lineRule="exact"/>
        <w:ind w:firstLine="964" w:firstLineChars="300"/>
        <w:jc w:val="left"/>
        <w:rPr>
          <w:rFonts w:hint="eastAsia"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（二）</w:t>
      </w:r>
      <w:r>
        <w:rPr>
          <w:rFonts w:ascii="黑体" w:hAnsi="黑体" w:eastAsia="黑体" w:cs="宋体"/>
          <w:b/>
          <w:color w:val="000000" w:themeColor="text1"/>
          <w:sz w:val="32"/>
          <w:szCs w:val="32"/>
          <w:lang w:bidi="ar"/>
          <w14:textFill>
            <w14:solidFill>
              <w14:schemeClr w14:val="tx1"/>
            </w14:solidFill>
          </w14:textFill>
        </w:rPr>
        <w:t>部门单位年度重点工作：</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1.年度总体目标</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目标1：一是加强城市建成区道路、公园、广场绿化补植及绿化建设工作，切实做到树木整齐，树冠美观，没有缺株、断垱。二是对现有的街头绿地、园林小品进行品质提升，打造精品街头绿地，不断提升城市绿化美化环境，营造良好的环境氛围。对新建游园进行景观再提升，种植品种多样、色彩多样、花卉多样的乔、灌、花搭配的自然景观，给市民营造舒适的生活环境；绿地总面积4041.35公顷。</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目标2：负责对城市规划区内的公共绿地、道路绿化、防护 绿地、单位附属绿地、居住区绿地、风景林地，生产绿地的 建设管理工作进行检查指导；负责市政所属广场，公园的各 类社会活动的审批。负责建成区苗圃地，花木市场的规划、建设和管理； 负责进入城区苗木花卉检疫及苗木花卉病虫害的预测预报。绿化覆盖面积4322.01公顷。</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2.重点工作计划</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1）抓好城市绿化精细化管理工作。一是加强城市建成区道路、公园、广场绿化补植及绿化建设工作，切实到树木整齐，树冠美观，没有缺株断垄。二是对现有的街头绿地、园林小品进行品质提升，打造精品街头绿地，不断提升城市绿化美化环境，营造良好的环境氛围，为国家生态园林城市创建提供保障。</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（2）做好2023 年秋季绿化补植工作，对各公园广场、“口袋公园”以及各类道路绿化苗木进行补植,减少缺株断垄现象，并丰富植物配置。？</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（3）提前做好2024年春秋季绿化苗木、花卉的摸排统计工作,对新建道路绿化提前规划设计,做好苗木招投标相关工作。</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（4）加大对城市园林绿化各项工作的宣传，多形式、多渠道宣传绿化养护工作的重要性，充分调动市民爱绿护绿的积极性，弘扬生态文明建设，不断巩固绿化成果。？</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 xml:space="preserve">（5）做好“口袋公园”景观提升，继续摸排适宜新建或改造的地块，建成“口袋公用”，给市民营造舒适的休闲、游乐场所。？ </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（6）全力做好2024年“五·一"、国庆、“9·30”烈士纪念日、70年州庆等一系列重大活动、重要节日的服务保障任务。</w:t>
      </w:r>
    </w:p>
    <w:p>
      <w:pPr>
        <w:spacing w:line="600" w:lineRule="exact"/>
        <w:ind w:firstLine="964" w:firstLineChars="300"/>
        <w:jc w:val="left"/>
        <w:rPr>
          <w:rFonts w:hint="eastAsia"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（三）</w:t>
      </w:r>
      <w:r>
        <w:rPr>
          <w:rFonts w:ascii="黑体" w:hAnsi="黑体" w:eastAsia="黑体" w:cs="宋体"/>
          <w:b/>
          <w:color w:val="000000" w:themeColor="text1"/>
          <w:sz w:val="32"/>
          <w:szCs w:val="32"/>
          <w:lang w:bidi="ar"/>
          <w14:textFill>
            <w14:solidFill>
              <w14:schemeClr w14:val="tx1"/>
            </w14:solidFill>
          </w14:textFill>
        </w:rPr>
        <w:t>部门单位整体预算规模及安排情况：</w:t>
      </w:r>
    </w:p>
    <w:p>
      <w:pPr>
        <w:spacing w:line="600" w:lineRule="exact"/>
        <w:ind w:firstLine="960" w:firstLineChars="300"/>
        <w:jc w:val="left"/>
        <w:rPr>
          <w:rFonts w:hint="eastAsia" w:ascii="仿宋_GB2312" w:hAnsi="宋体" w:eastAsia="仿宋_GB2312"/>
          <w:bCs/>
          <w:sz w:val="32"/>
          <w:szCs w:val="32"/>
        </w:rPr>
      </w:pPr>
      <w:r>
        <w:rPr>
          <w:rFonts w:hint="eastAsia" w:ascii="仿宋_GB2312" w:hAnsi="宋体" w:eastAsia="仿宋_GB2312"/>
          <w:bCs/>
          <w:sz w:val="32"/>
          <w:szCs w:val="32"/>
        </w:rPr>
        <w:t>2024年库尔勒市园林绿化事务中心年初预算安排14564.58万元，其中财政拨款14564.58万元，其他资金0万元，主要用于库尔勒市建成区绿化养护管护所用人工及水电、农药、苗木、花草种子及车辆经费的支出。年中调整1940.46万元，调整后全年预算12624.12万元，预算调整率15.37%，调整预算的主要原因为当年部分工程项目因手续不全，无法完成支付。</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部门单位整体支出管理及使用情况：</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（一）单位整体支出管理情况</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1.预算编制</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2024年我单位坚持围绕中心工作，科学谋划预算资金安排，依据规定程序和要求，及时完成单位预算编制申报，同时合理设定入库项目绩效指标、年度目标值，科学构建编报单位整体预算申请绩效报告，推动提高财政资金配置效益。</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2.预算执行</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库尔勒市财政批复预算后，我单位按要求及时制定并报批单位预算支出计划，严格落实预算执行定期分析机制，靠前抓好支出执行，坚持严肃财经纪律，硬化预算约束，持续树牢厉行节约理念，严控一般性支出，努力降低事业运行成本。</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3.绩效管理</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2024年，我单位严格按照财政要求，落实预算绩效管理全过程，包括①注重绩效目标编制，预算编制环节注重编细编实预算需求，科学选择绩效指标，合理设置绩效目标值，为财政资金发挥效益夯实基础。②落实绩效“双监控”，预算执行过程中，以年度支出计划为基础，定期分析预算执行和绩效目标落实情况，并依托财政预算绩效管理平台分5月、8月对预算执行动态进行实时监控，发现问题及时纠偏，确保绩效目标落地落实。③扎实开展自评工作，年度终了，扎实开展预算绩效目标完成情况部门审核和自评工作。</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4.信息公开</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我单位已按要求在库尔勒市人民政府门户网站公开单位预算信息，同步公开绩效目标表；在库尔勒市人民政府门户网站公开单位决算信息，同步公开自评表及自评报告。</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（二）单位整体支出使用情况</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1.基本支出情况</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2024年基本支出3575.38万元，包括工资福利支出3285.87万元，商品和服务支出183.29万元，对个人和家庭的补助106.22万元，资本性支出0万元。其中：“三公”经费支出6.38万元，比上年增加3.98万元，主要原因是“三公”经费支出根据机关事务管理局车辆编制数调整增加了年初预算；会议费支出0万元，比上年增加0万元，主要原因是2024年未支出，未安排；培训费支出3.93万元，比上年增加3.15万元，主要原因是年终按实际业务，支付办公费及办公大楼垃圾处置费。</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2.专项资金支出情况</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2024年专项项目支出9048.74万元，占总支出的71.68％，主要用于：（1） 一般公共预算财政拨款项目支出：劳动公园新时代廉洁文化建设经费1万元，2024年库尔勒市园林事务中心人防建设费80.98万元，银泉水务公司自来水水费1200万元，  延续项目—2021-2022年苗木支撑及绿化经费132.29万元，延续项目—市政绿化地表水水费76.50万元，部门专项—政府购买服务913.59万元，巴州旷视智慧科技、新疆骏特设计工程有限公司、园林绿化供水管网改造工程设计费（以资产抵付工程款）152.23万元，春节前农民工工资42.50万元，偿还政府欠款—化解中小企业欠款112.56万元， 延续项目—2023年春季绿化苗木经费109.50万元，延续项目—巴州新通惠塑胶有限责任公司材料欠款60万元，2024年园林绿化事务中心春节园林小品资金5.1万元， 延续项目—灯笼款、林地补偿款等经费195.34万元，延续项目—国庆园林小品资金25.49万元，新疆巴电建设安装有限责任公司设备安装费17.13万元；（2）政府性基金预算财政拨款项目支出：春节前农民工工资30万元， 2024年春节前解决农民工工资457.50万元， 延续项目—拖欠新疆昌源水务集团库尔勒银泉供水有限公司市政园林绿化水费1200万元，部门专项-天鹅食物4万元，部门专项—政府购买服务4098.23万元；（3）其他支出：河北红色文化润疆建设项目134.80万元。</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3.单位专项组织实施情况</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年初我单位下发的库尔勒市园林绿化事务中心工作计划，对项目的工作分工、任务分配、资金落实、完成时限等提出了明确、具体的要求，以确保项目保质、保量、按时完成。截至2024年12月31日，完成专项21个，未完成专项0个。</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为规范专项资金使用，提高专项资金使用效益，我单位主要采取两项措施。一是制订专项资金管理制度；二是各专项资金建立了专账，切实保证专项资金都做到专款专用。</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 xml:space="preserve">   （1）制定了《库尔勒市园林绿化事务中心专项资金管理办法》，各项资金使用审批流程均按规定办理。涉及“三重一大”内容，严格按照规定提请局党委会审议决定，包括项目资金分配、重大项目确定、大额资金支付等。</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（2）建立各项目专项资金支付台账，做到有据可依，有据可查。深入分析项目资金的分配、使用和监管情况，确保资金使用的合规性、高效性和透明度。</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部门单位整体支出绩效分析：</w:t>
      </w:r>
    </w:p>
    <w:p>
      <w:pPr>
        <w:spacing w:line="600" w:lineRule="exact"/>
        <w:ind w:firstLine="800" w:firstLineChars="250"/>
        <w:jc w:val="left"/>
        <w:rPr>
          <w:rFonts w:ascii="仿宋_GB2312" w:hAnsi="宋体" w:eastAsia="仿宋_GB2312"/>
          <w:b/>
          <w:sz w:val="32"/>
          <w:szCs w:val="32"/>
        </w:rPr>
      </w:pPr>
      <w:r>
        <w:rPr>
          <w:rFonts w:hint="eastAsia" w:ascii="黑体" w:hAnsi="黑体" w:eastAsia="黑体" w:cs="宋体"/>
          <w:bCs/>
          <w:color w:val="333333"/>
          <w:sz w:val="32"/>
          <w:szCs w:val="32"/>
          <w:lang w:bidi="ar"/>
        </w:rPr>
        <w:t xml:space="preserve"> </w:t>
      </w:r>
      <w:r>
        <w:rPr>
          <w:rFonts w:hint="eastAsia" w:ascii="仿宋_GB2312" w:hAnsi="宋体" w:eastAsia="仿宋_GB2312"/>
          <w:bCs/>
          <w:sz w:val="32"/>
          <w:szCs w:val="32"/>
        </w:rPr>
        <w:t>（一）预算执行情况分析</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2024年库尔勒市园林绿化事务中心总支出12624.12万元，预算执行率100%，其中:其他纪检监察事务支出1万元，其他组织事务支出15.77万元，培训支出8.34万元，事业单位离退休102.22万元，机关及事业单位基本养老保险缴费支出366.12万元，机关事业职业年金缴费支出52.04万元，事业单位医疗169.91万元，其他城乡社区管理事务支出2659.25万元，城乡社区环境卫生3042.23万元,其他国有土地使用权出让收入安排的支出1687.5万元，城市环境卫生4107.37万元，其他城乡社区支出134.80万元，住房公积金277.57万元。</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1.基本支出使用情况</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2024年，库尔勒市园林绿化事务中心基本支出3575.38万元，占总支出的28.32％，其中：一般公共服务支出15.77万元，教育支出8.34万元，社会保障和就业支出520.38万元，卫生健康支出169.91万元，城乡社区支出2583.41万元，住房改革支出277.57万元。</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2.项目支出使用情况</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2024年，库尔勒市园林绿化事务中心项目支出9048.74万元，占总支出的71.68％。其中：其他纪检监察事务支出1万元，其他城乡社区管理事务支出80.98万元，城乡社区环境卫生3042.23万元，其他国有土地使用权出让收入安排的支出1687.50万元，城市环境卫生4102.23万元，其他城乡社区支出134.80万元。</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（二）部门单位整体支出绩效指标完成情况分析</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年初我单位设置部门整体绩效目标中包括一级指标1个，二级指标1个，三级指标4个，指标完成情况分析如下：</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3.履职效能</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（1）数量指标</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指标1：保障绿地面积，指标值：&gt;=4041.35公顷，年中监控完成值：4041.35公顷，自评完成值：4087.76公顷，指标完成率101.15%，偏差1.15%，偏差原因:新增公园面积和道路绿化面积，改进措施：今后将加强绿化管护养护工作，指标成效分析：通过增加绿地面积，植被吸收更多的二氧化碳，释放氧气，降低空气污染；优化城市绿化布局，增加公园、街头绿地等休闲空间，提升市民幸福感。</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指标2：绿化覆盖面积，指标值：&gt;=4322.01公顷，年中监控完成值：4322.01公顷，自评完成值：4408.42公顷，指标完成率102 %,偏差2%，偏差原因：树木不断生长，绿化覆盖面积增加，改进措施：今后将加强绿化管护养护工作，指标成效分析：绿化覆盖面积的不断增加，有效减少沙尘天气影响，提升城市空气质量，减少噪音，创造更加适宜的居住环境。</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指标3：建成区绿地率，指标值：&gt;=40.86% ，年中监控完成值：40.86%，自评完成值：41.33%，指标完成率101.15%,偏差1.15%，偏差原因:新增公园面积和道路绿化面积，改进措施：今后将加强绿化管护养护工作，指标成效分析:通过增加绿地面积，使植物能够更多的吸收空气中的有害气体，吸附灰尘，释放氧气，提高空气质量，为各种动植物提供栖息地，促进城市生态系统的平衡和稳定，保护生物多样性；公园、街头绿地的增加，为居民提供更多的户外活动场所，有利于居民身心健康。</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指标4：建成区绿化覆盖率，指标值：&gt;=43.70% ，年中监控完成值：43.70%，自评完成值：44.17%，指标完成率102 %,偏差2%，偏差原因:树木不断生长，绿化覆盖面积增加，改进措施：今后将加强绿化管护养护工作，指标成效分析:绿化覆盖面积的不断增加，提升了城市形象及景观效果，如道路绿化、公园建设等，增强了城市吸引力。</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评价结论：</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2024年度单位整体支出绩效评价综合得分100分，评价结果为“优”。</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存在的主要问题及原因分析：</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 xml:space="preserve">1. 资金使用效率不足 ：预算执行率偏低，部分项目资金闲置或延迟使用，影响绿化工程进度；成本控制不严，如苗木采购、养护环节存在浪费现象。  </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 xml:space="preserve">2. 绿化工程质量管理待提升：部分区域绿化效果欠佳（如开春时节病虫害严重），后期管护需进一步提高。  </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 xml:space="preserve">3. 技术创新与人才短板：专业人员培训不足，尤其缺乏生态修复、数字化管理领域人才。  </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改进措施和建议：</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（一）改进措施</w:t>
      </w:r>
      <w:r>
        <w:rPr>
          <w:rFonts w:hint="eastAsia" w:ascii="仿宋_GB2312" w:hAnsi="宋体" w:eastAsia="仿宋_GB2312"/>
          <w:bCs/>
          <w:sz w:val="32"/>
          <w:szCs w:val="32"/>
        </w:rPr>
        <w:br w:type="textWrapping"/>
      </w:r>
      <w:r>
        <w:rPr>
          <w:rFonts w:hint="eastAsia" w:ascii="仿宋_GB2312" w:hAnsi="宋体" w:eastAsia="仿宋_GB2312"/>
          <w:bCs/>
          <w:sz w:val="32"/>
          <w:szCs w:val="32"/>
        </w:rPr>
        <w:t xml:space="preserve">1. 优化资金管理：引入“项目库”动态管理，优先保障重点工程，按月跟踪预算执行；继续推行政府采购公开招标，降低苗木、设备采购成本。  </w:t>
      </w:r>
      <w:r>
        <w:rPr>
          <w:rFonts w:hint="eastAsia" w:ascii="仿宋_GB2312" w:hAnsi="宋体" w:eastAsia="仿宋_GB2312"/>
          <w:bCs/>
          <w:sz w:val="32"/>
          <w:szCs w:val="32"/>
        </w:rPr>
        <w:br w:type="textWrapping"/>
      </w:r>
      <w:r>
        <w:rPr>
          <w:rFonts w:hint="eastAsia" w:ascii="仿宋_GB2312" w:hAnsi="宋体" w:eastAsia="仿宋_GB2312"/>
          <w:bCs/>
          <w:sz w:val="32"/>
          <w:szCs w:val="32"/>
        </w:rPr>
        <w:t xml:space="preserve">2. 强化全周期质量管理：制定《绿化工程管护标准》，明确养护责任（如浇水、修剪频率）；引入第三方评估机构，对项目施工、养护环节开展抽查。  </w:t>
      </w:r>
      <w:r>
        <w:rPr>
          <w:rFonts w:hint="eastAsia" w:ascii="仿宋_GB2312" w:hAnsi="宋体" w:eastAsia="仿宋_GB2312"/>
          <w:bCs/>
          <w:sz w:val="32"/>
          <w:szCs w:val="32"/>
        </w:rPr>
        <w:br w:type="textWrapping"/>
      </w:r>
      <w:r>
        <w:rPr>
          <w:rFonts w:hint="eastAsia" w:ascii="仿宋_GB2312" w:hAnsi="宋体" w:eastAsia="仿宋_GB2312"/>
          <w:bCs/>
          <w:sz w:val="32"/>
          <w:szCs w:val="32"/>
        </w:rPr>
        <w:t>3. 加强技术赋能与培训：与高校合作开展技能培训，重点培养景观设计、生态修复人才。</w:t>
      </w:r>
      <w:r>
        <w:rPr>
          <w:rFonts w:hint="eastAsia" w:ascii="仿宋_GB2312" w:hAnsi="宋体" w:eastAsia="仿宋_GB2312"/>
          <w:bCs/>
          <w:sz w:val="32"/>
          <w:szCs w:val="32"/>
        </w:rPr>
        <w:br w:type="textWrapping"/>
      </w:r>
      <w:r>
        <w:rPr>
          <w:rFonts w:hint="eastAsia" w:ascii="仿宋_GB2312" w:hAnsi="宋体" w:eastAsia="仿宋_GB2312"/>
          <w:bCs/>
          <w:sz w:val="32"/>
          <w:szCs w:val="32"/>
        </w:rPr>
        <w:t>（二）建议</w:t>
      </w:r>
      <w:r>
        <w:rPr>
          <w:rFonts w:hint="eastAsia" w:ascii="仿宋_GB2312" w:hAnsi="宋体" w:eastAsia="仿宋_GB2312"/>
          <w:bCs/>
          <w:sz w:val="32"/>
          <w:szCs w:val="32"/>
        </w:rPr>
        <w:br w:type="textWrapping"/>
      </w:r>
      <w:r>
        <w:rPr>
          <w:rFonts w:hint="eastAsia" w:ascii="仿宋_GB2312" w:hAnsi="宋体" w:eastAsia="仿宋_GB2312"/>
          <w:bCs/>
          <w:sz w:val="32"/>
          <w:szCs w:val="32"/>
        </w:rPr>
        <w:t xml:space="preserve">1. 建立跨部门协作机制：联合规划、环保部门统筹绿地布局，避免重复建设（如与市政工程冲突）。  </w:t>
      </w:r>
      <w:r>
        <w:rPr>
          <w:rFonts w:hint="eastAsia" w:ascii="仿宋_GB2312" w:hAnsi="宋体" w:eastAsia="仿宋_GB2312"/>
          <w:bCs/>
          <w:sz w:val="32"/>
          <w:szCs w:val="32"/>
        </w:rPr>
        <w:br w:type="textWrapping"/>
      </w:r>
      <w:r>
        <w:rPr>
          <w:rFonts w:hint="eastAsia" w:ascii="仿宋_GB2312" w:hAnsi="宋体" w:eastAsia="仿宋_GB2312"/>
          <w:bCs/>
          <w:sz w:val="32"/>
          <w:szCs w:val="32"/>
        </w:rPr>
        <w:t xml:space="preserve">2、探索市场化运营模式：通过“绿化+商业”模式（如绿道周边便民服务点），增加创收渠道。  </w:t>
      </w:r>
      <w:r>
        <w:rPr>
          <w:rFonts w:hint="eastAsia" w:ascii="仿宋_GB2312" w:hAnsi="宋体" w:eastAsia="仿宋_GB2312"/>
          <w:bCs/>
          <w:sz w:val="32"/>
          <w:szCs w:val="32"/>
        </w:rPr>
        <w:br w:type="textWrapping"/>
      </w:r>
      <w:r>
        <w:rPr>
          <w:rFonts w:hint="eastAsia" w:ascii="仿宋_GB2312" w:hAnsi="宋体" w:eastAsia="仿宋_GB2312"/>
          <w:bCs/>
          <w:sz w:val="32"/>
          <w:szCs w:val="32"/>
        </w:rPr>
        <w:t xml:space="preserve">3. 对标先进案例：参考乌鲁木齐、克拉玛依等地的节水绿化经验，优化本地植被配置。  </w:t>
      </w:r>
    </w:p>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_GBK">
    <w:altName w:val="微软雅黑"/>
    <w:panose1 w:val="00000000000000000000"/>
    <w:charset w:val="86"/>
    <w:family w:val="script"/>
    <w:pitch w:val="default"/>
    <w:sig w:usb0="00000000" w:usb1="00000000" w:usb2="00000000" w:usb3="00000000" w:csb0="00040000" w:csb1="00000000"/>
  </w:font>
  <w:font w:name="华文中宋">
    <w:altName w:val="宋体"/>
    <w:panose1 w:val="02010600040101010101"/>
    <w:charset w:val="86"/>
    <w:family w:val="auto"/>
    <w:pitch w:val="default"/>
    <w:sig w:usb0="00000000" w:usb1="00000000" w:usb2="00000000" w:usb3="00000000" w:csb0="0004009F" w:csb1="DFD7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9703BB8"/>
    <w:multiLevelType w:val="multilevel"/>
    <w:tmpl w:val="69703BB8"/>
    <w:lvl w:ilvl="0" w:tentative="0">
      <w:start w:val="1"/>
      <w:numFmt w:val="japaneseCounting"/>
      <w:lvlText w:val="%1、"/>
      <w:lvlJc w:val="left"/>
      <w:pPr>
        <w:ind w:left="1368" w:hanging="720"/>
      </w:pPr>
      <w:rPr>
        <w:rFonts w:hint="default"/>
      </w:rPr>
    </w:lvl>
    <w:lvl w:ilvl="1" w:tentative="0">
      <w:start w:val="1"/>
      <w:numFmt w:val="lowerLetter"/>
      <w:lvlText w:val="%2)"/>
      <w:lvlJc w:val="left"/>
      <w:pPr>
        <w:ind w:left="1488" w:hanging="420"/>
      </w:pPr>
    </w:lvl>
    <w:lvl w:ilvl="2" w:tentative="0">
      <w:start w:val="1"/>
      <w:numFmt w:val="lowerRoman"/>
      <w:lvlText w:val="%3."/>
      <w:lvlJc w:val="right"/>
      <w:pPr>
        <w:ind w:left="1908" w:hanging="420"/>
      </w:pPr>
    </w:lvl>
    <w:lvl w:ilvl="3" w:tentative="0">
      <w:start w:val="1"/>
      <w:numFmt w:val="decimal"/>
      <w:lvlText w:val="%4."/>
      <w:lvlJc w:val="left"/>
      <w:pPr>
        <w:ind w:left="2328" w:hanging="420"/>
      </w:pPr>
    </w:lvl>
    <w:lvl w:ilvl="4" w:tentative="0">
      <w:start w:val="1"/>
      <w:numFmt w:val="lowerLetter"/>
      <w:lvlText w:val="%5)"/>
      <w:lvlJc w:val="left"/>
      <w:pPr>
        <w:ind w:left="2748" w:hanging="420"/>
      </w:pPr>
    </w:lvl>
    <w:lvl w:ilvl="5" w:tentative="0">
      <w:start w:val="1"/>
      <w:numFmt w:val="lowerRoman"/>
      <w:lvlText w:val="%6."/>
      <w:lvlJc w:val="right"/>
      <w:pPr>
        <w:ind w:left="3168" w:hanging="420"/>
      </w:pPr>
    </w:lvl>
    <w:lvl w:ilvl="6" w:tentative="0">
      <w:start w:val="1"/>
      <w:numFmt w:val="decimal"/>
      <w:lvlText w:val="%7."/>
      <w:lvlJc w:val="left"/>
      <w:pPr>
        <w:ind w:left="3588" w:hanging="420"/>
      </w:pPr>
    </w:lvl>
    <w:lvl w:ilvl="7" w:tentative="0">
      <w:start w:val="1"/>
      <w:numFmt w:val="lowerLetter"/>
      <w:lvlText w:val="%8)"/>
      <w:lvlJc w:val="left"/>
      <w:pPr>
        <w:ind w:left="4008" w:hanging="420"/>
      </w:pPr>
    </w:lvl>
    <w:lvl w:ilvl="8" w:tentative="0">
      <w:start w:val="1"/>
      <w:numFmt w:val="lowerRoman"/>
      <w:lvlText w:val="%9."/>
      <w:lvlJc w:val="right"/>
      <w:pPr>
        <w:ind w:left="4428"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DAwZmYzMDUwNzhmYmVmMzNlY2I1MjAwNzI2NzY5MDUifQ=="/>
  </w:docVars>
  <w:rsids>
    <w:rsidRoot w:val="00EB3604"/>
    <w:rsid w:val="00021B05"/>
    <w:rsid w:val="000B791B"/>
    <w:rsid w:val="001C7F2C"/>
    <w:rsid w:val="00340E58"/>
    <w:rsid w:val="003E45AA"/>
    <w:rsid w:val="00486CD9"/>
    <w:rsid w:val="00584481"/>
    <w:rsid w:val="00653C1A"/>
    <w:rsid w:val="0072543F"/>
    <w:rsid w:val="007A5D83"/>
    <w:rsid w:val="007A798C"/>
    <w:rsid w:val="007B51CE"/>
    <w:rsid w:val="007D7702"/>
    <w:rsid w:val="007E47F4"/>
    <w:rsid w:val="007F0F7C"/>
    <w:rsid w:val="00892E0B"/>
    <w:rsid w:val="008F0DCE"/>
    <w:rsid w:val="00916058"/>
    <w:rsid w:val="00AB72C1"/>
    <w:rsid w:val="00C10BB4"/>
    <w:rsid w:val="00CE0C6C"/>
    <w:rsid w:val="00DB647F"/>
    <w:rsid w:val="00DC7E33"/>
    <w:rsid w:val="00E40ABD"/>
    <w:rsid w:val="00E8616A"/>
    <w:rsid w:val="00EB3604"/>
    <w:rsid w:val="020B07BA"/>
    <w:rsid w:val="02656D15"/>
    <w:rsid w:val="06696209"/>
    <w:rsid w:val="0D1922F1"/>
    <w:rsid w:val="10DF6E84"/>
    <w:rsid w:val="1438599A"/>
    <w:rsid w:val="200F4073"/>
    <w:rsid w:val="24B86128"/>
    <w:rsid w:val="51C70EA9"/>
    <w:rsid w:val="54F842B6"/>
    <w:rsid w:val="593E645F"/>
    <w:rsid w:val="64F5745B"/>
    <w:rsid w:val="656071F2"/>
    <w:rsid w:val="6BF1756B"/>
    <w:rsid w:val="6F5E1AA3"/>
    <w:rsid w:val="7F200B83"/>
    <w:rsid w:val="7F5D58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Strong"/>
    <w:basedOn w:val="5"/>
    <w:qFormat/>
    <w:uiPriority w:val="0"/>
    <w:rPr>
      <w:b/>
      <w:bCs/>
    </w:rPr>
  </w:style>
  <w:style w:type="character" w:customStyle="1" w:styleId="7">
    <w:name w:val="页眉 字符"/>
    <w:basedOn w:val="5"/>
    <w:link w:val="3"/>
    <w:qFormat/>
    <w:uiPriority w:val="99"/>
    <w:rPr>
      <w:sz w:val="18"/>
      <w:szCs w:val="18"/>
    </w:rPr>
  </w:style>
  <w:style w:type="character" w:customStyle="1" w:styleId="8">
    <w:name w:val="页脚 字符"/>
    <w:basedOn w:val="5"/>
    <w:link w:val="2"/>
    <w:qFormat/>
    <w:uiPriority w:val="99"/>
    <w:rPr>
      <w:sz w:val="18"/>
      <w:szCs w:val="18"/>
    </w:rPr>
  </w:style>
  <w:style w:type="paragraph" w:styleId="9">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57</Words>
  <Characters>328</Characters>
  <Lines>2</Lines>
  <Paragraphs>1</Paragraphs>
  <TotalTime>8</TotalTime>
  <ScaleCrop>false</ScaleCrop>
  <LinksUpToDate>false</LinksUpToDate>
  <CharactersWithSpaces>384</CharactersWithSpaces>
  <Application>WPS Office_11.8.2.10321_F1E327BC-269C-435d-A152-05C5408002CA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2020-06-04T05:22:00Z</dcterms:created>
  <dc:creator>hongbing liu</dc:creator>
  <cp:lastModifiedBy>ylzx-00</cp:lastModifiedBy>
  <dcterms:modified xsi:type="dcterms:W3CDTF">2025-08-14T02:21:41Z</dcterms:modified>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2052-11.8.2.10321</vt:lpwstr>
  </property>
  <property fmtid="{D5CDD505-2E9C-101B-9397-08002B2CF9AE}" pid="3" name="ICV">
    <vt:lpwstr>4E2A216151A24EE5A190066F518526B7</vt:lpwstr>
  </property>
</Properties>
</file>