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left"/>
        <w:rPr>
          <w:rFonts w:ascii="宋体" w:eastAsia="宋体"/>
          <w:color w:val="auto"/>
          <w:sz w:val="32"/>
          <w:szCs w:val="32"/>
        </w:rPr>
      </w:pPr>
    </w:p>
    <w:p>
      <w:pPr>
        <w:widowControl/>
        <w:jc w:val="left"/>
        <w:rPr>
          <w:rFonts w:ascii="宋体" w:eastAsia="宋体"/>
          <w:color w:val="auto"/>
          <w:sz w:val="44"/>
          <w:szCs w:val="44"/>
        </w:rPr>
      </w:pPr>
    </w:p>
    <w:p>
      <w:pPr>
        <w:widowControl/>
        <w:jc w:val="left"/>
        <w:rPr>
          <w:rFonts w:ascii="宋体" w:eastAsia="宋体"/>
          <w:color w:val="auto"/>
          <w:sz w:val="44"/>
          <w:szCs w:val="44"/>
        </w:rPr>
      </w:pPr>
    </w:p>
    <w:p>
      <w:pPr>
        <w:widowControl/>
        <w:jc w:val="left"/>
        <w:rPr>
          <w:rFonts w:ascii="宋体" w:eastAsia="宋体"/>
          <w:color w:val="auto"/>
          <w:sz w:val="44"/>
          <w:szCs w:val="44"/>
        </w:rPr>
      </w:pPr>
    </w:p>
    <w:p>
      <w:pPr>
        <w:widowControl/>
        <w:jc w:val="center"/>
        <w:outlineLvl w:val="0"/>
        <w:rPr>
          <w:rFonts w:ascii="宋体" w:eastAsia="黑体"/>
          <w:color w:val="auto"/>
          <w:sz w:val="44"/>
          <w:szCs w:val="44"/>
        </w:rPr>
      </w:pPr>
      <w:r>
        <w:rPr>
          <w:rFonts w:ascii="宋体" w:eastAsia="黑体"/>
          <w:color w:val="auto"/>
          <w:sz w:val="44"/>
          <w:szCs w:val="44"/>
        </w:rPr>
        <w:t>库尔勒市园林绿化事务中心</w:t>
      </w:r>
    </w:p>
    <w:p>
      <w:pPr>
        <w:widowControl/>
        <w:jc w:val="center"/>
        <w:outlineLvl w:val="0"/>
        <w:rPr>
          <w:rFonts w:ascii="黑体" w:eastAsia="黑体"/>
          <w:color w:val="auto"/>
          <w:sz w:val="44"/>
          <w:szCs w:val="44"/>
        </w:rPr>
      </w:pPr>
      <w:r>
        <w:rPr>
          <w:rFonts w:ascii="黑体" w:eastAsia="黑体"/>
          <w:color w:val="auto"/>
          <w:sz w:val="44"/>
          <w:szCs w:val="44"/>
        </w:rPr>
        <w:t>2024年度部门决算公开说明</w:t>
      </w:r>
    </w:p>
    <w:p>
      <w:pPr>
        <w:widowControl/>
        <w:rPr>
          <w:color w:val="auto"/>
        </w:rPr>
      </w:pPr>
      <w:r>
        <w:rPr>
          <w:color w:val="auto"/>
          <w:sz w:val="0"/>
          <w:szCs w:val="0"/>
        </w:rPr>
        <w:br w:type="page"/>
      </w:r>
    </w:p>
    <w:p>
      <w:pPr>
        <w:widowControl/>
        <w:jc w:val="center"/>
        <w:rPr>
          <w:rFonts w:ascii="黑体" w:eastAsia="黑体"/>
          <w:color w:val="auto"/>
          <w:sz w:val="32"/>
          <w:szCs w:val="32"/>
        </w:rPr>
      </w:pPr>
      <w:r>
        <w:rPr>
          <w:rFonts w:ascii="黑体" w:eastAsia="黑体"/>
          <w:b/>
          <w:color w:val="auto"/>
          <w:sz w:val="32"/>
          <w:szCs w:val="32"/>
        </w:rPr>
        <w:t>目录</w:t>
      </w:r>
    </w:p>
    <w:p>
      <w:pPr>
        <w:widowControl/>
        <w:jc w:val="left"/>
        <w:rPr>
          <w:rFonts w:ascii="仿宋_GB2312" w:eastAsia="仿宋_GB2312"/>
          <w:color w:val="auto"/>
          <w:sz w:val="32"/>
          <w:szCs w:val="32"/>
        </w:rPr>
      </w:pPr>
      <w:r>
        <w:rPr>
          <w:rFonts w:ascii="仿宋_GB2312" w:eastAsia="仿宋_GB2312"/>
          <w:b/>
          <w:color w:val="auto"/>
          <w:sz w:val="32"/>
          <w:szCs w:val="32"/>
        </w:rPr>
        <w:t>第一部分单位概况</w:t>
      </w:r>
    </w:p>
    <w:p>
      <w:pPr>
        <w:widowControl/>
        <w:jc w:val="left"/>
        <w:rPr>
          <w:rFonts w:ascii="仿宋_GB2312" w:eastAsia="仿宋_GB2312"/>
          <w:color w:val="auto"/>
          <w:sz w:val="32"/>
          <w:szCs w:val="32"/>
        </w:rPr>
      </w:pPr>
      <w:r>
        <w:rPr>
          <w:rFonts w:ascii="仿宋_GB2312" w:eastAsia="仿宋_GB2312"/>
          <w:color w:val="auto"/>
          <w:sz w:val="32"/>
          <w:szCs w:val="32"/>
        </w:rPr>
        <w:t>一、主要职能</w:t>
      </w:r>
    </w:p>
    <w:p>
      <w:pPr>
        <w:widowControl/>
        <w:jc w:val="left"/>
        <w:rPr>
          <w:rFonts w:ascii="仿宋_GB2312" w:eastAsia="仿宋_GB2312"/>
          <w:color w:val="auto"/>
          <w:sz w:val="32"/>
          <w:szCs w:val="32"/>
        </w:rPr>
      </w:pPr>
      <w:r>
        <w:rPr>
          <w:rFonts w:ascii="仿宋_GB2312" w:eastAsia="仿宋_GB2312"/>
          <w:color w:val="auto"/>
          <w:sz w:val="32"/>
          <w:szCs w:val="32"/>
        </w:rPr>
        <w:t>二、机构设置及人员情况</w:t>
      </w:r>
    </w:p>
    <w:p>
      <w:pPr>
        <w:widowControl/>
        <w:jc w:val="left"/>
        <w:rPr>
          <w:rFonts w:ascii="仿宋_GB2312" w:eastAsia="仿宋_GB2312"/>
          <w:color w:val="auto"/>
          <w:sz w:val="32"/>
          <w:szCs w:val="32"/>
        </w:rPr>
      </w:pPr>
      <w:r>
        <w:rPr>
          <w:rFonts w:ascii="仿宋_GB2312" w:eastAsia="仿宋_GB2312"/>
          <w:b/>
          <w:color w:val="auto"/>
          <w:sz w:val="32"/>
          <w:szCs w:val="32"/>
        </w:rPr>
        <w:t>第二部分部门决算情况说明</w:t>
      </w:r>
    </w:p>
    <w:p>
      <w:pPr>
        <w:widowControl/>
        <w:jc w:val="left"/>
        <w:rPr>
          <w:rFonts w:ascii="仿宋_GB2312" w:eastAsia="仿宋_GB2312"/>
          <w:color w:val="auto"/>
          <w:sz w:val="32"/>
          <w:szCs w:val="32"/>
        </w:rPr>
      </w:pPr>
      <w:r>
        <w:rPr>
          <w:rFonts w:ascii="仿宋_GB2312" w:eastAsia="仿宋_GB2312"/>
          <w:color w:val="auto"/>
          <w:sz w:val="32"/>
          <w:szCs w:val="32"/>
        </w:rPr>
        <w:t>一、收入支出决算总体情况说明</w:t>
      </w:r>
    </w:p>
    <w:p>
      <w:pPr>
        <w:widowControl/>
        <w:jc w:val="left"/>
        <w:rPr>
          <w:rFonts w:ascii="仿宋_GB2312" w:eastAsia="仿宋_GB2312"/>
          <w:color w:val="auto"/>
          <w:sz w:val="32"/>
          <w:szCs w:val="32"/>
        </w:rPr>
      </w:pPr>
      <w:r>
        <w:rPr>
          <w:rFonts w:ascii="仿宋_GB2312" w:eastAsia="仿宋_GB2312"/>
          <w:color w:val="auto"/>
          <w:sz w:val="32"/>
          <w:szCs w:val="32"/>
        </w:rPr>
        <w:t>二、收入决算情况说明</w:t>
      </w:r>
    </w:p>
    <w:p>
      <w:pPr>
        <w:widowControl/>
        <w:jc w:val="left"/>
        <w:rPr>
          <w:rFonts w:ascii="仿宋_GB2312" w:eastAsia="仿宋_GB2312"/>
          <w:color w:val="auto"/>
          <w:sz w:val="32"/>
          <w:szCs w:val="32"/>
        </w:rPr>
      </w:pPr>
      <w:r>
        <w:rPr>
          <w:rFonts w:ascii="仿宋_GB2312" w:eastAsia="仿宋_GB2312"/>
          <w:color w:val="auto"/>
          <w:sz w:val="32"/>
          <w:szCs w:val="32"/>
        </w:rPr>
        <w:t>三、支出决算情况说明</w:t>
      </w:r>
    </w:p>
    <w:p>
      <w:pPr>
        <w:widowControl/>
        <w:jc w:val="left"/>
        <w:rPr>
          <w:rFonts w:ascii="仿宋_GB2312" w:eastAsia="仿宋_GB2312"/>
          <w:color w:val="auto"/>
          <w:sz w:val="32"/>
          <w:szCs w:val="32"/>
        </w:rPr>
      </w:pPr>
      <w:r>
        <w:rPr>
          <w:rFonts w:ascii="仿宋_GB2312" w:eastAsia="仿宋_GB2312"/>
          <w:color w:val="auto"/>
          <w:sz w:val="32"/>
          <w:szCs w:val="32"/>
        </w:rPr>
        <w:t>四、财政拨款收入支出决算总体情况说明</w:t>
      </w:r>
    </w:p>
    <w:p>
      <w:pPr>
        <w:widowControl/>
        <w:jc w:val="left"/>
        <w:rPr>
          <w:rFonts w:ascii="仿宋_GB2312" w:eastAsia="仿宋_GB2312"/>
          <w:color w:val="auto"/>
          <w:sz w:val="32"/>
          <w:szCs w:val="32"/>
        </w:rPr>
      </w:pPr>
      <w:r>
        <w:rPr>
          <w:rFonts w:ascii="仿宋_GB2312" w:eastAsia="仿宋_GB2312"/>
          <w:color w:val="auto"/>
          <w:sz w:val="32"/>
          <w:szCs w:val="32"/>
        </w:rPr>
        <w:t>五、一般公共预算财政拨款支出决算情况说明</w:t>
      </w:r>
    </w:p>
    <w:p>
      <w:pPr>
        <w:widowControl/>
        <w:jc w:val="left"/>
        <w:rPr>
          <w:rFonts w:ascii="仿宋_GB2312" w:eastAsia="仿宋_GB2312"/>
          <w:color w:val="auto"/>
          <w:sz w:val="32"/>
          <w:szCs w:val="32"/>
        </w:rPr>
      </w:pPr>
      <w:r>
        <w:rPr>
          <w:rFonts w:ascii="仿宋_GB2312" w:eastAsia="仿宋_GB2312"/>
          <w:color w:val="auto"/>
          <w:sz w:val="32"/>
          <w:szCs w:val="32"/>
        </w:rPr>
        <w:t>（一）一般公共预算财政拨款支出决算总体情况</w:t>
      </w:r>
    </w:p>
    <w:p>
      <w:pPr>
        <w:widowControl/>
        <w:jc w:val="left"/>
        <w:rPr>
          <w:rFonts w:ascii="仿宋_GB2312" w:eastAsia="仿宋_GB2312"/>
          <w:color w:val="auto"/>
          <w:sz w:val="32"/>
          <w:szCs w:val="32"/>
        </w:rPr>
      </w:pPr>
      <w:r>
        <w:rPr>
          <w:rFonts w:ascii="仿宋_GB2312" w:eastAsia="仿宋_GB2312"/>
          <w:color w:val="auto"/>
          <w:sz w:val="32"/>
          <w:szCs w:val="32"/>
        </w:rPr>
        <w:t>（二）一般公共预算财政拨款支出决算结构情况</w:t>
      </w:r>
    </w:p>
    <w:p>
      <w:pPr>
        <w:widowControl/>
        <w:jc w:val="left"/>
        <w:rPr>
          <w:rFonts w:ascii="仿宋_GB2312" w:eastAsia="仿宋_GB2312"/>
          <w:color w:val="auto"/>
          <w:sz w:val="32"/>
          <w:szCs w:val="32"/>
        </w:rPr>
      </w:pPr>
      <w:r>
        <w:rPr>
          <w:rFonts w:ascii="仿宋_GB2312" w:eastAsia="仿宋_GB2312"/>
          <w:color w:val="auto"/>
          <w:sz w:val="32"/>
          <w:szCs w:val="32"/>
        </w:rPr>
        <w:t>（三）一般公共预算财政拨款支出决算具体情况</w:t>
      </w:r>
    </w:p>
    <w:p>
      <w:pPr>
        <w:widowControl/>
        <w:jc w:val="left"/>
        <w:rPr>
          <w:rFonts w:ascii="仿宋_GB2312" w:eastAsia="仿宋_GB2312"/>
          <w:color w:val="auto"/>
          <w:sz w:val="32"/>
          <w:szCs w:val="32"/>
        </w:rPr>
      </w:pPr>
      <w:r>
        <w:rPr>
          <w:rFonts w:ascii="仿宋_GB2312" w:eastAsia="仿宋_GB2312"/>
          <w:color w:val="auto"/>
          <w:sz w:val="32"/>
          <w:szCs w:val="32"/>
        </w:rPr>
        <w:t>六、一般公共预算财政拨款基本支出决算情况说明</w:t>
      </w:r>
    </w:p>
    <w:p>
      <w:pPr>
        <w:widowControl/>
        <w:jc w:val="left"/>
        <w:rPr>
          <w:rFonts w:ascii="仿宋_GB2312" w:eastAsia="仿宋_GB2312"/>
          <w:color w:val="auto"/>
          <w:sz w:val="32"/>
          <w:szCs w:val="32"/>
        </w:rPr>
      </w:pPr>
      <w:r>
        <w:rPr>
          <w:rFonts w:ascii="仿宋_GB2312" w:eastAsia="仿宋_GB2312"/>
          <w:color w:val="auto"/>
          <w:sz w:val="32"/>
          <w:szCs w:val="32"/>
        </w:rPr>
        <w:t>七、政府性基金预算财政拨款收入支出决算情况说明</w:t>
      </w:r>
    </w:p>
    <w:p>
      <w:pPr>
        <w:widowControl/>
        <w:jc w:val="left"/>
        <w:rPr>
          <w:rFonts w:ascii="仿宋_GB2312" w:eastAsia="仿宋_GB2312"/>
          <w:color w:val="auto"/>
          <w:sz w:val="32"/>
          <w:szCs w:val="32"/>
        </w:rPr>
      </w:pPr>
      <w:r>
        <w:rPr>
          <w:rFonts w:ascii="仿宋_GB2312" w:eastAsia="仿宋_GB2312"/>
          <w:color w:val="auto"/>
          <w:sz w:val="32"/>
          <w:szCs w:val="32"/>
        </w:rPr>
        <w:t>八、国有资本经营预算财政拨款收入支出决算情况说明</w:t>
      </w:r>
    </w:p>
    <w:p>
      <w:pPr>
        <w:widowControl/>
        <w:jc w:val="left"/>
        <w:rPr>
          <w:rFonts w:ascii="仿宋_GB2312" w:eastAsia="仿宋_GB2312"/>
          <w:color w:val="auto"/>
          <w:sz w:val="32"/>
          <w:szCs w:val="32"/>
        </w:rPr>
      </w:pPr>
      <w:r>
        <w:rPr>
          <w:rFonts w:ascii="仿宋_GB2312" w:eastAsia="仿宋_GB2312"/>
          <w:color w:val="auto"/>
          <w:sz w:val="32"/>
          <w:szCs w:val="32"/>
        </w:rPr>
        <w:t>九、财政拨款“三公”经费支出决算情况说明</w:t>
      </w:r>
    </w:p>
    <w:p>
      <w:pPr>
        <w:widowControl/>
        <w:jc w:val="left"/>
        <w:rPr>
          <w:rFonts w:ascii="仿宋_GB2312" w:eastAsia="仿宋_GB2312"/>
          <w:color w:val="auto"/>
          <w:sz w:val="32"/>
          <w:szCs w:val="32"/>
        </w:rPr>
      </w:pPr>
      <w:r>
        <w:rPr>
          <w:rFonts w:ascii="仿宋_GB2312" w:eastAsia="仿宋_GB2312"/>
          <w:color w:val="auto"/>
          <w:sz w:val="32"/>
          <w:szCs w:val="32"/>
        </w:rPr>
        <w:t>十、其他重要事项的情况说明</w:t>
      </w:r>
    </w:p>
    <w:p>
      <w:pPr>
        <w:widowControl/>
        <w:jc w:val="left"/>
        <w:rPr>
          <w:rFonts w:ascii="仿宋_GB2312" w:eastAsia="仿宋_GB2312"/>
          <w:color w:val="auto"/>
          <w:sz w:val="32"/>
          <w:szCs w:val="32"/>
        </w:rPr>
      </w:pPr>
      <w:r>
        <w:rPr>
          <w:rFonts w:ascii="仿宋_GB2312" w:eastAsia="仿宋_GB2312"/>
          <w:color w:val="auto"/>
          <w:sz w:val="32"/>
          <w:szCs w:val="32"/>
        </w:rPr>
        <w:t>（一）机关运行经费及公用经费支出情况</w:t>
      </w:r>
    </w:p>
    <w:p>
      <w:pPr>
        <w:widowControl/>
        <w:jc w:val="left"/>
        <w:rPr>
          <w:rFonts w:ascii="仿宋_GB2312" w:eastAsia="仿宋_GB2312"/>
          <w:color w:val="auto"/>
          <w:sz w:val="32"/>
          <w:szCs w:val="32"/>
        </w:rPr>
      </w:pPr>
      <w:r>
        <w:rPr>
          <w:rFonts w:ascii="仿宋_GB2312" w:eastAsia="仿宋_GB2312"/>
          <w:color w:val="auto"/>
          <w:sz w:val="32"/>
          <w:szCs w:val="32"/>
        </w:rPr>
        <w:t>（二）政府采购情况</w:t>
      </w:r>
    </w:p>
    <w:p>
      <w:pPr>
        <w:widowControl/>
        <w:jc w:val="left"/>
        <w:rPr>
          <w:rFonts w:ascii="仿宋_GB2312" w:eastAsia="仿宋_GB2312"/>
          <w:color w:val="auto"/>
          <w:sz w:val="32"/>
          <w:szCs w:val="32"/>
        </w:rPr>
      </w:pPr>
      <w:r>
        <w:rPr>
          <w:rFonts w:ascii="仿宋_GB2312" w:eastAsia="仿宋_GB2312"/>
          <w:color w:val="auto"/>
          <w:sz w:val="32"/>
          <w:szCs w:val="32"/>
        </w:rPr>
        <w:t>（三）国有资产占用情况说明</w:t>
      </w:r>
    </w:p>
    <w:p>
      <w:pPr>
        <w:widowControl/>
        <w:jc w:val="left"/>
        <w:rPr>
          <w:rFonts w:ascii="仿宋_GB2312" w:eastAsia="仿宋_GB2312"/>
          <w:color w:val="auto"/>
          <w:sz w:val="32"/>
          <w:szCs w:val="32"/>
        </w:rPr>
      </w:pPr>
      <w:r>
        <w:rPr>
          <w:rFonts w:ascii="仿宋_GB2312" w:eastAsia="仿宋_GB2312"/>
          <w:color w:val="auto"/>
          <w:sz w:val="32"/>
          <w:szCs w:val="32"/>
        </w:rPr>
        <w:t>十一、预算绩效的情况说明</w:t>
      </w:r>
    </w:p>
    <w:p>
      <w:pPr>
        <w:widowControl/>
        <w:jc w:val="left"/>
        <w:rPr>
          <w:rFonts w:ascii="仿宋_GB2312" w:eastAsia="仿宋_GB2312"/>
          <w:color w:val="auto"/>
          <w:sz w:val="32"/>
          <w:szCs w:val="32"/>
        </w:rPr>
      </w:pPr>
      <w:r>
        <w:rPr>
          <w:rFonts w:ascii="仿宋_GB2312" w:eastAsia="仿宋_GB2312"/>
          <w:color w:val="auto"/>
          <w:sz w:val="32"/>
          <w:szCs w:val="32"/>
        </w:rPr>
        <w:t>十二、其他需说明的事项</w:t>
      </w:r>
    </w:p>
    <w:p>
      <w:pPr>
        <w:widowControl/>
        <w:jc w:val="left"/>
        <w:rPr>
          <w:rFonts w:ascii="仿宋_GB2312" w:eastAsia="仿宋_GB2312"/>
          <w:color w:val="auto"/>
          <w:sz w:val="32"/>
          <w:szCs w:val="32"/>
        </w:rPr>
      </w:pPr>
      <w:r>
        <w:rPr>
          <w:rFonts w:ascii="仿宋_GB2312" w:eastAsia="仿宋_GB2312"/>
          <w:b/>
          <w:color w:val="auto"/>
          <w:sz w:val="32"/>
          <w:szCs w:val="32"/>
        </w:rPr>
        <w:t>第三部分专业名词解释</w:t>
      </w:r>
    </w:p>
    <w:p>
      <w:pPr>
        <w:widowControl/>
        <w:jc w:val="left"/>
        <w:rPr>
          <w:rFonts w:ascii="仿宋_GB2312" w:eastAsia="仿宋_GB2312"/>
          <w:color w:val="auto"/>
          <w:sz w:val="32"/>
          <w:szCs w:val="32"/>
        </w:rPr>
      </w:pPr>
      <w:r>
        <w:rPr>
          <w:rFonts w:ascii="仿宋_GB2312" w:eastAsia="仿宋_GB2312"/>
          <w:b/>
          <w:color w:val="auto"/>
          <w:sz w:val="32"/>
          <w:szCs w:val="32"/>
        </w:rPr>
        <w:t>第四部分部门决算报表（见附表）</w:t>
      </w:r>
    </w:p>
    <w:p>
      <w:pPr>
        <w:widowControl/>
        <w:jc w:val="left"/>
        <w:rPr>
          <w:rFonts w:ascii="仿宋_GB2312" w:eastAsia="仿宋_GB2312"/>
          <w:color w:val="auto"/>
          <w:sz w:val="32"/>
          <w:szCs w:val="32"/>
        </w:rPr>
      </w:pPr>
      <w:r>
        <w:rPr>
          <w:rFonts w:ascii="仿宋_GB2312" w:eastAsia="仿宋_GB2312"/>
          <w:color w:val="auto"/>
          <w:sz w:val="32"/>
          <w:szCs w:val="32"/>
        </w:rPr>
        <w:t>一、《收入支出决算总表》</w:t>
      </w:r>
    </w:p>
    <w:p>
      <w:pPr>
        <w:widowControl/>
        <w:jc w:val="left"/>
        <w:rPr>
          <w:rFonts w:ascii="仿宋_GB2312" w:eastAsia="仿宋_GB2312"/>
          <w:color w:val="auto"/>
          <w:sz w:val="32"/>
          <w:szCs w:val="32"/>
        </w:rPr>
      </w:pPr>
      <w:r>
        <w:rPr>
          <w:rFonts w:ascii="仿宋_GB2312" w:eastAsia="仿宋_GB2312"/>
          <w:color w:val="auto"/>
          <w:sz w:val="32"/>
          <w:szCs w:val="32"/>
        </w:rPr>
        <w:t>二、《收入决算表》</w:t>
      </w:r>
    </w:p>
    <w:p>
      <w:pPr>
        <w:widowControl/>
        <w:jc w:val="left"/>
        <w:rPr>
          <w:rFonts w:ascii="仿宋_GB2312" w:eastAsia="仿宋_GB2312"/>
          <w:color w:val="auto"/>
          <w:sz w:val="32"/>
          <w:szCs w:val="32"/>
        </w:rPr>
      </w:pPr>
      <w:r>
        <w:rPr>
          <w:rFonts w:ascii="仿宋_GB2312" w:eastAsia="仿宋_GB2312"/>
          <w:color w:val="auto"/>
          <w:sz w:val="32"/>
          <w:szCs w:val="32"/>
        </w:rPr>
        <w:t>三、《支出决算表》</w:t>
      </w:r>
    </w:p>
    <w:p>
      <w:pPr>
        <w:widowControl/>
        <w:jc w:val="left"/>
        <w:rPr>
          <w:rFonts w:ascii="仿宋_GB2312" w:eastAsia="仿宋_GB2312"/>
          <w:color w:val="auto"/>
          <w:sz w:val="32"/>
          <w:szCs w:val="32"/>
        </w:rPr>
      </w:pPr>
      <w:r>
        <w:rPr>
          <w:rFonts w:ascii="仿宋_GB2312" w:eastAsia="仿宋_GB2312"/>
          <w:color w:val="auto"/>
          <w:sz w:val="32"/>
          <w:szCs w:val="32"/>
        </w:rPr>
        <w:t>四、《财政拨款收入支出决算总表》</w:t>
      </w:r>
    </w:p>
    <w:p>
      <w:pPr>
        <w:widowControl/>
        <w:jc w:val="left"/>
        <w:rPr>
          <w:rFonts w:ascii="仿宋_GB2312" w:eastAsia="仿宋_GB2312"/>
          <w:color w:val="auto"/>
          <w:sz w:val="32"/>
          <w:szCs w:val="32"/>
        </w:rPr>
      </w:pPr>
      <w:r>
        <w:rPr>
          <w:rFonts w:ascii="仿宋_GB2312" w:eastAsia="仿宋_GB2312"/>
          <w:color w:val="auto"/>
          <w:sz w:val="32"/>
          <w:szCs w:val="32"/>
        </w:rPr>
        <w:t>五、《一般公共预算财政拨款支出决算表》</w:t>
      </w:r>
    </w:p>
    <w:p>
      <w:pPr>
        <w:widowControl/>
        <w:jc w:val="left"/>
        <w:rPr>
          <w:rFonts w:ascii="仿宋_GB2312" w:eastAsia="仿宋_GB2312"/>
          <w:color w:val="auto"/>
          <w:sz w:val="32"/>
          <w:szCs w:val="32"/>
        </w:rPr>
      </w:pPr>
      <w:r>
        <w:rPr>
          <w:rFonts w:ascii="仿宋_GB2312" w:eastAsia="仿宋_GB2312"/>
          <w:color w:val="auto"/>
          <w:sz w:val="32"/>
          <w:szCs w:val="32"/>
        </w:rPr>
        <w:t>六、《一般公共预算财政拨款基本支出决算表》</w:t>
      </w:r>
    </w:p>
    <w:p>
      <w:pPr>
        <w:widowControl/>
        <w:jc w:val="left"/>
        <w:rPr>
          <w:rFonts w:ascii="仿宋_GB2312" w:eastAsia="仿宋_GB2312"/>
          <w:color w:val="auto"/>
          <w:sz w:val="32"/>
          <w:szCs w:val="32"/>
        </w:rPr>
      </w:pPr>
      <w:r>
        <w:rPr>
          <w:rFonts w:ascii="仿宋_GB2312" w:eastAsia="仿宋_GB2312"/>
          <w:color w:val="auto"/>
          <w:sz w:val="32"/>
          <w:szCs w:val="32"/>
        </w:rPr>
        <w:t>七、《政府性基金预算财政拨款收入支出决算表》</w:t>
      </w:r>
    </w:p>
    <w:p>
      <w:pPr>
        <w:widowControl/>
        <w:jc w:val="left"/>
        <w:rPr>
          <w:rFonts w:ascii="仿宋_GB2312" w:eastAsia="仿宋_GB2312"/>
          <w:color w:val="auto"/>
          <w:sz w:val="32"/>
          <w:szCs w:val="32"/>
        </w:rPr>
      </w:pPr>
      <w:r>
        <w:rPr>
          <w:rFonts w:ascii="仿宋_GB2312" w:eastAsia="仿宋_GB2312"/>
          <w:color w:val="auto"/>
          <w:sz w:val="32"/>
          <w:szCs w:val="32"/>
        </w:rPr>
        <w:t>八、《国有资本经营预算财政拨款收入支出决算表》</w:t>
      </w:r>
    </w:p>
    <w:p>
      <w:pPr>
        <w:widowControl/>
        <w:jc w:val="left"/>
        <w:rPr>
          <w:rFonts w:ascii="仿宋_GB2312" w:eastAsia="仿宋_GB2312"/>
          <w:color w:val="auto"/>
          <w:sz w:val="32"/>
          <w:szCs w:val="32"/>
        </w:rPr>
      </w:pPr>
      <w:r>
        <w:rPr>
          <w:rFonts w:ascii="仿宋_GB2312" w:eastAsia="仿宋_GB2312"/>
          <w:color w:val="auto"/>
          <w:sz w:val="32"/>
          <w:szCs w:val="32"/>
        </w:rPr>
        <w:t>九、《财政拨款“三公”经费支出决算表》</w:t>
      </w:r>
    </w:p>
    <w:p>
      <w:pPr>
        <w:widowControl/>
        <w:rPr>
          <w:color w:val="auto"/>
        </w:rPr>
      </w:pPr>
      <w:r>
        <w:rPr>
          <w:color w:val="auto"/>
          <w:sz w:val="0"/>
          <w:szCs w:val="0"/>
        </w:rPr>
        <w:br w:type="page"/>
      </w:r>
    </w:p>
    <w:p>
      <w:pPr>
        <w:widowControl/>
        <w:jc w:val="center"/>
        <w:outlineLvl w:val="0"/>
        <w:rPr>
          <w:rFonts w:ascii="黑体" w:eastAsia="黑体"/>
          <w:color w:val="auto"/>
          <w:sz w:val="32"/>
          <w:szCs w:val="32"/>
        </w:rPr>
      </w:pPr>
      <w:r>
        <w:rPr>
          <w:rFonts w:ascii="黑体" w:eastAsia="黑体"/>
          <w:color w:val="auto"/>
          <w:sz w:val="32"/>
          <w:szCs w:val="32"/>
        </w:rPr>
        <w:t>第一部分单位概况</w:t>
      </w:r>
    </w:p>
    <w:p>
      <w:pPr>
        <w:widowControl/>
        <w:ind w:firstLine="640" w:firstLineChars="200"/>
        <w:jc w:val="left"/>
        <w:outlineLvl w:val="1"/>
        <w:rPr>
          <w:rFonts w:ascii="黑体" w:eastAsia="黑体"/>
          <w:color w:val="auto"/>
          <w:sz w:val="32"/>
          <w:szCs w:val="32"/>
        </w:rPr>
      </w:pPr>
      <w:r>
        <w:rPr>
          <w:rFonts w:ascii="黑体" w:eastAsia="黑体"/>
          <w:color w:val="auto"/>
          <w:sz w:val="32"/>
          <w:szCs w:val="32"/>
        </w:rPr>
        <w:t>一、主要职能</w:t>
      </w:r>
    </w:p>
    <w:p>
      <w:pPr>
        <w:ind w:firstLine="640" w:firstLineChars="200"/>
        <w:jc w:val="left"/>
        <w:rPr>
          <w:rFonts w:ascii="仿宋_GB2312" w:eastAsia="仿宋_GB2312"/>
          <w:color w:val="auto"/>
          <w:sz w:val="32"/>
          <w:szCs w:val="32"/>
        </w:rPr>
      </w:pPr>
      <w:r>
        <w:rPr>
          <w:rFonts w:hint="eastAsia" w:ascii="仿宋_GB2312" w:eastAsia="仿宋_GB2312"/>
          <w:color w:val="auto"/>
          <w:sz w:val="32"/>
          <w:szCs w:val="32"/>
        </w:rPr>
        <w:t>管理园林绿地，美化城市环境。城市园林绿地系统规划、城市园林绿地建设、城市园林绿地管理与维护、城市园林绿化工程设计,提高库尔勒市园林绿化管理水平和巩固绿化成果，在先绿后美的基础上进一步提高绿化档次，保证我市生态环境良好，大风扬沙天气减少3-5天，让市民满意度达到85%以上。</w:t>
      </w:r>
    </w:p>
    <w:p>
      <w:pPr>
        <w:widowControl/>
        <w:ind w:firstLine="640" w:firstLineChars="200"/>
        <w:rPr>
          <w:rFonts w:ascii="仿宋_GB2312" w:eastAsia="仿宋_GB2312"/>
          <w:color w:val="auto"/>
          <w:sz w:val="32"/>
          <w:szCs w:val="32"/>
        </w:rPr>
      </w:pPr>
    </w:p>
    <w:p>
      <w:pPr>
        <w:widowControl/>
        <w:ind w:firstLine="640" w:firstLineChars="200"/>
        <w:jc w:val="left"/>
        <w:outlineLvl w:val="1"/>
        <w:rPr>
          <w:rFonts w:ascii="黑体" w:eastAsia="黑体"/>
          <w:color w:val="auto"/>
          <w:sz w:val="32"/>
          <w:szCs w:val="32"/>
        </w:rPr>
      </w:pPr>
      <w:r>
        <w:rPr>
          <w:rFonts w:ascii="黑体" w:eastAsia="黑体"/>
          <w:color w:val="auto"/>
          <w:sz w:val="32"/>
          <w:szCs w:val="32"/>
        </w:rPr>
        <w:t>二、机构设置及人员情况</w:t>
      </w:r>
    </w:p>
    <w:p>
      <w:pPr>
        <w:widowControl/>
        <w:ind w:firstLine="640" w:firstLineChars="200"/>
        <w:rPr>
          <w:rFonts w:ascii="仿宋_GB2312" w:eastAsia="仿宋_GB2312"/>
          <w:color w:val="auto"/>
          <w:sz w:val="32"/>
          <w:szCs w:val="32"/>
        </w:rPr>
      </w:pPr>
      <w:r>
        <w:rPr>
          <w:rFonts w:ascii="仿宋_GB2312" w:eastAsia="仿宋_GB2312"/>
          <w:color w:val="auto"/>
          <w:sz w:val="32"/>
          <w:szCs w:val="32"/>
        </w:rPr>
        <w:t>库尔勒市园林绿化事务中心2024年度，实有人数356人，其中：在职人员210人，减少6人；离休人员0人，较上年无变化；退休人员146人，增加5人。</w:t>
      </w:r>
    </w:p>
    <w:p>
      <w:pPr>
        <w:widowControl/>
        <w:ind w:firstLine="640" w:firstLineChars="200"/>
        <w:rPr>
          <w:rFonts w:ascii="仿宋_GB2312" w:eastAsia="仿宋_GB2312"/>
          <w:color w:val="auto"/>
          <w:sz w:val="32"/>
          <w:szCs w:val="32"/>
        </w:rPr>
      </w:pPr>
      <w:r>
        <w:rPr>
          <w:rFonts w:ascii="仿宋_GB2312" w:eastAsia="仿宋_GB2312"/>
          <w:color w:val="auto"/>
          <w:sz w:val="32"/>
          <w:szCs w:val="32"/>
        </w:rPr>
        <w:t>库尔勒市园林绿化事务中心无下属预算单位，下设</w:t>
      </w:r>
      <w:r>
        <w:rPr>
          <w:rFonts w:hint="eastAsia" w:ascii="仿宋_GB2312" w:eastAsia="仿宋_GB2312"/>
          <w:color w:val="auto"/>
          <w:sz w:val="32"/>
          <w:szCs w:val="32"/>
        </w:rPr>
        <w:t>3 5</w:t>
      </w:r>
      <w:r>
        <w:rPr>
          <w:rFonts w:ascii="仿宋_GB2312" w:eastAsia="仿宋_GB2312"/>
          <w:color w:val="auto"/>
          <w:sz w:val="32"/>
          <w:szCs w:val="32"/>
        </w:rPr>
        <w:t>个</w:t>
      </w:r>
      <w:r>
        <w:rPr>
          <w:rFonts w:hint="eastAsia" w:ascii="仿宋_GB2312" w:hAnsi="黑体" w:eastAsia="仿宋_GB2312" w:cs="宋体"/>
          <w:bCs/>
          <w:color w:val="auto"/>
          <w:sz w:val="32"/>
          <w:szCs w:val="32"/>
        </w:rPr>
        <w:t>处室</w:t>
      </w:r>
      <w:r>
        <w:rPr>
          <w:rFonts w:ascii="仿宋_GB2312" w:eastAsia="仿宋_GB2312"/>
          <w:color w:val="auto"/>
          <w:sz w:val="32"/>
          <w:szCs w:val="32"/>
        </w:rPr>
        <w:t>，分别是：</w:t>
      </w:r>
      <w:r>
        <w:rPr>
          <w:rFonts w:hint="eastAsia" w:ascii="仿宋_GB2312" w:hAnsi="宋体" w:eastAsia="仿宋_GB2312" w:cs="宋体"/>
          <w:color w:val="auto"/>
          <w:sz w:val="32"/>
          <w:szCs w:val="32"/>
        </w:rPr>
        <w:t>行办、工会、财务科、劳资科、纪检监察室、督导组、技术科、监察队、庭院科、维修队、设计室、植保站、项目办、绿化一队、绿化二队一片区、绿化二队二片区、绿化三队、绿化四队、绿化五队、绿化六队、绿化七队、绿化八队、天鹅河绿化队、鸿雁河绿化队、民生广场、石化广场、拥军广场、人民广场、龙山公园、孔雀公园、杜鹃河湿地公园、200亩苗圃、机场路花圃、天鹅河景区、上库工业园区。</w:t>
      </w:r>
    </w:p>
    <w:p>
      <w:pPr>
        <w:widowControl/>
        <w:rPr>
          <w:color w:val="auto"/>
        </w:rPr>
      </w:pPr>
      <w:r>
        <w:rPr>
          <w:color w:val="auto"/>
          <w:sz w:val="0"/>
          <w:szCs w:val="0"/>
        </w:rPr>
        <w:br w:type="page"/>
      </w:r>
    </w:p>
    <w:p>
      <w:pPr>
        <w:widowControl/>
        <w:jc w:val="center"/>
        <w:outlineLvl w:val="0"/>
        <w:rPr>
          <w:rFonts w:ascii="黑体" w:eastAsia="黑体"/>
          <w:color w:val="auto"/>
          <w:sz w:val="32"/>
          <w:szCs w:val="32"/>
        </w:rPr>
      </w:pPr>
      <w:r>
        <w:rPr>
          <w:rFonts w:ascii="黑体" w:eastAsia="黑体"/>
          <w:color w:val="auto"/>
          <w:sz w:val="32"/>
          <w:szCs w:val="32"/>
        </w:rPr>
        <w:t>第二部分部门决算情况说明</w:t>
      </w:r>
    </w:p>
    <w:p>
      <w:pPr>
        <w:widowControl/>
        <w:ind w:firstLine="640" w:firstLineChars="200"/>
        <w:jc w:val="left"/>
        <w:outlineLvl w:val="1"/>
        <w:rPr>
          <w:rFonts w:ascii="黑体" w:eastAsia="黑体"/>
          <w:color w:val="auto"/>
          <w:sz w:val="32"/>
          <w:szCs w:val="32"/>
        </w:rPr>
      </w:pPr>
      <w:r>
        <w:rPr>
          <w:rFonts w:ascii="黑体" w:eastAsia="黑体"/>
          <w:color w:val="auto"/>
          <w:sz w:val="32"/>
          <w:szCs w:val="32"/>
        </w:rPr>
        <w:t>一、收入支出决算总体情况说明</w:t>
      </w:r>
    </w:p>
    <w:p>
      <w:pPr>
        <w:widowControl/>
        <w:ind w:firstLine="640" w:firstLineChars="200"/>
        <w:rPr>
          <w:rFonts w:ascii="仿宋_GB2312" w:eastAsia="仿宋_GB2312"/>
          <w:color w:val="auto"/>
          <w:sz w:val="32"/>
          <w:szCs w:val="32"/>
        </w:rPr>
      </w:pPr>
      <w:r>
        <w:rPr>
          <w:rFonts w:ascii="仿宋_GB2312" w:eastAsia="仿宋_GB2312"/>
          <w:color w:val="auto"/>
          <w:sz w:val="32"/>
          <w:szCs w:val="32"/>
        </w:rPr>
        <w:t>2024年度收入总计12,624.12万元，其中：本年收入合计12,624.12万元，使用非财政拨款结余（含专用结余）0.00万元，年初结转和结余0.00万元。</w:t>
      </w:r>
    </w:p>
    <w:p>
      <w:pPr>
        <w:widowControl/>
        <w:ind w:firstLine="640" w:firstLineChars="200"/>
        <w:rPr>
          <w:rFonts w:ascii="仿宋_GB2312" w:eastAsia="仿宋_GB2312"/>
          <w:color w:val="auto"/>
          <w:sz w:val="32"/>
          <w:szCs w:val="32"/>
        </w:rPr>
      </w:pPr>
      <w:r>
        <w:rPr>
          <w:rFonts w:ascii="仿宋_GB2312" w:eastAsia="仿宋_GB2312"/>
          <w:color w:val="auto"/>
          <w:sz w:val="32"/>
          <w:szCs w:val="32"/>
        </w:rPr>
        <w:t>2024年度支出总计12,624.12万元，其中：本年支出合计12,624.12万元，结余分配0.00万元，年末结转和结余0.00万元。</w:t>
      </w:r>
    </w:p>
    <w:p>
      <w:pPr>
        <w:widowControl/>
        <w:ind w:firstLine="640" w:firstLineChars="200"/>
        <w:rPr>
          <w:rFonts w:ascii="仿宋_GB2312" w:eastAsia="仿宋_GB2312"/>
          <w:color w:val="auto"/>
          <w:sz w:val="32"/>
          <w:szCs w:val="32"/>
        </w:rPr>
      </w:pPr>
      <w:r>
        <w:rPr>
          <w:rFonts w:ascii="仿宋_GB2312" w:eastAsia="仿宋_GB2312"/>
          <w:color w:val="auto"/>
          <w:sz w:val="32"/>
          <w:szCs w:val="32"/>
        </w:rPr>
        <w:t>收入支出总体与上年相比，减少1,502.65万元，下降10.64%，主要原因是：</w:t>
      </w:r>
      <w:r>
        <w:rPr>
          <w:rFonts w:hint="eastAsia" w:ascii="仿宋_GB2312" w:eastAsia="仿宋_GB2312"/>
          <w:color w:val="auto"/>
          <w:sz w:val="32"/>
          <w:szCs w:val="32"/>
          <w:lang w:val="en-US" w:eastAsia="zh-CN"/>
        </w:rPr>
        <w:t>2024</w:t>
      </w:r>
      <w:r>
        <w:rPr>
          <w:rFonts w:hint="eastAsia" w:ascii="仿宋_GB2312" w:eastAsia="仿宋_GB2312"/>
          <w:color w:val="auto"/>
          <w:sz w:val="32"/>
          <w:szCs w:val="32"/>
        </w:rPr>
        <w:t>年我单位</w:t>
      </w:r>
      <w:r>
        <w:rPr>
          <w:rFonts w:hint="eastAsia" w:ascii="仿宋_GB2312" w:eastAsia="仿宋_GB2312"/>
          <w:color w:val="auto"/>
          <w:sz w:val="32"/>
          <w:szCs w:val="32"/>
          <w:lang w:eastAsia="zh-CN"/>
        </w:rPr>
        <w:t>上库工业园区</w:t>
      </w:r>
      <w:r>
        <w:rPr>
          <w:rFonts w:hint="eastAsia" w:ascii="仿宋_GB2312" w:eastAsia="仿宋_GB2312"/>
          <w:color w:val="auto"/>
          <w:sz w:val="32"/>
          <w:szCs w:val="32"/>
          <w:lang w:val="en-US" w:eastAsia="zh-CN"/>
        </w:rPr>
        <w:t>5号井、6号井、温室大棚</w:t>
      </w:r>
      <w:r>
        <w:rPr>
          <w:rFonts w:hint="eastAsia" w:ascii="仿宋_GB2312" w:eastAsia="仿宋_GB2312"/>
          <w:color w:val="auto"/>
          <w:sz w:val="32"/>
          <w:szCs w:val="32"/>
        </w:rPr>
        <w:t>工程项目因手续不全，未完成支付</w:t>
      </w:r>
      <w:r>
        <w:rPr>
          <w:rFonts w:hint="eastAsia" w:ascii="仿宋_GB2312" w:eastAsia="仿宋_GB2312"/>
          <w:color w:val="auto"/>
          <w:sz w:val="32"/>
          <w:szCs w:val="32"/>
          <w:lang w:val="en-US" w:eastAsia="zh-CN"/>
        </w:rPr>
        <w:t>；</w:t>
      </w:r>
      <w:r>
        <w:rPr>
          <w:rFonts w:ascii="仿宋_GB2312" w:eastAsia="仿宋_GB2312"/>
          <w:color w:val="auto"/>
          <w:sz w:val="32"/>
          <w:szCs w:val="32"/>
        </w:rPr>
        <w:t>在职人员</w:t>
      </w:r>
      <w:r>
        <w:rPr>
          <w:rFonts w:hint="eastAsia" w:ascii="仿宋_GB2312" w:eastAsia="仿宋_GB2312"/>
          <w:color w:val="auto"/>
          <w:sz w:val="32"/>
          <w:szCs w:val="32"/>
          <w:lang w:eastAsia="zh-CN"/>
        </w:rPr>
        <w:t>转退休</w:t>
      </w:r>
      <w:r>
        <w:rPr>
          <w:rFonts w:ascii="仿宋_GB2312" w:eastAsia="仿宋_GB2312"/>
          <w:color w:val="auto"/>
          <w:sz w:val="32"/>
          <w:szCs w:val="32"/>
        </w:rPr>
        <w:t>6人</w:t>
      </w:r>
      <w:r>
        <w:rPr>
          <w:rFonts w:hint="eastAsia" w:ascii="仿宋_GB2312" w:eastAsia="仿宋_GB2312"/>
          <w:color w:val="auto"/>
          <w:sz w:val="32"/>
          <w:szCs w:val="32"/>
          <w:lang w:eastAsia="zh-CN"/>
        </w:rPr>
        <w:t>，</w:t>
      </w:r>
      <w:r>
        <w:rPr>
          <w:rFonts w:hint="eastAsia" w:ascii="仿宋_GB2312" w:eastAsia="仿宋_GB2312"/>
          <w:color w:val="auto"/>
          <w:sz w:val="32"/>
          <w:szCs w:val="32"/>
        </w:rPr>
        <w:t>因此导致较上年减少</w:t>
      </w:r>
      <w:r>
        <w:rPr>
          <w:rFonts w:ascii="仿宋_GB2312" w:eastAsia="仿宋_GB2312"/>
          <w:color w:val="auto"/>
          <w:sz w:val="32"/>
          <w:szCs w:val="32"/>
        </w:rPr>
        <w:t>。</w:t>
      </w:r>
    </w:p>
    <w:p>
      <w:pPr>
        <w:widowControl/>
        <w:ind w:firstLine="640" w:firstLineChars="200"/>
        <w:jc w:val="left"/>
        <w:outlineLvl w:val="1"/>
        <w:rPr>
          <w:rFonts w:ascii="黑体" w:eastAsia="黑体"/>
          <w:color w:val="auto"/>
          <w:sz w:val="32"/>
          <w:szCs w:val="32"/>
        </w:rPr>
      </w:pPr>
      <w:r>
        <w:rPr>
          <w:rFonts w:ascii="黑体" w:eastAsia="黑体"/>
          <w:color w:val="auto"/>
          <w:sz w:val="32"/>
          <w:szCs w:val="32"/>
        </w:rPr>
        <w:t>二、收入决算情况说明</w:t>
      </w:r>
    </w:p>
    <w:p>
      <w:pPr>
        <w:widowControl/>
        <w:ind w:firstLine="640" w:firstLineChars="200"/>
        <w:rPr>
          <w:rFonts w:ascii="仿宋_GB2312" w:eastAsia="仿宋_GB2312"/>
          <w:color w:val="auto"/>
          <w:sz w:val="32"/>
          <w:szCs w:val="32"/>
        </w:rPr>
      </w:pPr>
      <w:r>
        <w:rPr>
          <w:rFonts w:ascii="仿宋_GB2312" w:eastAsia="仿宋_GB2312"/>
          <w:color w:val="auto"/>
          <w:sz w:val="32"/>
          <w:szCs w:val="32"/>
        </w:rPr>
        <w:t>本年收入12,624.12万元，其中：财政拨款收入12,489.32万元,占98.93%；上级补助收入0.00万元,占0.00%；事业收入0.00万元，占0.00%；经营收入0.00万元,占0.00%；附属单位上缴收入0.00万元，占0.00%；其他收入134.80万元，占1.07%。</w:t>
      </w:r>
    </w:p>
    <w:p>
      <w:pPr>
        <w:widowControl/>
        <w:ind w:firstLine="640" w:firstLineChars="200"/>
        <w:jc w:val="left"/>
        <w:outlineLvl w:val="1"/>
        <w:rPr>
          <w:rFonts w:ascii="黑体" w:eastAsia="黑体"/>
          <w:color w:val="auto"/>
          <w:sz w:val="32"/>
          <w:szCs w:val="32"/>
        </w:rPr>
      </w:pPr>
      <w:r>
        <w:rPr>
          <w:rFonts w:ascii="黑体" w:eastAsia="黑体"/>
          <w:color w:val="auto"/>
          <w:sz w:val="32"/>
          <w:szCs w:val="32"/>
        </w:rPr>
        <w:t>三、支出决算情况说明</w:t>
      </w:r>
    </w:p>
    <w:p>
      <w:pPr>
        <w:widowControl/>
        <w:ind w:firstLine="640" w:firstLineChars="200"/>
        <w:rPr>
          <w:rFonts w:ascii="仿宋_GB2312" w:eastAsia="仿宋_GB2312"/>
          <w:color w:val="auto"/>
          <w:sz w:val="32"/>
          <w:szCs w:val="32"/>
        </w:rPr>
      </w:pPr>
      <w:r>
        <w:rPr>
          <w:rFonts w:ascii="仿宋_GB2312" w:eastAsia="仿宋_GB2312"/>
          <w:color w:val="auto"/>
          <w:sz w:val="32"/>
          <w:szCs w:val="32"/>
        </w:rPr>
        <w:t>本年支出12,624.12万元，其中：基本支出3,575.38万元，占28.32%；项目支出9,048.74万元，占71.68%；上缴上级支出0.00万元，占0.00%；经营支出0.00万元，占0.00%；对附属单位补助支出0.00万元，占0.00%。</w:t>
      </w:r>
    </w:p>
    <w:p>
      <w:pPr>
        <w:widowControl/>
        <w:ind w:firstLine="640" w:firstLineChars="200"/>
        <w:jc w:val="left"/>
        <w:outlineLvl w:val="1"/>
        <w:rPr>
          <w:rFonts w:ascii="黑体" w:eastAsia="黑体"/>
          <w:color w:val="auto"/>
          <w:sz w:val="32"/>
          <w:szCs w:val="32"/>
        </w:rPr>
      </w:pPr>
      <w:r>
        <w:rPr>
          <w:rFonts w:ascii="黑体" w:eastAsia="黑体"/>
          <w:color w:val="auto"/>
          <w:sz w:val="32"/>
          <w:szCs w:val="32"/>
        </w:rPr>
        <w:t>四、财政拨款收入支出决算总体情况说明</w:t>
      </w:r>
    </w:p>
    <w:p>
      <w:pPr>
        <w:widowControl/>
        <w:ind w:firstLine="640" w:firstLineChars="200"/>
        <w:rPr>
          <w:rFonts w:ascii="仿宋_GB2312" w:eastAsia="仿宋_GB2312"/>
          <w:color w:val="auto"/>
          <w:sz w:val="32"/>
          <w:szCs w:val="32"/>
        </w:rPr>
      </w:pPr>
      <w:r>
        <w:rPr>
          <w:rFonts w:ascii="仿宋_GB2312" w:eastAsia="仿宋_GB2312"/>
          <w:color w:val="auto"/>
          <w:sz w:val="32"/>
          <w:szCs w:val="32"/>
        </w:rPr>
        <w:t>2024年度财政拨款收入总计12,489.32万元，其中：年初财政拨款结转和结余0.00万元，本年财政拨款收入12,489.32万元。财政拨款支出总计12,489.32万元，其中：年末财政拨款结转和结余0.00万元，本年财政拨款支出12,489.32万元。</w:t>
      </w:r>
    </w:p>
    <w:p>
      <w:pPr>
        <w:widowControl/>
        <w:ind w:firstLine="640" w:firstLineChars="200"/>
        <w:rPr>
          <w:rFonts w:ascii="仿宋_GB2312" w:eastAsia="仿宋_GB2312"/>
          <w:color w:val="auto"/>
          <w:sz w:val="32"/>
          <w:szCs w:val="32"/>
        </w:rPr>
      </w:pPr>
      <w:r>
        <w:rPr>
          <w:rFonts w:ascii="仿宋_GB2312" w:eastAsia="仿宋_GB2312"/>
          <w:color w:val="auto"/>
          <w:sz w:val="32"/>
          <w:szCs w:val="32"/>
        </w:rPr>
        <w:t>财政拨款收入支出总体与上年相比，减少1,540.75万元，下降10.98%，主要原因是：</w:t>
      </w:r>
      <w:r>
        <w:rPr>
          <w:rFonts w:hint="eastAsia" w:ascii="仿宋_GB2312" w:eastAsia="仿宋_GB2312"/>
          <w:color w:val="auto"/>
          <w:sz w:val="32"/>
          <w:szCs w:val="32"/>
          <w:lang w:val="en-US" w:eastAsia="zh-CN"/>
        </w:rPr>
        <w:t>2024</w:t>
      </w:r>
      <w:r>
        <w:rPr>
          <w:rFonts w:hint="eastAsia" w:ascii="仿宋_GB2312" w:eastAsia="仿宋_GB2312"/>
          <w:color w:val="auto"/>
          <w:sz w:val="32"/>
          <w:szCs w:val="32"/>
        </w:rPr>
        <w:t>年我单位</w:t>
      </w:r>
      <w:r>
        <w:rPr>
          <w:rFonts w:hint="eastAsia" w:ascii="仿宋_GB2312" w:eastAsia="仿宋_GB2312"/>
          <w:color w:val="auto"/>
          <w:sz w:val="32"/>
          <w:szCs w:val="32"/>
          <w:lang w:eastAsia="zh-CN"/>
        </w:rPr>
        <w:t>上库工业园区</w:t>
      </w:r>
      <w:r>
        <w:rPr>
          <w:rFonts w:hint="eastAsia" w:ascii="仿宋_GB2312" w:eastAsia="仿宋_GB2312"/>
          <w:color w:val="auto"/>
          <w:sz w:val="32"/>
          <w:szCs w:val="32"/>
          <w:lang w:val="en-US" w:eastAsia="zh-CN"/>
        </w:rPr>
        <w:t>5号井、6号井、温室大棚</w:t>
      </w:r>
      <w:r>
        <w:rPr>
          <w:rFonts w:hint="eastAsia" w:ascii="仿宋_GB2312" w:eastAsia="仿宋_GB2312"/>
          <w:color w:val="auto"/>
          <w:sz w:val="32"/>
          <w:szCs w:val="32"/>
        </w:rPr>
        <w:t>工程项目因手续不全，未完成支付</w:t>
      </w:r>
      <w:r>
        <w:rPr>
          <w:rFonts w:hint="eastAsia" w:ascii="仿宋_GB2312" w:eastAsia="仿宋_GB2312"/>
          <w:color w:val="auto"/>
          <w:sz w:val="32"/>
          <w:szCs w:val="32"/>
          <w:lang w:val="en-US" w:eastAsia="zh-CN"/>
        </w:rPr>
        <w:t>；</w:t>
      </w:r>
      <w:r>
        <w:rPr>
          <w:rFonts w:ascii="仿宋_GB2312" w:eastAsia="仿宋_GB2312"/>
          <w:color w:val="auto"/>
          <w:sz w:val="32"/>
          <w:szCs w:val="32"/>
        </w:rPr>
        <w:t>在职人员</w:t>
      </w:r>
      <w:r>
        <w:rPr>
          <w:rFonts w:hint="eastAsia" w:ascii="仿宋_GB2312" w:eastAsia="仿宋_GB2312"/>
          <w:color w:val="auto"/>
          <w:sz w:val="32"/>
          <w:szCs w:val="32"/>
          <w:lang w:eastAsia="zh-CN"/>
        </w:rPr>
        <w:t>转退休</w:t>
      </w:r>
      <w:r>
        <w:rPr>
          <w:rFonts w:ascii="仿宋_GB2312" w:eastAsia="仿宋_GB2312"/>
          <w:color w:val="auto"/>
          <w:sz w:val="32"/>
          <w:szCs w:val="32"/>
        </w:rPr>
        <w:t>6人</w:t>
      </w:r>
      <w:r>
        <w:rPr>
          <w:rFonts w:hint="eastAsia" w:ascii="仿宋_GB2312" w:eastAsia="仿宋_GB2312"/>
          <w:color w:val="auto"/>
          <w:sz w:val="32"/>
          <w:szCs w:val="32"/>
          <w:lang w:eastAsia="zh-CN"/>
        </w:rPr>
        <w:t>，</w:t>
      </w:r>
      <w:r>
        <w:rPr>
          <w:rFonts w:hint="eastAsia" w:ascii="仿宋_GB2312" w:eastAsia="仿宋_GB2312"/>
          <w:color w:val="auto"/>
          <w:sz w:val="32"/>
          <w:szCs w:val="32"/>
        </w:rPr>
        <w:t>因此导致较上年减少</w:t>
      </w:r>
      <w:r>
        <w:rPr>
          <w:rFonts w:ascii="仿宋_GB2312" w:eastAsia="仿宋_GB2312"/>
          <w:color w:val="auto"/>
          <w:sz w:val="32"/>
          <w:szCs w:val="32"/>
        </w:rPr>
        <w:t>。与年初预算相比，年初预算数14,564.58万元，决算数12,489.32万元，预决算差异率-14.25%，主要原因是：</w:t>
      </w:r>
      <w:r>
        <w:rPr>
          <w:rFonts w:hint="eastAsia" w:ascii="仿宋_GB2312" w:eastAsia="仿宋_GB2312"/>
          <w:color w:val="auto"/>
          <w:sz w:val="32"/>
          <w:szCs w:val="32"/>
          <w:lang w:val="en-US" w:eastAsia="zh-CN"/>
        </w:rPr>
        <w:t>2024</w:t>
      </w:r>
      <w:r>
        <w:rPr>
          <w:rFonts w:hint="eastAsia" w:ascii="仿宋_GB2312" w:eastAsia="仿宋_GB2312"/>
          <w:color w:val="auto"/>
          <w:sz w:val="32"/>
          <w:szCs w:val="32"/>
        </w:rPr>
        <w:t>年我单位</w:t>
      </w:r>
      <w:r>
        <w:rPr>
          <w:rFonts w:hint="eastAsia" w:ascii="仿宋_GB2312" w:eastAsia="仿宋_GB2312"/>
          <w:color w:val="auto"/>
          <w:sz w:val="32"/>
          <w:szCs w:val="32"/>
          <w:lang w:eastAsia="zh-CN"/>
        </w:rPr>
        <w:t>上库工业园区</w:t>
      </w:r>
      <w:r>
        <w:rPr>
          <w:rFonts w:hint="eastAsia" w:ascii="仿宋_GB2312" w:eastAsia="仿宋_GB2312"/>
          <w:color w:val="auto"/>
          <w:sz w:val="32"/>
          <w:szCs w:val="32"/>
          <w:lang w:val="en-US" w:eastAsia="zh-CN"/>
        </w:rPr>
        <w:t>5号井、6号井、温室大棚</w:t>
      </w:r>
      <w:r>
        <w:rPr>
          <w:rFonts w:hint="eastAsia" w:ascii="仿宋_GB2312" w:eastAsia="仿宋_GB2312"/>
          <w:color w:val="auto"/>
          <w:sz w:val="32"/>
          <w:szCs w:val="32"/>
        </w:rPr>
        <w:t>工程项目因手续不全，未完成支付</w:t>
      </w:r>
      <w:r>
        <w:rPr>
          <w:rFonts w:hint="eastAsia" w:ascii="仿宋_GB2312" w:eastAsia="仿宋_GB2312"/>
          <w:color w:val="auto"/>
          <w:sz w:val="32"/>
          <w:szCs w:val="32"/>
          <w:lang w:val="en-US" w:eastAsia="zh-CN"/>
        </w:rPr>
        <w:t>；</w:t>
      </w:r>
      <w:r>
        <w:rPr>
          <w:rFonts w:ascii="仿宋_GB2312" w:eastAsia="仿宋_GB2312"/>
          <w:color w:val="auto"/>
          <w:sz w:val="32"/>
          <w:szCs w:val="32"/>
        </w:rPr>
        <w:t>在职人员</w:t>
      </w:r>
      <w:r>
        <w:rPr>
          <w:rFonts w:hint="eastAsia" w:ascii="仿宋_GB2312" w:eastAsia="仿宋_GB2312"/>
          <w:color w:val="auto"/>
          <w:sz w:val="32"/>
          <w:szCs w:val="32"/>
          <w:lang w:eastAsia="zh-CN"/>
        </w:rPr>
        <w:t>转退休</w:t>
      </w:r>
      <w:r>
        <w:rPr>
          <w:rFonts w:ascii="仿宋_GB2312" w:eastAsia="仿宋_GB2312"/>
          <w:color w:val="auto"/>
          <w:sz w:val="32"/>
          <w:szCs w:val="32"/>
        </w:rPr>
        <w:t>6人</w:t>
      </w:r>
      <w:r>
        <w:rPr>
          <w:rFonts w:hint="eastAsia" w:ascii="仿宋_GB2312" w:eastAsia="仿宋_GB2312"/>
          <w:color w:val="auto"/>
          <w:sz w:val="32"/>
          <w:szCs w:val="32"/>
          <w:lang w:eastAsia="zh-CN"/>
        </w:rPr>
        <w:t>，</w:t>
      </w:r>
      <w:r>
        <w:rPr>
          <w:rFonts w:hint="eastAsia" w:ascii="仿宋_GB2312" w:eastAsia="仿宋_GB2312"/>
          <w:color w:val="auto"/>
          <w:sz w:val="32"/>
          <w:szCs w:val="32"/>
        </w:rPr>
        <w:t>因此</w:t>
      </w:r>
      <w:r>
        <w:rPr>
          <w:rFonts w:hint="eastAsia" w:ascii="仿宋_GB2312" w:eastAsia="仿宋_GB2312"/>
          <w:color w:val="auto"/>
          <w:sz w:val="32"/>
          <w:szCs w:val="32"/>
          <w:lang w:eastAsia="zh-CN"/>
        </w:rPr>
        <w:t>较年初预算数</w:t>
      </w:r>
      <w:r>
        <w:rPr>
          <w:rFonts w:hint="eastAsia" w:ascii="仿宋_GB2312" w:eastAsia="仿宋_GB2312"/>
          <w:color w:val="auto"/>
          <w:sz w:val="32"/>
          <w:szCs w:val="32"/>
        </w:rPr>
        <w:t>减少</w:t>
      </w:r>
      <w:r>
        <w:rPr>
          <w:rFonts w:ascii="仿宋_GB2312" w:eastAsia="仿宋_GB2312"/>
          <w:color w:val="auto"/>
          <w:sz w:val="32"/>
          <w:szCs w:val="32"/>
        </w:rPr>
        <w:t>。</w:t>
      </w:r>
    </w:p>
    <w:p>
      <w:pPr>
        <w:widowControl/>
        <w:ind w:firstLine="640" w:firstLineChars="200"/>
        <w:jc w:val="left"/>
        <w:outlineLvl w:val="1"/>
        <w:rPr>
          <w:rFonts w:ascii="黑体" w:eastAsia="黑体"/>
          <w:color w:val="auto"/>
          <w:sz w:val="32"/>
          <w:szCs w:val="32"/>
        </w:rPr>
      </w:pPr>
      <w:r>
        <w:rPr>
          <w:rFonts w:ascii="黑体" w:eastAsia="黑体"/>
          <w:color w:val="auto"/>
          <w:sz w:val="32"/>
          <w:szCs w:val="32"/>
        </w:rPr>
        <w:t>五、一般公共预算财政拨款支出决算情况说明</w:t>
      </w:r>
    </w:p>
    <w:p>
      <w:pPr>
        <w:widowControl/>
        <w:ind w:firstLine="643" w:firstLineChars="200"/>
        <w:jc w:val="left"/>
        <w:outlineLvl w:val="2"/>
        <w:rPr>
          <w:rFonts w:ascii="仿宋_GB2312" w:eastAsia="仿宋_GB2312"/>
          <w:color w:val="auto"/>
          <w:sz w:val="32"/>
          <w:szCs w:val="32"/>
        </w:rPr>
      </w:pPr>
      <w:r>
        <w:rPr>
          <w:rFonts w:ascii="仿宋_GB2312" w:eastAsia="仿宋_GB2312"/>
          <w:b/>
          <w:color w:val="auto"/>
          <w:sz w:val="32"/>
          <w:szCs w:val="32"/>
        </w:rPr>
        <w:t>（一）一般公共预算财政拨款支出决算总体情况</w:t>
      </w:r>
    </w:p>
    <w:p>
      <w:pPr>
        <w:widowControl/>
        <w:ind w:firstLine="640" w:firstLineChars="200"/>
        <w:rPr>
          <w:rFonts w:ascii="仿宋_GB2312" w:eastAsia="仿宋_GB2312"/>
          <w:color w:val="auto"/>
          <w:sz w:val="32"/>
          <w:szCs w:val="32"/>
        </w:rPr>
      </w:pPr>
      <w:r>
        <w:rPr>
          <w:rFonts w:ascii="仿宋_GB2312" w:eastAsia="仿宋_GB2312"/>
          <w:color w:val="auto"/>
          <w:sz w:val="32"/>
          <w:szCs w:val="32"/>
        </w:rPr>
        <w:t>2024年度一般公共预算财政拨款支出6,694.45万元，占本年支出合计的53.03%。与上年相比，减少859.21万元，下降11.37%，主要原因是：</w:t>
      </w:r>
      <w:r>
        <w:rPr>
          <w:rFonts w:hint="eastAsia" w:ascii="仿宋_GB2312" w:eastAsia="仿宋_GB2312"/>
          <w:color w:val="auto"/>
          <w:sz w:val="32"/>
          <w:szCs w:val="32"/>
          <w:lang w:val="en-US" w:eastAsia="zh-CN"/>
        </w:rPr>
        <w:t>2024</w:t>
      </w:r>
      <w:r>
        <w:rPr>
          <w:rFonts w:hint="eastAsia" w:ascii="仿宋_GB2312" w:eastAsia="仿宋_GB2312"/>
          <w:color w:val="auto"/>
          <w:sz w:val="32"/>
          <w:szCs w:val="32"/>
        </w:rPr>
        <w:t>年我单位</w:t>
      </w:r>
      <w:r>
        <w:rPr>
          <w:rFonts w:hint="eastAsia" w:ascii="仿宋_GB2312" w:eastAsia="仿宋_GB2312"/>
          <w:color w:val="auto"/>
          <w:sz w:val="32"/>
          <w:szCs w:val="32"/>
          <w:lang w:eastAsia="zh-CN"/>
        </w:rPr>
        <w:t>上库工业园区</w:t>
      </w:r>
      <w:r>
        <w:rPr>
          <w:rFonts w:hint="eastAsia" w:ascii="仿宋_GB2312" w:eastAsia="仿宋_GB2312"/>
          <w:color w:val="auto"/>
          <w:sz w:val="32"/>
          <w:szCs w:val="32"/>
          <w:lang w:val="en-US" w:eastAsia="zh-CN"/>
        </w:rPr>
        <w:t>5号井、6号井、温室大棚</w:t>
      </w:r>
      <w:r>
        <w:rPr>
          <w:rFonts w:hint="eastAsia" w:ascii="仿宋_GB2312" w:eastAsia="仿宋_GB2312"/>
          <w:color w:val="auto"/>
          <w:sz w:val="32"/>
          <w:szCs w:val="32"/>
        </w:rPr>
        <w:t>工程项目因手续不全，未完成支付</w:t>
      </w:r>
      <w:r>
        <w:rPr>
          <w:rFonts w:hint="eastAsia" w:ascii="仿宋_GB2312" w:eastAsia="仿宋_GB2312"/>
          <w:color w:val="auto"/>
          <w:sz w:val="32"/>
          <w:szCs w:val="32"/>
          <w:lang w:val="en-US" w:eastAsia="zh-CN"/>
        </w:rPr>
        <w:t>；</w:t>
      </w:r>
      <w:r>
        <w:rPr>
          <w:rFonts w:ascii="仿宋_GB2312" w:eastAsia="仿宋_GB2312"/>
          <w:color w:val="auto"/>
          <w:sz w:val="32"/>
          <w:szCs w:val="32"/>
        </w:rPr>
        <w:t>在职人员</w:t>
      </w:r>
      <w:r>
        <w:rPr>
          <w:rFonts w:hint="eastAsia" w:ascii="仿宋_GB2312" w:eastAsia="仿宋_GB2312"/>
          <w:color w:val="auto"/>
          <w:sz w:val="32"/>
          <w:szCs w:val="32"/>
          <w:lang w:eastAsia="zh-CN"/>
        </w:rPr>
        <w:t>转退休</w:t>
      </w:r>
      <w:r>
        <w:rPr>
          <w:rFonts w:ascii="仿宋_GB2312" w:eastAsia="仿宋_GB2312"/>
          <w:color w:val="auto"/>
          <w:sz w:val="32"/>
          <w:szCs w:val="32"/>
        </w:rPr>
        <w:t>6人</w:t>
      </w:r>
      <w:r>
        <w:rPr>
          <w:rFonts w:hint="eastAsia" w:ascii="仿宋_GB2312" w:eastAsia="仿宋_GB2312"/>
          <w:color w:val="auto"/>
          <w:sz w:val="32"/>
          <w:szCs w:val="32"/>
          <w:lang w:eastAsia="zh-CN"/>
        </w:rPr>
        <w:t>，</w:t>
      </w:r>
      <w:r>
        <w:rPr>
          <w:rFonts w:hint="eastAsia" w:ascii="仿宋_GB2312" w:eastAsia="仿宋_GB2312"/>
          <w:color w:val="auto"/>
          <w:sz w:val="32"/>
          <w:szCs w:val="32"/>
        </w:rPr>
        <w:t>因此导致较上年减少</w:t>
      </w:r>
      <w:r>
        <w:rPr>
          <w:rFonts w:ascii="仿宋_GB2312" w:eastAsia="仿宋_GB2312"/>
          <w:color w:val="auto"/>
          <w:sz w:val="32"/>
          <w:szCs w:val="32"/>
        </w:rPr>
        <w:t>。与年初预算相比，年初预算数4,605.30万元，决算数6,694.45万元，预决算差异率45.36%，主要原因是：</w:t>
      </w:r>
      <w:r>
        <w:rPr>
          <w:rFonts w:hint="eastAsia" w:ascii="仿宋_GB2312" w:eastAsia="仿宋_GB2312"/>
          <w:color w:val="auto"/>
          <w:sz w:val="32"/>
          <w:szCs w:val="32"/>
          <w:lang w:val="en-US" w:eastAsia="zh-CN"/>
        </w:rPr>
        <w:t>2024</w:t>
      </w:r>
      <w:r>
        <w:rPr>
          <w:rFonts w:hint="eastAsia" w:ascii="仿宋_GB2312" w:eastAsia="仿宋_GB2312"/>
          <w:color w:val="auto"/>
          <w:sz w:val="32"/>
          <w:szCs w:val="32"/>
        </w:rPr>
        <w:t>年我单位</w:t>
      </w:r>
      <w:r>
        <w:rPr>
          <w:rFonts w:hint="eastAsia" w:ascii="仿宋_GB2312" w:eastAsia="仿宋_GB2312"/>
          <w:color w:val="auto"/>
          <w:sz w:val="32"/>
          <w:szCs w:val="32"/>
          <w:lang w:eastAsia="zh-CN"/>
        </w:rPr>
        <w:t>按上级要求在手续齐全的前提下支付新疆鸿猷建设工程公司河北红色润疆项目工程款、支付新疆新瑞达供暖公司库尉苗圃基地一标段、二标段工程款、支付新疆巴音建设公司工程款、支付</w:t>
      </w:r>
      <w:r>
        <w:rPr>
          <w:rFonts w:hint="eastAsia" w:ascii="仿宋_GB2312" w:eastAsia="仿宋_GB2312"/>
          <w:color w:val="auto"/>
          <w:sz w:val="32"/>
          <w:szCs w:val="32"/>
          <w:lang w:val="en-US" w:eastAsia="zh-CN"/>
        </w:rPr>
        <w:t>在职及退休2023年度绩效奖</w:t>
      </w:r>
      <w:r>
        <w:rPr>
          <w:rFonts w:hint="eastAsia" w:ascii="仿宋_GB2312" w:eastAsia="仿宋_GB2312"/>
          <w:color w:val="auto"/>
          <w:sz w:val="32"/>
          <w:szCs w:val="32"/>
          <w:lang w:eastAsia="zh-CN"/>
        </w:rPr>
        <w:t>，</w:t>
      </w:r>
      <w:r>
        <w:rPr>
          <w:rFonts w:hint="eastAsia" w:ascii="仿宋_GB2312" w:eastAsia="仿宋_GB2312"/>
          <w:color w:val="auto"/>
          <w:sz w:val="32"/>
          <w:szCs w:val="32"/>
        </w:rPr>
        <w:t>因此</w:t>
      </w:r>
      <w:r>
        <w:rPr>
          <w:rFonts w:hint="eastAsia" w:ascii="仿宋_GB2312" w:eastAsia="仿宋_GB2312"/>
          <w:color w:val="auto"/>
          <w:sz w:val="32"/>
          <w:szCs w:val="32"/>
          <w:lang w:eastAsia="zh-CN"/>
        </w:rPr>
        <w:t>较年初预算数增加</w:t>
      </w:r>
      <w:r>
        <w:rPr>
          <w:rFonts w:ascii="仿宋_GB2312" w:eastAsia="仿宋_GB2312"/>
          <w:color w:val="auto"/>
          <w:sz w:val="32"/>
          <w:szCs w:val="32"/>
        </w:rPr>
        <w:t>。</w:t>
      </w:r>
    </w:p>
    <w:p>
      <w:pPr>
        <w:widowControl/>
        <w:ind w:firstLine="643" w:firstLineChars="200"/>
        <w:jc w:val="left"/>
        <w:outlineLvl w:val="2"/>
        <w:rPr>
          <w:rFonts w:ascii="仿宋_GB2312" w:eastAsia="仿宋_GB2312"/>
          <w:color w:val="auto"/>
          <w:sz w:val="32"/>
          <w:szCs w:val="32"/>
        </w:rPr>
      </w:pPr>
      <w:r>
        <w:rPr>
          <w:rFonts w:ascii="仿宋_GB2312" w:eastAsia="仿宋_GB2312"/>
          <w:b/>
          <w:color w:val="auto"/>
          <w:sz w:val="32"/>
          <w:szCs w:val="32"/>
        </w:rPr>
        <w:t>（二）一般公共预算财政拨款支出决算结构情况</w:t>
      </w:r>
    </w:p>
    <w:p>
      <w:pPr>
        <w:widowControl/>
        <w:ind w:firstLine="640" w:firstLineChars="200"/>
        <w:rPr>
          <w:rFonts w:ascii="仿宋_GB2312" w:eastAsia="仿宋_GB2312"/>
          <w:color w:val="auto"/>
          <w:sz w:val="32"/>
          <w:szCs w:val="32"/>
        </w:rPr>
      </w:pPr>
      <w:r>
        <w:rPr>
          <w:rFonts w:ascii="仿宋_GB2312" w:eastAsia="仿宋_GB2312"/>
          <w:color w:val="auto"/>
          <w:sz w:val="32"/>
          <w:szCs w:val="32"/>
        </w:rPr>
        <w:t>一般公共服务支出（类）16.77万元，占0.25%。</w:t>
      </w:r>
    </w:p>
    <w:p>
      <w:pPr>
        <w:widowControl/>
        <w:ind w:firstLine="640" w:firstLineChars="200"/>
        <w:rPr>
          <w:rFonts w:ascii="仿宋_GB2312" w:eastAsia="仿宋_GB2312"/>
          <w:color w:val="auto"/>
          <w:sz w:val="32"/>
          <w:szCs w:val="32"/>
        </w:rPr>
      </w:pPr>
      <w:r>
        <w:rPr>
          <w:rFonts w:ascii="仿宋_GB2312" w:eastAsia="仿宋_GB2312"/>
          <w:color w:val="auto"/>
          <w:sz w:val="32"/>
          <w:szCs w:val="32"/>
        </w:rPr>
        <w:t>教育支出（类）8.34万元，占0.12%。</w:t>
      </w:r>
    </w:p>
    <w:p>
      <w:pPr>
        <w:widowControl/>
        <w:ind w:firstLine="640" w:firstLineChars="200"/>
        <w:rPr>
          <w:rFonts w:ascii="仿宋_GB2312" w:eastAsia="仿宋_GB2312"/>
          <w:color w:val="auto"/>
          <w:sz w:val="32"/>
          <w:szCs w:val="32"/>
        </w:rPr>
      </w:pPr>
      <w:r>
        <w:rPr>
          <w:rFonts w:ascii="仿宋_GB2312" w:eastAsia="仿宋_GB2312"/>
          <w:color w:val="auto"/>
          <w:sz w:val="32"/>
          <w:szCs w:val="32"/>
        </w:rPr>
        <w:t>社会保障和就业支出（类）520.38万元，占7.77%。</w:t>
      </w:r>
    </w:p>
    <w:p>
      <w:pPr>
        <w:widowControl/>
        <w:ind w:firstLine="640" w:firstLineChars="200"/>
        <w:rPr>
          <w:rFonts w:ascii="仿宋_GB2312" w:eastAsia="仿宋_GB2312"/>
          <w:color w:val="auto"/>
          <w:sz w:val="32"/>
          <w:szCs w:val="32"/>
        </w:rPr>
      </w:pPr>
      <w:r>
        <w:rPr>
          <w:rFonts w:ascii="仿宋_GB2312" w:eastAsia="仿宋_GB2312"/>
          <w:color w:val="auto"/>
          <w:sz w:val="32"/>
          <w:szCs w:val="32"/>
        </w:rPr>
        <w:t>卫生健康支出（类）169.91万元，占2.54%。</w:t>
      </w:r>
    </w:p>
    <w:p>
      <w:pPr>
        <w:widowControl/>
        <w:ind w:firstLine="640" w:firstLineChars="200"/>
        <w:rPr>
          <w:rFonts w:ascii="仿宋_GB2312" w:eastAsia="仿宋_GB2312"/>
          <w:color w:val="auto"/>
          <w:sz w:val="32"/>
          <w:szCs w:val="32"/>
        </w:rPr>
      </w:pPr>
      <w:r>
        <w:rPr>
          <w:rFonts w:ascii="仿宋_GB2312" w:eastAsia="仿宋_GB2312"/>
          <w:color w:val="auto"/>
          <w:sz w:val="32"/>
          <w:szCs w:val="32"/>
        </w:rPr>
        <w:t>城乡社区支出（类）5,701.48万元，占85.17%。</w:t>
      </w:r>
    </w:p>
    <w:p>
      <w:pPr>
        <w:widowControl/>
        <w:ind w:firstLine="640" w:firstLineChars="200"/>
        <w:rPr>
          <w:rFonts w:ascii="仿宋_GB2312" w:eastAsia="仿宋_GB2312"/>
          <w:color w:val="auto"/>
          <w:sz w:val="32"/>
          <w:szCs w:val="32"/>
        </w:rPr>
      </w:pPr>
      <w:r>
        <w:rPr>
          <w:rFonts w:ascii="仿宋_GB2312" w:eastAsia="仿宋_GB2312"/>
          <w:color w:val="auto"/>
          <w:sz w:val="32"/>
          <w:szCs w:val="32"/>
        </w:rPr>
        <w:t>住房保障支出（类）277.57万元，占4.15%。</w:t>
      </w:r>
    </w:p>
    <w:p>
      <w:pPr>
        <w:widowControl/>
        <w:ind w:firstLine="643" w:firstLineChars="200"/>
        <w:jc w:val="left"/>
        <w:outlineLvl w:val="2"/>
        <w:rPr>
          <w:rFonts w:ascii="仿宋_GB2312" w:eastAsia="仿宋_GB2312"/>
          <w:color w:val="auto"/>
          <w:sz w:val="32"/>
          <w:szCs w:val="32"/>
        </w:rPr>
      </w:pPr>
      <w:r>
        <w:rPr>
          <w:rFonts w:ascii="仿宋_GB2312" w:eastAsia="仿宋_GB2312"/>
          <w:b/>
          <w:color w:val="auto"/>
          <w:sz w:val="32"/>
          <w:szCs w:val="32"/>
        </w:rPr>
        <w:t>（三）一般公共预算财政拨款支出决算具体情况</w:t>
      </w:r>
    </w:p>
    <w:p>
      <w:pPr>
        <w:widowControl/>
        <w:ind w:firstLine="640" w:firstLineChars="200"/>
        <w:rPr>
          <w:rFonts w:hint="eastAsia" w:ascii="仿宋_GB2312" w:eastAsia="仿宋_GB2312"/>
          <w:color w:val="auto"/>
          <w:sz w:val="32"/>
          <w:szCs w:val="32"/>
          <w:lang w:val="en-US" w:eastAsia="zh-CN"/>
        </w:rPr>
      </w:pPr>
      <w:r>
        <w:rPr>
          <w:rFonts w:ascii="仿宋_GB2312" w:eastAsia="仿宋_GB2312"/>
          <w:color w:val="auto"/>
          <w:sz w:val="32"/>
          <w:szCs w:val="32"/>
        </w:rPr>
        <w:t>一般公共服务支出（类）纪检监察事务（款）其他纪检监察事务支出（项）：支出决算数为1.00万元，比上年决算增加1.00万元，增长100.00%，主要原因是：</w:t>
      </w:r>
      <w:r>
        <w:rPr>
          <w:rFonts w:hint="eastAsia" w:ascii="仿宋_GB2312" w:eastAsia="仿宋_GB2312"/>
          <w:color w:val="auto"/>
          <w:sz w:val="32"/>
          <w:szCs w:val="32"/>
          <w:lang w:val="en-US" w:eastAsia="zh-CN"/>
        </w:rPr>
        <w:t>2024年根据上级纪委专项资金安排，用于劳动公园河北红色润疆工程改造提升，因此</w:t>
      </w:r>
      <w:r>
        <w:rPr>
          <w:rFonts w:ascii="仿宋_GB2312" w:eastAsia="仿宋_GB2312"/>
          <w:color w:val="auto"/>
          <w:sz w:val="32"/>
          <w:szCs w:val="32"/>
        </w:rPr>
        <w:t>其他纪检监察事务支出</w:t>
      </w:r>
      <w:r>
        <w:rPr>
          <w:rFonts w:hint="eastAsia" w:ascii="仿宋_GB2312" w:eastAsia="仿宋_GB2312"/>
          <w:color w:val="auto"/>
          <w:sz w:val="32"/>
          <w:szCs w:val="32"/>
          <w:lang w:eastAsia="zh-CN"/>
        </w:rPr>
        <w:t>较上年增加。</w:t>
      </w:r>
    </w:p>
    <w:p>
      <w:pPr>
        <w:widowControl/>
        <w:ind w:firstLine="640" w:firstLineChars="200"/>
        <w:rPr>
          <w:rFonts w:hint="eastAsia" w:ascii="仿宋_GB2312" w:eastAsia="仿宋_GB2312"/>
          <w:color w:val="auto"/>
          <w:sz w:val="32"/>
          <w:szCs w:val="32"/>
          <w:lang w:eastAsia="zh-CN"/>
        </w:rPr>
      </w:pPr>
      <w:r>
        <w:rPr>
          <w:rFonts w:ascii="仿宋_GB2312" w:eastAsia="仿宋_GB2312"/>
          <w:color w:val="auto"/>
          <w:sz w:val="32"/>
          <w:szCs w:val="32"/>
        </w:rPr>
        <w:t>一般公共服务支出（类）组织事务（款）其他组织事务支出（项）：支出决算数为15.77万元，比上年决算增加15.77万元，增长100.00%，主要原因是：</w:t>
      </w:r>
      <w:r>
        <w:rPr>
          <w:rFonts w:hint="eastAsia" w:ascii="仿宋_GB2312" w:eastAsia="仿宋_GB2312"/>
          <w:color w:val="auto"/>
          <w:sz w:val="32"/>
          <w:szCs w:val="32"/>
          <w:lang w:eastAsia="zh-CN"/>
        </w:rPr>
        <w:t>工作队开展各类为民服务活动手续齐全、支付力度大。</w:t>
      </w:r>
    </w:p>
    <w:p>
      <w:pPr>
        <w:widowControl/>
        <w:ind w:firstLine="640" w:firstLineChars="200"/>
        <w:rPr>
          <w:rFonts w:hint="eastAsia" w:ascii="仿宋_GB2312" w:eastAsia="仿宋_GB2312"/>
          <w:color w:val="auto"/>
          <w:sz w:val="32"/>
          <w:szCs w:val="32"/>
          <w:lang w:eastAsia="zh-CN"/>
        </w:rPr>
      </w:pPr>
      <w:r>
        <w:rPr>
          <w:rFonts w:ascii="仿宋_GB2312" w:eastAsia="仿宋_GB2312"/>
          <w:color w:val="auto"/>
          <w:sz w:val="32"/>
          <w:szCs w:val="32"/>
        </w:rPr>
        <w:t>教育支出（类）进修及培训（款）培训支出（项）：支出决算数为8.34万元，比上年决算增加7.56万元，增长969.23%，主要原因是：</w:t>
      </w:r>
      <w:r>
        <w:rPr>
          <w:rFonts w:hint="eastAsia" w:ascii="仿宋_GB2312" w:eastAsia="仿宋_GB2312"/>
          <w:color w:val="auto"/>
          <w:sz w:val="32"/>
          <w:szCs w:val="32"/>
          <w:lang w:eastAsia="zh-CN"/>
        </w:rPr>
        <w:t>年终做科目调剂将培训支出用于购买打印纸、电脑耗材等办公支出。</w:t>
      </w:r>
    </w:p>
    <w:p>
      <w:pPr>
        <w:widowControl/>
        <w:ind w:firstLine="640" w:firstLineChars="200"/>
        <w:rPr>
          <w:rFonts w:hint="eastAsia" w:ascii="仿宋_GB2312" w:eastAsia="仿宋_GB2312"/>
          <w:color w:val="auto"/>
          <w:sz w:val="32"/>
          <w:szCs w:val="32"/>
          <w:lang w:val="en-US" w:eastAsia="zh-CN"/>
        </w:rPr>
      </w:pPr>
      <w:r>
        <w:rPr>
          <w:rFonts w:ascii="仿宋_GB2312" w:eastAsia="仿宋_GB2312"/>
          <w:color w:val="auto"/>
          <w:sz w:val="32"/>
          <w:szCs w:val="32"/>
        </w:rPr>
        <w:t>社会保障和就业支出（类）行政事业单位养老支出（款）事业单位离退休（项）：支出决算数为102.22万元，比上年决算减少6.93万元，下降6.35%，主要原因是：</w:t>
      </w:r>
      <w:r>
        <w:rPr>
          <w:rFonts w:hint="eastAsia" w:ascii="仿宋_GB2312" w:eastAsia="仿宋_GB2312"/>
          <w:color w:val="auto"/>
          <w:sz w:val="32"/>
          <w:szCs w:val="32"/>
          <w:lang w:val="en-US" w:eastAsia="zh-CN"/>
        </w:rPr>
        <w:t>1名退休干部因违纪违法按上级要求暂停工资发放。</w:t>
      </w:r>
    </w:p>
    <w:p>
      <w:pPr>
        <w:widowControl/>
        <w:ind w:firstLine="640" w:firstLineChars="200"/>
        <w:rPr>
          <w:rFonts w:hint="eastAsia" w:ascii="仿宋_GB2312" w:eastAsia="仿宋_GB2312"/>
          <w:color w:val="auto"/>
          <w:sz w:val="32"/>
          <w:szCs w:val="32"/>
          <w:lang w:eastAsia="zh-CN"/>
        </w:rPr>
      </w:pPr>
      <w:r>
        <w:rPr>
          <w:rFonts w:ascii="仿宋_GB2312" w:eastAsia="仿宋_GB2312"/>
          <w:color w:val="auto"/>
          <w:sz w:val="32"/>
          <w:szCs w:val="32"/>
        </w:rPr>
        <w:t>社会保障和就业支出（类）行政事业单位养老支出（款）机关事业单位基本养老保险缴费支出（项）：支出决算数为366.12万元，比上年决算增加1.27万元，增长0.35%，主要原因是：</w:t>
      </w:r>
      <w:r>
        <w:rPr>
          <w:rFonts w:hint="eastAsia" w:ascii="仿宋_GB2312" w:eastAsia="仿宋_GB2312"/>
          <w:color w:val="auto"/>
          <w:sz w:val="32"/>
          <w:szCs w:val="32"/>
          <w:lang w:eastAsia="zh-CN"/>
        </w:rPr>
        <w:t>人员工资基数上调，因此</w:t>
      </w:r>
      <w:r>
        <w:rPr>
          <w:rFonts w:ascii="仿宋_GB2312" w:eastAsia="仿宋_GB2312"/>
          <w:color w:val="auto"/>
          <w:sz w:val="32"/>
          <w:szCs w:val="32"/>
        </w:rPr>
        <w:t>机关事业单位基本养老保险缴费支出</w:t>
      </w:r>
      <w:r>
        <w:rPr>
          <w:rFonts w:hint="eastAsia" w:ascii="仿宋_GB2312" w:eastAsia="仿宋_GB2312"/>
          <w:color w:val="auto"/>
          <w:sz w:val="32"/>
          <w:szCs w:val="32"/>
          <w:lang w:eastAsia="zh-CN"/>
        </w:rPr>
        <w:t>较上年增加。</w:t>
      </w:r>
    </w:p>
    <w:p>
      <w:pPr>
        <w:widowControl/>
        <w:ind w:firstLine="640" w:firstLineChars="200"/>
        <w:rPr>
          <w:rFonts w:hint="default" w:ascii="仿宋_GB2312" w:eastAsia="仿宋_GB2312"/>
          <w:color w:val="auto"/>
          <w:sz w:val="32"/>
          <w:szCs w:val="32"/>
          <w:lang w:val="en-US"/>
        </w:rPr>
      </w:pPr>
      <w:r>
        <w:rPr>
          <w:rFonts w:ascii="仿宋_GB2312" w:eastAsia="仿宋_GB2312"/>
          <w:color w:val="auto"/>
          <w:sz w:val="32"/>
          <w:szCs w:val="32"/>
        </w:rPr>
        <w:t>社会保障和就业支出（类）行政事业单位养老支出（款）机关事业单位职业年金缴费支出（项）：支出决算数为52.04万元，比上年决算增加20.19万元，增长63.39%，主要原因是：</w:t>
      </w:r>
      <w:r>
        <w:rPr>
          <w:rFonts w:hint="eastAsia" w:ascii="仿宋_GB2312" w:eastAsia="仿宋_GB2312"/>
          <w:color w:val="auto"/>
          <w:sz w:val="32"/>
          <w:szCs w:val="32"/>
          <w:lang w:eastAsia="zh-CN"/>
        </w:rPr>
        <w:t>在职转退休</w:t>
      </w:r>
      <w:r>
        <w:rPr>
          <w:rFonts w:hint="eastAsia" w:ascii="仿宋_GB2312" w:eastAsia="仿宋_GB2312"/>
          <w:color w:val="auto"/>
          <w:sz w:val="32"/>
          <w:szCs w:val="32"/>
          <w:lang w:val="en-US" w:eastAsia="zh-CN"/>
        </w:rPr>
        <w:t>6人，因此</w:t>
      </w:r>
      <w:r>
        <w:rPr>
          <w:rFonts w:ascii="仿宋_GB2312" w:eastAsia="仿宋_GB2312"/>
          <w:color w:val="auto"/>
          <w:sz w:val="32"/>
          <w:szCs w:val="32"/>
        </w:rPr>
        <w:t>机关事业单位职业年金缴费支出</w:t>
      </w:r>
      <w:r>
        <w:rPr>
          <w:rFonts w:hint="eastAsia" w:ascii="仿宋_GB2312" w:eastAsia="仿宋_GB2312"/>
          <w:color w:val="auto"/>
          <w:sz w:val="32"/>
          <w:szCs w:val="32"/>
          <w:lang w:val="en-US" w:eastAsia="zh-CN"/>
        </w:rPr>
        <w:t>增加。</w:t>
      </w:r>
    </w:p>
    <w:p>
      <w:pPr>
        <w:widowControl/>
        <w:ind w:firstLine="640" w:firstLineChars="200"/>
        <w:rPr>
          <w:rFonts w:hint="eastAsia" w:ascii="仿宋_GB2312" w:eastAsia="仿宋_GB2312"/>
          <w:color w:val="auto"/>
          <w:sz w:val="32"/>
          <w:szCs w:val="32"/>
          <w:lang w:val="en-US" w:eastAsia="zh-CN"/>
        </w:rPr>
      </w:pPr>
      <w:r>
        <w:rPr>
          <w:rFonts w:ascii="仿宋_GB2312" w:eastAsia="仿宋_GB2312"/>
          <w:color w:val="auto"/>
          <w:sz w:val="32"/>
          <w:szCs w:val="32"/>
        </w:rPr>
        <w:t>社会保障和就业支出（类）就业补助（款）公益性岗位补贴（项）：支出决算数为0.00万元，比上年决算减少1,533.90万元，下降100.00%，主要原因是：</w:t>
      </w:r>
      <w:r>
        <w:rPr>
          <w:rFonts w:hint="eastAsia" w:ascii="仿宋_GB2312" w:eastAsia="仿宋_GB2312"/>
          <w:color w:val="auto"/>
          <w:sz w:val="32"/>
          <w:szCs w:val="32"/>
          <w:lang w:val="en-US" w:eastAsia="zh-CN"/>
        </w:rPr>
        <w:t>上年度</w:t>
      </w:r>
      <w:r>
        <w:rPr>
          <w:rFonts w:ascii="仿宋_GB2312" w:eastAsia="仿宋_GB2312"/>
          <w:color w:val="auto"/>
          <w:sz w:val="32"/>
          <w:szCs w:val="32"/>
        </w:rPr>
        <w:t>公益性岗位补贴</w:t>
      </w:r>
      <w:r>
        <w:rPr>
          <w:rFonts w:hint="eastAsia" w:ascii="仿宋_GB2312" w:eastAsia="仿宋_GB2312"/>
          <w:color w:val="auto"/>
          <w:sz w:val="32"/>
          <w:szCs w:val="32"/>
          <w:lang w:eastAsia="zh-CN"/>
        </w:rPr>
        <w:t>在其他工资福利科目中核算，</w:t>
      </w:r>
      <w:r>
        <w:rPr>
          <w:rFonts w:hint="eastAsia" w:ascii="仿宋_GB2312" w:eastAsia="仿宋_GB2312"/>
          <w:color w:val="auto"/>
          <w:sz w:val="32"/>
          <w:szCs w:val="32"/>
          <w:lang w:val="en-US" w:eastAsia="zh-CN"/>
        </w:rPr>
        <w:t>因单位改制</w:t>
      </w:r>
      <w:r>
        <w:rPr>
          <w:rFonts w:hint="eastAsia" w:ascii="仿宋_GB2312" w:eastAsia="仿宋_GB2312"/>
          <w:color w:val="auto"/>
          <w:sz w:val="32"/>
          <w:szCs w:val="32"/>
          <w:lang w:eastAsia="zh-CN"/>
        </w:rPr>
        <w:t>，</w:t>
      </w:r>
      <w:r>
        <w:rPr>
          <w:rFonts w:hint="eastAsia" w:ascii="仿宋_GB2312" w:eastAsia="仿宋_GB2312"/>
          <w:color w:val="auto"/>
          <w:sz w:val="32"/>
          <w:szCs w:val="32"/>
          <w:lang w:val="en-US" w:eastAsia="zh-CN"/>
        </w:rPr>
        <w:t>2024年度将</w:t>
      </w:r>
      <w:r>
        <w:rPr>
          <w:rFonts w:ascii="仿宋_GB2312" w:eastAsia="仿宋_GB2312"/>
          <w:color w:val="auto"/>
          <w:sz w:val="32"/>
          <w:szCs w:val="32"/>
        </w:rPr>
        <w:t>公益性岗位补贴</w:t>
      </w:r>
      <w:r>
        <w:rPr>
          <w:rFonts w:hint="eastAsia" w:ascii="仿宋_GB2312" w:eastAsia="仿宋_GB2312"/>
          <w:color w:val="auto"/>
          <w:sz w:val="32"/>
          <w:szCs w:val="32"/>
          <w:lang w:eastAsia="zh-CN"/>
        </w:rPr>
        <w:t>项放入政府购买服务的劳务费科目中核算。</w:t>
      </w:r>
    </w:p>
    <w:p>
      <w:pPr>
        <w:widowControl/>
        <w:ind w:firstLine="640" w:firstLineChars="200"/>
        <w:rPr>
          <w:rFonts w:hint="default" w:ascii="仿宋_GB2312" w:eastAsia="仿宋_GB2312"/>
          <w:color w:val="auto"/>
          <w:sz w:val="32"/>
          <w:szCs w:val="32"/>
          <w:lang w:val="en-US" w:eastAsia="zh-CN"/>
        </w:rPr>
      </w:pPr>
      <w:r>
        <w:rPr>
          <w:rFonts w:ascii="仿宋_GB2312" w:eastAsia="仿宋_GB2312"/>
          <w:color w:val="auto"/>
          <w:sz w:val="32"/>
          <w:szCs w:val="32"/>
        </w:rPr>
        <w:t>卫生健康支出（类）公共卫生（款）突发公共卫生事件应急处置（项）：支出决算数为0.00万元，比上年决算减少130.12万元，下降100.00%，主要原因是：</w:t>
      </w:r>
      <w:r>
        <w:rPr>
          <w:rFonts w:hint="eastAsia" w:ascii="仿宋_GB2312" w:eastAsia="仿宋_GB2312"/>
          <w:color w:val="auto"/>
          <w:sz w:val="32"/>
          <w:szCs w:val="32"/>
          <w:lang w:val="en-US" w:eastAsia="zh-CN"/>
        </w:rPr>
        <w:t>2024年较上年无疫情期间产生的费用，因此未做支付。</w:t>
      </w:r>
    </w:p>
    <w:p>
      <w:pPr>
        <w:widowControl/>
        <w:ind w:firstLine="640" w:firstLineChars="200"/>
        <w:rPr>
          <w:rFonts w:hint="eastAsia" w:ascii="仿宋_GB2312" w:eastAsia="仿宋_GB2312"/>
          <w:color w:val="auto"/>
          <w:sz w:val="32"/>
          <w:szCs w:val="32"/>
          <w:lang w:val="en-US" w:eastAsia="zh-CN"/>
        </w:rPr>
      </w:pPr>
      <w:r>
        <w:rPr>
          <w:rFonts w:ascii="仿宋_GB2312" w:eastAsia="仿宋_GB2312"/>
          <w:color w:val="auto"/>
          <w:sz w:val="32"/>
          <w:szCs w:val="32"/>
        </w:rPr>
        <w:t>卫生健康支出（类）行政事业单位医疗（款）事业单位医疗（项）：支出决算数为169.91万元，比上年决算减少61.94万元，下降26.72%，主要原因是：</w:t>
      </w:r>
      <w:r>
        <w:rPr>
          <w:rFonts w:hint="eastAsia" w:ascii="仿宋_GB2312" w:eastAsia="仿宋_GB2312"/>
          <w:color w:val="auto"/>
          <w:sz w:val="32"/>
          <w:szCs w:val="32"/>
          <w:lang w:eastAsia="zh-CN"/>
        </w:rPr>
        <w:t>按照上级要求</w:t>
      </w:r>
      <w:r>
        <w:rPr>
          <w:rFonts w:hint="eastAsia" w:ascii="仿宋_GB2312" w:eastAsia="仿宋_GB2312"/>
          <w:color w:val="auto"/>
          <w:sz w:val="32"/>
          <w:szCs w:val="32"/>
          <w:lang w:val="en-US" w:eastAsia="zh-CN"/>
        </w:rPr>
        <w:t>2024年退休人员不再缴纳医疗保险，因此</w:t>
      </w:r>
      <w:r>
        <w:rPr>
          <w:rFonts w:ascii="仿宋_GB2312" w:eastAsia="仿宋_GB2312"/>
          <w:color w:val="auto"/>
          <w:sz w:val="32"/>
          <w:szCs w:val="32"/>
        </w:rPr>
        <w:t>事业单位医疗</w:t>
      </w:r>
      <w:r>
        <w:rPr>
          <w:rFonts w:hint="eastAsia" w:ascii="仿宋_GB2312" w:eastAsia="仿宋_GB2312"/>
          <w:color w:val="auto"/>
          <w:sz w:val="32"/>
          <w:szCs w:val="32"/>
          <w:lang w:eastAsia="zh-CN"/>
        </w:rPr>
        <w:t>较上年减少。</w:t>
      </w:r>
    </w:p>
    <w:p>
      <w:pPr>
        <w:widowControl/>
        <w:ind w:firstLine="640" w:firstLineChars="200"/>
        <w:rPr>
          <w:rFonts w:hint="eastAsia" w:ascii="仿宋_GB2312" w:eastAsia="仿宋_GB2312"/>
          <w:color w:val="auto"/>
          <w:sz w:val="32"/>
          <w:szCs w:val="32"/>
          <w:lang w:eastAsia="zh-CN"/>
        </w:rPr>
      </w:pPr>
      <w:r>
        <w:rPr>
          <w:rFonts w:ascii="仿宋_GB2312" w:eastAsia="仿宋_GB2312"/>
          <w:color w:val="auto"/>
          <w:sz w:val="32"/>
          <w:szCs w:val="32"/>
        </w:rPr>
        <w:t>城乡社区支出（类）城乡社区管理事务（款）其他城乡社区管理事务支出（项）：支出决算数为2,659.25万元，比上年决算减少144.84万元，下降5.17%，主要原因是：</w:t>
      </w:r>
      <w:r>
        <w:rPr>
          <w:rFonts w:hint="eastAsia" w:ascii="仿宋_GB2312" w:eastAsia="仿宋_GB2312"/>
          <w:color w:val="auto"/>
          <w:sz w:val="32"/>
          <w:szCs w:val="32"/>
          <w:lang w:eastAsia="zh-CN"/>
        </w:rPr>
        <w:t>在职转退休</w:t>
      </w:r>
      <w:r>
        <w:rPr>
          <w:rFonts w:hint="eastAsia" w:ascii="仿宋_GB2312" w:eastAsia="仿宋_GB2312"/>
          <w:color w:val="auto"/>
          <w:sz w:val="32"/>
          <w:szCs w:val="32"/>
          <w:lang w:val="en-US" w:eastAsia="zh-CN"/>
        </w:rPr>
        <w:t>6人，同时厉行节约压缩办公费开支，因此</w:t>
      </w:r>
      <w:r>
        <w:rPr>
          <w:rFonts w:ascii="仿宋_GB2312" w:eastAsia="仿宋_GB2312"/>
          <w:color w:val="auto"/>
          <w:sz w:val="32"/>
          <w:szCs w:val="32"/>
        </w:rPr>
        <w:t>其他城乡社区管理事务支出</w:t>
      </w:r>
      <w:r>
        <w:rPr>
          <w:rFonts w:hint="eastAsia" w:ascii="仿宋_GB2312" w:eastAsia="仿宋_GB2312"/>
          <w:color w:val="auto"/>
          <w:sz w:val="32"/>
          <w:szCs w:val="32"/>
          <w:lang w:eastAsia="zh-CN"/>
        </w:rPr>
        <w:t>较上年减少。</w:t>
      </w:r>
    </w:p>
    <w:p>
      <w:pPr>
        <w:widowControl/>
        <w:ind w:firstLine="640" w:firstLineChars="200"/>
        <w:rPr>
          <w:rFonts w:hint="eastAsia" w:ascii="仿宋_GB2312" w:eastAsia="仿宋_GB2312"/>
          <w:color w:val="FF0000"/>
          <w:sz w:val="32"/>
          <w:szCs w:val="32"/>
          <w:lang w:val="en-US" w:eastAsia="zh-CN"/>
        </w:rPr>
      </w:pPr>
      <w:r>
        <w:rPr>
          <w:rFonts w:ascii="仿宋_GB2312" w:eastAsia="仿宋_GB2312"/>
          <w:color w:val="auto"/>
          <w:sz w:val="32"/>
          <w:szCs w:val="32"/>
        </w:rPr>
        <w:t>城乡社区支出（类）城乡社区环境卫生（款）城乡社区环境卫生（项）：支出决算数为3,042.23万元，比上年决算增加953.74万元，增长45.67%，主要原因是：</w:t>
      </w:r>
      <w:r>
        <w:rPr>
          <w:rFonts w:hint="eastAsia" w:ascii="仿宋_GB2312" w:eastAsia="仿宋_GB2312"/>
          <w:color w:val="auto"/>
          <w:sz w:val="32"/>
          <w:szCs w:val="32"/>
          <w:lang w:val="en-US" w:eastAsia="zh-CN"/>
        </w:rPr>
        <w:t>2024年以资抵债项目增加，创建国家生态园林城市项目、苗木费等均从</w:t>
      </w:r>
      <w:r>
        <w:rPr>
          <w:rFonts w:ascii="仿宋_GB2312" w:eastAsia="仿宋_GB2312"/>
          <w:color w:val="auto"/>
          <w:sz w:val="32"/>
          <w:szCs w:val="32"/>
        </w:rPr>
        <w:t>城乡社区环境卫生</w:t>
      </w:r>
      <w:r>
        <w:rPr>
          <w:rFonts w:hint="eastAsia" w:ascii="仿宋_GB2312" w:eastAsia="仿宋_GB2312"/>
          <w:color w:val="auto"/>
          <w:sz w:val="32"/>
          <w:szCs w:val="32"/>
          <w:lang w:eastAsia="zh-CN"/>
        </w:rPr>
        <w:t>项支出，因此</w:t>
      </w:r>
      <w:r>
        <w:rPr>
          <w:rFonts w:hint="eastAsia" w:ascii="仿宋_GB2312" w:eastAsia="仿宋_GB2312"/>
          <w:color w:val="auto"/>
          <w:sz w:val="32"/>
          <w:szCs w:val="32"/>
          <w:lang w:val="en-US" w:eastAsia="zh-CN"/>
        </w:rPr>
        <w:t>2024年</w:t>
      </w:r>
      <w:r>
        <w:rPr>
          <w:rFonts w:ascii="仿宋_GB2312" w:eastAsia="仿宋_GB2312"/>
          <w:color w:val="auto"/>
          <w:sz w:val="32"/>
          <w:szCs w:val="32"/>
        </w:rPr>
        <w:t>城乡社区环境卫生</w:t>
      </w:r>
      <w:r>
        <w:rPr>
          <w:rFonts w:hint="eastAsia" w:ascii="仿宋_GB2312" w:eastAsia="仿宋_GB2312"/>
          <w:color w:val="auto"/>
          <w:sz w:val="32"/>
          <w:szCs w:val="32"/>
          <w:lang w:eastAsia="zh-CN"/>
        </w:rPr>
        <w:t>支出较上年增加。</w:t>
      </w:r>
    </w:p>
    <w:p>
      <w:pPr>
        <w:widowControl/>
        <w:ind w:firstLine="640" w:firstLineChars="200"/>
        <w:rPr>
          <w:rFonts w:hint="eastAsia" w:ascii="仿宋_GB2312" w:eastAsia="仿宋_GB2312"/>
          <w:color w:val="auto"/>
          <w:sz w:val="32"/>
          <w:szCs w:val="32"/>
          <w:lang w:eastAsia="zh-CN"/>
        </w:rPr>
      </w:pPr>
      <w:r>
        <w:rPr>
          <w:rFonts w:ascii="仿宋_GB2312" w:eastAsia="仿宋_GB2312"/>
          <w:color w:val="auto"/>
          <w:sz w:val="32"/>
          <w:szCs w:val="32"/>
        </w:rPr>
        <w:t>住房保障支出（类）住房改革支出（款）住房公积金（项）：支出决算数为277.57万元，比上年决算增加19.00万元，增长7.35%，主要原因是：</w:t>
      </w:r>
      <w:r>
        <w:rPr>
          <w:rFonts w:hint="eastAsia" w:ascii="仿宋_GB2312" w:eastAsia="仿宋_GB2312"/>
          <w:color w:val="auto"/>
          <w:sz w:val="32"/>
          <w:szCs w:val="32"/>
          <w:lang w:eastAsia="zh-CN"/>
        </w:rPr>
        <w:t>人员工资基数上调，因此</w:t>
      </w:r>
      <w:r>
        <w:rPr>
          <w:rFonts w:ascii="仿宋_GB2312" w:eastAsia="仿宋_GB2312"/>
          <w:color w:val="auto"/>
          <w:sz w:val="32"/>
          <w:szCs w:val="32"/>
        </w:rPr>
        <w:t>住房公积金</w:t>
      </w:r>
      <w:r>
        <w:rPr>
          <w:rFonts w:hint="eastAsia" w:ascii="仿宋_GB2312" w:eastAsia="仿宋_GB2312"/>
          <w:color w:val="auto"/>
          <w:sz w:val="32"/>
          <w:szCs w:val="32"/>
          <w:lang w:eastAsia="zh-CN"/>
        </w:rPr>
        <w:t>较上年增加。</w:t>
      </w:r>
    </w:p>
    <w:p>
      <w:pPr>
        <w:widowControl/>
        <w:ind w:firstLine="640" w:firstLineChars="200"/>
        <w:jc w:val="left"/>
        <w:outlineLvl w:val="1"/>
        <w:rPr>
          <w:rFonts w:ascii="黑体" w:eastAsia="黑体"/>
          <w:color w:val="auto"/>
          <w:sz w:val="32"/>
          <w:szCs w:val="32"/>
        </w:rPr>
      </w:pPr>
      <w:r>
        <w:rPr>
          <w:rFonts w:ascii="黑体" w:eastAsia="黑体"/>
          <w:color w:val="auto"/>
          <w:sz w:val="32"/>
          <w:szCs w:val="32"/>
        </w:rPr>
        <w:t>六、一般公共预算财政拨款基本支出决算情况说明</w:t>
      </w:r>
    </w:p>
    <w:p>
      <w:pPr>
        <w:widowControl/>
        <w:ind w:firstLine="640" w:firstLineChars="200"/>
        <w:rPr>
          <w:rFonts w:ascii="仿宋_GB2312" w:eastAsia="仿宋_GB2312"/>
          <w:color w:val="auto"/>
          <w:sz w:val="32"/>
          <w:szCs w:val="32"/>
        </w:rPr>
      </w:pPr>
      <w:r>
        <w:rPr>
          <w:rFonts w:ascii="仿宋_GB2312" w:eastAsia="仿宋_GB2312"/>
          <w:color w:val="auto"/>
          <w:sz w:val="32"/>
          <w:szCs w:val="32"/>
        </w:rPr>
        <w:t>2024年度一般公共预算财政拨款基本支出3,570.25万元，其中：人员经费3,386.96万元，包括：基本工资、津贴补贴、奖金、绩效工资、机关事业单位基本养老保险缴费、职业年金缴费、职工基本医疗保险缴费、其他社会保障缴费、住房公积金、退休费、生活补助和奖励金。</w:t>
      </w:r>
    </w:p>
    <w:p>
      <w:pPr>
        <w:widowControl/>
        <w:ind w:firstLine="640" w:firstLineChars="200"/>
        <w:rPr>
          <w:rFonts w:ascii="仿宋_GB2312" w:eastAsia="仿宋_GB2312"/>
          <w:color w:val="auto"/>
          <w:sz w:val="32"/>
          <w:szCs w:val="32"/>
        </w:rPr>
      </w:pPr>
      <w:r>
        <w:rPr>
          <w:rFonts w:ascii="仿宋_GB2312" w:eastAsia="仿宋_GB2312"/>
          <w:color w:val="auto"/>
          <w:sz w:val="32"/>
          <w:szCs w:val="32"/>
        </w:rPr>
        <w:t>公用经费183.29万元，包括：办公费、水费、电费、邮电费、取暖费、差旅费、维修（护）费、培训费、专用材料费、劳务费、委托业务费、工会经费、福利费、公务用车运行维护费和其他交通费用。</w:t>
      </w:r>
    </w:p>
    <w:p>
      <w:pPr>
        <w:widowControl/>
        <w:ind w:firstLine="640" w:firstLineChars="200"/>
        <w:jc w:val="left"/>
        <w:outlineLvl w:val="1"/>
        <w:rPr>
          <w:rFonts w:ascii="黑体" w:eastAsia="黑体"/>
          <w:color w:val="auto"/>
          <w:sz w:val="32"/>
          <w:szCs w:val="32"/>
        </w:rPr>
      </w:pPr>
      <w:r>
        <w:rPr>
          <w:rFonts w:ascii="黑体" w:eastAsia="黑体"/>
          <w:color w:val="auto"/>
          <w:sz w:val="32"/>
          <w:szCs w:val="32"/>
        </w:rPr>
        <w:t>七、政府性基金预算财政拨款收入支出决算情况说明</w:t>
      </w:r>
    </w:p>
    <w:p>
      <w:pPr>
        <w:widowControl/>
        <w:ind w:firstLine="640" w:firstLineChars="200"/>
        <w:rPr>
          <w:rFonts w:ascii="仿宋_GB2312" w:eastAsia="仿宋_GB2312"/>
          <w:color w:val="auto"/>
          <w:sz w:val="32"/>
          <w:szCs w:val="32"/>
        </w:rPr>
      </w:pPr>
      <w:r>
        <w:rPr>
          <w:rFonts w:ascii="仿宋_GB2312" w:eastAsia="仿宋_GB2312"/>
          <w:color w:val="auto"/>
          <w:sz w:val="32"/>
          <w:szCs w:val="32"/>
        </w:rPr>
        <w:t>2024年度政府性基金预算财政拨款收入总计5,794.87万元，其中：年初结转和结余0.00万元，本年收入5,794.87万元。政府性基金预算财政拨款支出总计5,794.87万元，其中：年末结转和结余0.00万元，本年支出5,794.87万元。</w:t>
      </w:r>
    </w:p>
    <w:p>
      <w:pPr>
        <w:widowControl/>
        <w:ind w:firstLine="640" w:firstLineChars="200"/>
        <w:rPr>
          <w:rFonts w:ascii="仿宋_GB2312" w:eastAsia="仿宋_GB2312"/>
          <w:color w:val="auto"/>
          <w:sz w:val="32"/>
          <w:szCs w:val="32"/>
        </w:rPr>
      </w:pPr>
      <w:r>
        <w:rPr>
          <w:rFonts w:ascii="仿宋_GB2312" w:eastAsia="仿宋_GB2312"/>
          <w:color w:val="auto"/>
          <w:sz w:val="32"/>
          <w:szCs w:val="32"/>
        </w:rPr>
        <w:t>政府性基金预算财政拨款收入支出总体与上年相比，减少681.54万元，下降10.52%，主要原因是：</w:t>
      </w:r>
      <w:r>
        <w:rPr>
          <w:rFonts w:hint="eastAsia" w:ascii="仿宋_GB2312" w:eastAsia="仿宋_GB2312"/>
          <w:color w:val="auto"/>
          <w:sz w:val="32"/>
          <w:szCs w:val="32"/>
          <w:lang w:val="en-US" w:eastAsia="zh-CN"/>
        </w:rPr>
        <w:t>2024</w:t>
      </w:r>
      <w:r>
        <w:rPr>
          <w:rFonts w:hint="eastAsia" w:ascii="仿宋_GB2312" w:eastAsia="仿宋_GB2312"/>
          <w:color w:val="auto"/>
          <w:sz w:val="32"/>
          <w:szCs w:val="32"/>
        </w:rPr>
        <w:t>年我单位</w:t>
      </w:r>
      <w:r>
        <w:rPr>
          <w:rFonts w:hint="eastAsia" w:ascii="仿宋_GB2312" w:eastAsia="仿宋_GB2312"/>
          <w:color w:val="auto"/>
          <w:sz w:val="32"/>
          <w:szCs w:val="32"/>
          <w:lang w:eastAsia="zh-CN"/>
        </w:rPr>
        <w:t>上库工业园区</w:t>
      </w:r>
      <w:r>
        <w:rPr>
          <w:rFonts w:hint="eastAsia" w:ascii="仿宋_GB2312" w:eastAsia="仿宋_GB2312"/>
          <w:color w:val="auto"/>
          <w:sz w:val="32"/>
          <w:szCs w:val="32"/>
          <w:lang w:val="en-US" w:eastAsia="zh-CN"/>
        </w:rPr>
        <w:t>5号井、6号井、温室大棚</w:t>
      </w:r>
      <w:r>
        <w:rPr>
          <w:rFonts w:hint="eastAsia" w:ascii="仿宋_GB2312" w:eastAsia="仿宋_GB2312"/>
          <w:color w:val="auto"/>
          <w:sz w:val="32"/>
          <w:szCs w:val="32"/>
        </w:rPr>
        <w:t>工程项目</w:t>
      </w:r>
      <w:r>
        <w:rPr>
          <w:rFonts w:hint="eastAsia" w:ascii="仿宋_GB2312" w:eastAsia="仿宋_GB2312"/>
          <w:color w:val="auto"/>
          <w:sz w:val="32"/>
          <w:szCs w:val="32"/>
          <w:lang w:eastAsia="zh-CN"/>
        </w:rPr>
        <w:t>、苗木材料、农药、车辆维修等</w:t>
      </w:r>
      <w:r>
        <w:rPr>
          <w:rFonts w:hint="eastAsia" w:ascii="仿宋_GB2312" w:eastAsia="仿宋_GB2312"/>
          <w:color w:val="auto"/>
          <w:sz w:val="32"/>
          <w:szCs w:val="32"/>
        </w:rPr>
        <w:t>因手续不全，未完成支付</w:t>
      </w:r>
      <w:r>
        <w:rPr>
          <w:rFonts w:ascii="仿宋_GB2312" w:eastAsia="仿宋_GB2312"/>
          <w:color w:val="auto"/>
          <w:sz w:val="32"/>
          <w:szCs w:val="32"/>
        </w:rPr>
        <w:t>。与年初预算相比，年初预算数9,959.28万元，决算数5,794.87万元，预决算差异率-41.81%，主要原因是：</w:t>
      </w:r>
      <w:r>
        <w:rPr>
          <w:rFonts w:hint="eastAsia" w:ascii="仿宋_GB2312" w:eastAsia="仿宋_GB2312"/>
          <w:color w:val="auto"/>
          <w:sz w:val="32"/>
          <w:szCs w:val="32"/>
          <w:lang w:val="en-US" w:eastAsia="zh-CN"/>
        </w:rPr>
        <w:t>2024</w:t>
      </w:r>
      <w:r>
        <w:rPr>
          <w:rFonts w:hint="eastAsia" w:ascii="仿宋_GB2312" w:eastAsia="仿宋_GB2312"/>
          <w:color w:val="auto"/>
          <w:sz w:val="32"/>
          <w:szCs w:val="32"/>
        </w:rPr>
        <w:t>年我单位</w:t>
      </w:r>
      <w:r>
        <w:rPr>
          <w:rFonts w:hint="eastAsia" w:ascii="仿宋_GB2312" w:eastAsia="仿宋_GB2312"/>
          <w:color w:val="auto"/>
          <w:sz w:val="32"/>
          <w:szCs w:val="32"/>
          <w:lang w:eastAsia="zh-CN"/>
        </w:rPr>
        <w:t>上库工业园区</w:t>
      </w:r>
      <w:r>
        <w:rPr>
          <w:rFonts w:hint="eastAsia" w:ascii="仿宋_GB2312" w:eastAsia="仿宋_GB2312"/>
          <w:color w:val="auto"/>
          <w:sz w:val="32"/>
          <w:szCs w:val="32"/>
          <w:lang w:val="en-US" w:eastAsia="zh-CN"/>
        </w:rPr>
        <w:t>5号井、6号井、温室大棚</w:t>
      </w:r>
      <w:r>
        <w:rPr>
          <w:rFonts w:hint="eastAsia" w:ascii="仿宋_GB2312" w:eastAsia="仿宋_GB2312"/>
          <w:color w:val="auto"/>
          <w:sz w:val="32"/>
          <w:szCs w:val="32"/>
        </w:rPr>
        <w:t>工程项目</w:t>
      </w:r>
      <w:r>
        <w:rPr>
          <w:rFonts w:hint="eastAsia" w:ascii="仿宋_GB2312" w:eastAsia="仿宋_GB2312"/>
          <w:color w:val="auto"/>
          <w:sz w:val="32"/>
          <w:szCs w:val="32"/>
          <w:lang w:eastAsia="zh-CN"/>
        </w:rPr>
        <w:t>、苗木材料、农药、车辆维修等</w:t>
      </w:r>
      <w:r>
        <w:rPr>
          <w:rFonts w:hint="eastAsia" w:ascii="仿宋_GB2312" w:eastAsia="仿宋_GB2312"/>
          <w:color w:val="auto"/>
          <w:sz w:val="32"/>
          <w:szCs w:val="32"/>
        </w:rPr>
        <w:t>因手续不全</w:t>
      </w:r>
      <w:r>
        <w:rPr>
          <w:rFonts w:hint="eastAsia" w:ascii="仿宋_GB2312" w:eastAsia="仿宋_GB2312"/>
          <w:color w:val="auto"/>
          <w:sz w:val="32"/>
          <w:szCs w:val="32"/>
          <w:lang w:eastAsia="zh-CN"/>
        </w:rPr>
        <w:t>，</w:t>
      </w:r>
      <w:r>
        <w:rPr>
          <w:rFonts w:hint="eastAsia" w:ascii="仿宋_GB2312" w:eastAsia="仿宋_GB2312"/>
          <w:color w:val="auto"/>
          <w:sz w:val="32"/>
          <w:szCs w:val="32"/>
        </w:rPr>
        <w:t>未完成支付</w:t>
      </w:r>
      <w:r>
        <w:rPr>
          <w:rFonts w:ascii="仿宋_GB2312" w:eastAsia="仿宋_GB2312"/>
          <w:color w:val="auto"/>
          <w:sz w:val="32"/>
          <w:szCs w:val="32"/>
        </w:rPr>
        <w:t>。</w:t>
      </w:r>
    </w:p>
    <w:p>
      <w:pPr>
        <w:widowControl/>
        <w:ind w:firstLine="640" w:firstLineChars="200"/>
        <w:rPr>
          <w:rFonts w:ascii="仿宋_GB2312" w:eastAsia="仿宋_GB2312"/>
          <w:color w:val="auto"/>
          <w:sz w:val="32"/>
          <w:szCs w:val="32"/>
        </w:rPr>
      </w:pPr>
      <w:r>
        <w:rPr>
          <w:rFonts w:ascii="仿宋_GB2312" w:eastAsia="仿宋_GB2312"/>
          <w:color w:val="auto"/>
          <w:sz w:val="32"/>
          <w:szCs w:val="32"/>
        </w:rPr>
        <w:t>政府性基金预算财政拨款支出5,794.87万元。</w:t>
      </w:r>
    </w:p>
    <w:p>
      <w:pPr>
        <w:widowControl/>
        <w:ind w:firstLine="640" w:firstLineChars="200"/>
        <w:rPr>
          <w:rFonts w:hint="eastAsia" w:ascii="仿宋_GB2312" w:eastAsia="仿宋_GB2312"/>
          <w:color w:val="FF0000"/>
          <w:sz w:val="32"/>
          <w:szCs w:val="32"/>
          <w:lang w:val="en-US" w:eastAsia="zh-CN"/>
        </w:rPr>
      </w:pPr>
      <w:r>
        <w:rPr>
          <w:rFonts w:ascii="仿宋_GB2312" w:eastAsia="仿宋_GB2312"/>
          <w:color w:val="auto"/>
          <w:sz w:val="32"/>
          <w:szCs w:val="32"/>
        </w:rPr>
        <w:t>城乡社区支出（类）国有土地使用权出让收入安排的支出（款）其他国有土地使用权出让收入安排的支出（项）：支出决算数为1,687.50万元，比上年决算增加296.75万元，增长21.34%，主要原因是：</w:t>
      </w:r>
      <w:r>
        <w:rPr>
          <w:rFonts w:hint="eastAsia" w:ascii="仿宋_GB2312" w:eastAsia="仿宋_GB2312"/>
          <w:color w:val="auto"/>
          <w:sz w:val="32"/>
          <w:szCs w:val="32"/>
          <w:lang w:val="en-US" w:eastAsia="zh-CN"/>
        </w:rPr>
        <w:t>2024年支付河北红色润疆项目施工费、苗木费、农药费、材料费、春节前农民工工资力度大，因此</w:t>
      </w:r>
      <w:r>
        <w:rPr>
          <w:rFonts w:ascii="仿宋_GB2312" w:eastAsia="仿宋_GB2312"/>
          <w:color w:val="auto"/>
          <w:sz w:val="32"/>
          <w:szCs w:val="32"/>
        </w:rPr>
        <w:t>其他国有土地使用权出让收入安排的支出</w:t>
      </w:r>
      <w:r>
        <w:rPr>
          <w:rFonts w:hint="eastAsia" w:ascii="仿宋_GB2312" w:eastAsia="仿宋_GB2312"/>
          <w:color w:val="auto"/>
          <w:sz w:val="32"/>
          <w:szCs w:val="32"/>
          <w:lang w:eastAsia="zh-CN"/>
        </w:rPr>
        <w:t>较上年增加。</w:t>
      </w:r>
    </w:p>
    <w:p>
      <w:pPr>
        <w:widowControl/>
        <w:ind w:firstLine="640" w:firstLineChars="200"/>
        <w:rPr>
          <w:rFonts w:hint="eastAsia" w:ascii="仿宋_GB2312" w:eastAsia="仿宋_GB2312"/>
          <w:color w:val="auto"/>
          <w:sz w:val="32"/>
          <w:szCs w:val="32"/>
          <w:lang w:eastAsia="zh-CN"/>
        </w:rPr>
      </w:pPr>
      <w:r>
        <w:rPr>
          <w:rFonts w:ascii="仿宋_GB2312" w:eastAsia="仿宋_GB2312"/>
          <w:color w:val="auto"/>
          <w:sz w:val="32"/>
          <w:szCs w:val="32"/>
        </w:rPr>
        <w:t>城乡社区支出（类）城市基础设施配套费安排的支出（款）城市环境卫生（项）：支出决算数为4,107.37万元，比上年决算减少978.29万元，下降19.24%，主要原因是：</w:t>
      </w:r>
      <w:r>
        <w:rPr>
          <w:rFonts w:hint="eastAsia" w:ascii="仿宋_GB2312" w:eastAsia="仿宋_GB2312"/>
          <w:color w:val="auto"/>
          <w:sz w:val="32"/>
          <w:szCs w:val="32"/>
          <w:lang w:eastAsia="zh-CN"/>
        </w:rPr>
        <w:t>水费、苗木费等专项经费支出在该科目中较上年减少，因此</w:t>
      </w:r>
      <w:r>
        <w:rPr>
          <w:rFonts w:ascii="仿宋_GB2312" w:eastAsia="仿宋_GB2312"/>
          <w:color w:val="auto"/>
          <w:sz w:val="32"/>
          <w:szCs w:val="32"/>
        </w:rPr>
        <w:t>城市环境卫生</w:t>
      </w:r>
      <w:r>
        <w:rPr>
          <w:rFonts w:hint="eastAsia" w:ascii="仿宋_GB2312" w:eastAsia="仿宋_GB2312"/>
          <w:color w:val="auto"/>
          <w:sz w:val="32"/>
          <w:szCs w:val="32"/>
          <w:lang w:eastAsia="zh-CN"/>
        </w:rPr>
        <w:t>支出较上年减少。</w:t>
      </w:r>
    </w:p>
    <w:p>
      <w:pPr>
        <w:widowControl/>
        <w:ind w:firstLine="640" w:firstLineChars="200"/>
        <w:jc w:val="left"/>
        <w:outlineLvl w:val="1"/>
        <w:rPr>
          <w:rFonts w:ascii="黑体" w:eastAsia="黑体"/>
          <w:color w:val="auto"/>
          <w:sz w:val="32"/>
          <w:szCs w:val="32"/>
        </w:rPr>
      </w:pPr>
      <w:r>
        <w:rPr>
          <w:rFonts w:ascii="黑体" w:eastAsia="黑体"/>
          <w:color w:val="auto"/>
          <w:sz w:val="32"/>
          <w:szCs w:val="32"/>
        </w:rPr>
        <w:t>八、国有资本经营预算财政拨款收入支出决算情况说明</w:t>
      </w:r>
    </w:p>
    <w:p>
      <w:pPr>
        <w:widowControl/>
        <w:ind w:firstLine="640" w:firstLineChars="200"/>
        <w:rPr>
          <w:rFonts w:ascii="仿宋_GB2312" w:eastAsia="仿宋_GB2312"/>
          <w:color w:val="auto"/>
          <w:sz w:val="32"/>
          <w:szCs w:val="32"/>
        </w:rPr>
      </w:pPr>
      <w:r>
        <w:rPr>
          <w:rFonts w:ascii="仿宋_GB2312" w:eastAsia="仿宋_GB2312"/>
          <w:color w:val="auto"/>
          <w:sz w:val="32"/>
          <w:szCs w:val="32"/>
        </w:rPr>
        <w:t>本单位本年度无国有资本经营预算财政拨款收入、支出及结转和结余，国有资本经营预算财政拨款收入支出决算表为空表。</w:t>
      </w:r>
    </w:p>
    <w:p>
      <w:pPr>
        <w:widowControl/>
        <w:ind w:firstLine="640" w:firstLineChars="200"/>
        <w:jc w:val="left"/>
        <w:outlineLvl w:val="1"/>
        <w:rPr>
          <w:rFonts w:ascii="黑体" w:eastAsia="黑体"/>
          <w:color w:val="auto"/>
          <w:sz w:val="32"/>
          <w:szCs w:val="32"/>
        </w:rPr>
      </w:pPr>
      <w:r>
        <w:rPr>
          <w:rFonts w:ascii="黑体" w:eastAsia="黑体"/>
          <w:color w:val="auto"/>
          <w:sz w:val="32"/>
          <w:szCs w:val="32"/>
        </w:rPr>
        <w:t>九、财政拨款“三公”经费支出决算情况说明</w:t>
      </w:r>
    </w:p>
    <w:p>
      <w:pPr>
        <w:widowControl/>
        <w:ind w:firstLine="640" w:firstLineChars="200"/>
        <w:rPr>
          <w:rFonts w:ascii="仿宋_GB2312" w:eastAsia="仿宋_GB2312"/>
          <w:color w:val="auto"/>
          <w:sz w:val="32"/>
          <w:szCs w:val="32"/>
        </w:rPr>
      </w:pPr>
      <w:r>
        <w:rPr>
          <w:rFonts w:ascii="仿宋_GB2312" w:eastAsia="仿宋_GB2312"/>
          <w:color w:val="auto"/>
          <w:sz w:val="32"/>
          <w:szCs w:val="32"/>
        </w:rPr>
        <w:t>2024年度财政拨款“三公”经费支出6.38万元，比上年增加3.98万元，增长165.83%，主要原因是：</w:t>
      </w:r>
      <w:r>
        <w:rPr>
          <w:rFonts w:hint="eastAsia" w:ascii="仿宋_GB2312" w:eastAsia="仿宋_GB2312"/>
          <w:color w:val="auto"/>
          <w:sz w:val="32"/>
          <w:szCs w:val="32"/>
          <w:lang w:eastAsia="zh-CN"/>
        </w:rPr>
        <w:t>因我单位承担着建成区养护管护绿化任务，每年工作量都在递增，因此</w:t>
      </w:r>
      <w:r>
        <w:rPr>
          <w:rFonts w:hint="eastAsia" w:ascii="仿宋_GB2312" w:eastAsia="仿宋_GB2312"/>
          <w:color w:val="auto"/>
          <w:sz w:val="32"/>
          <w:szCs w:val="32"/>
          <w:lang w:val="en-US" w:eastAsia="zh-CN"/>
        </w:rPr>
        <w:t>2024年</w:t>
      </w:r>
      <w:r>
        <w:rPr>
          <w:rFonts w:hint="eastAsia" w:ascii="仿宋_GB2312" w:eastAsia="仿宋_GB2312"/>
          <w:color w:val="auto"/>
          <w:sz w:val="32"/>
          <w:szCs w:val="32"/>
          <w:lang w:eastAsia="zh-CN"/>
        </w:rPr>
        <w:t>机关事务管理局根据业务需要给我单位又追加核定</w:t>
      </w:r>
      <w:r>
        <w:rPr>
          <w:rFonts w:hint="eastAsia" w:ascii="仿宋_GB2312" w:eastAsia="仿宋_GB2312"/>
          <w:color w:val="auto"/>
          <w:sz w:val="32"/>
          <w:szCs w:val="32"/>
          <w:lang w:val="en-US" w:eastAsia="zh-CN"/>
        </w:rPr>
        <w:t>了6辆公务用车，截至目前共7辆公务用车，相应的公务用车运行经费增加，因此公务用车运行经费比上年增加3.98万元</w:t>
      </w:r>
      <w:r>
        <w:rPr>
          <w:rFonts w:ascii="仿宋_GB2312" w:eastAsia="仿宋_GB2312"/>
          <w:color w:val="auto"/>
          <w:sz w:val="32"/>
          <w:szCs w:val="32"/>
        </w:rPr>
        <w:t>。其中：因公出国（境）费支出0.00万元,占0.00%，与上年相比无变化，主要原因是：</w:t>
      </w:r>
      <w:r>
        <w:rPr>
          <w:rFonts w:hint="eastAsia" w:ascii="仿宋_GB2312" w:eastAsia="仿宋_GB2312"/>
          <w:color w:val="auto"/>
          <w:sz w:val="32"/>
          <w:szCs w:val="32"/>
          <w:lang w:eastAsia="zh-CN"/>
        </w:rPr>
        <w:t>我单位无因公出国（境）费</w:t>
      </w:r>
      <w:r>
        <w:rPr>
          <w:rFonts w:ascii="仿宋_GB2312" w:eastAsia="仿宋_GB2312"/>
          <w:color w:val="auto"/>
          <w:sz w:val="32"/>
          <w:szCs w:val="32"/>
        </w:rPr>
        <w:t>；公务用车购置及运行维护费支出6.38万元，占100.00%，比上年增加3.98万元，增长165.83%，主要原因是：</w:t>
      </w:r>
      <w:r>
        <w:rPr>
          <w:rFonts w:hint="eastAsia" w:ascii="仿宋_GB2312" w:eastAsia="仿宋_GB2312"/>
          <w:color w:val="auto"/>
          <w:sz w:val="32"/>
          <w:szCs w:val="32"/>
          <w:lang w:eastAsia="zh-CN"/>
        </w:rPr>
        <w:t>因我单位承担着建成区养护管护绿化任务，每年工作量都在递增，因此</w:t>
      </w:r>
      <w:r>
        <w:rPr>
          <w:rFonts w:hint="eastAsia" w:ascii="仿宋_GB2312" w:eastAsia="仿宋_GB2312"/>
          <w:color w:val="auto"/>
          <w:sz w:val="32"/>
          <w:szCs w:val="32"/>
          <w:lang w:val="en-US" w:eastAsia="zh-CN"/>
        </w:rPr>
        <w:t>2024年</w:t>
      </w:r>
      <w:r>
        <w:rPr>
          <w:rFonts w:hint="eastAsia" w:ascii="仿宋_GB2312" w:eastAsia="仿宋_GB2312"/>
          <w:color w:val="auto"/>
          <w:sz w:val="32"/>
          <w:szCs w:val="32"/>
          <w:lang w:eastAsia="zh-CN"/>
        </w:rPr>
        <w:t>机关事务管理局根据业务需要给我单位又追加核定</w:t>
      </w:r>
      <w:r>
        <w:rPr>
          <w:rFonts w:hint="eastAsia" w:ascii="仿宋_GB2312" w:eastAsia="仿宋_GB2312"/>
          <w:color w:val="auto"/>
          <w:sz w:val="32"/>
          <w:szCs w:val="32"/>
          <w:lang w:val="en-US" w:eastAsia="zh-CN"/>
        </w:rPr>
        <w:t>了6辆公务用车，截至</w:t>
      </w:r>
      <w:bookmarkStart w:id="0" w:name="_GoBack"/>
      <w:bookmarkEnd w:id="0"/>
      <w:r>
        <w:rPr>
          <w:rFonts w:hint="eastAsia" w:ascii="仿宋_GB2312" w:eastAsia="仿宋_GB2312"/>
          <w:color w:val="auto"/>
          <w:sz w:val="32"/>
          <w:szCs w:val="32"/>
          <w:lang w:val="en-US" w:eastAsia="zh-CN"/>
        </w:rPr>
        <w:t>目前共7辆公务用车，相应的公务用车运行经费增加，因此公务用车运行经费比上年增加3.98万元</w:t>
      </w:r>
      <w:r>
        <w:rPr>
          <w:rFonts w:ascii="仿宋_GB2312" w:eastAsia="仿宋_GB2312"/>
          <w:color w:val="auto"/>
          <w:sz w:val="32"/>
          <w:szCs w:val="32"/>
        </w:rPr>
        <w:t>；公务接待费支出0.00万元，占0.00%，与上年相比无变化，主要原因是：</w:t>
      </w:r>
      <w:r>
        <w:rPr>
          <w:rFonts w:hint="eastAsia" w:ascii="仿宋_GB2312" w:eastAsia="仿宋_GB2312"/>
          <w:color w:val="auto"/>
          <w:sz w:val="32"/>
          <w:szCs w:val="32"/>
        </w:rPr>
        <w:t>我单位无公务接待</w:t>
      </w:r>
      <w:r>
        <w:rPr>
          <w:rFonts w:ascii="仿宋_GB2312" w:eastAsia="仿宋_GB2312"/>
          <w:color w:val="auto"/>
          <w:sz w:val="32"/>
          <w:szCs w:val="32"/>
        </w:rPr>
        <w:t>。</w:t>
      </w:r>
    </w:p>
    <w:p>
      <w:pPr>
        <w:widowControl/>
        <w:ind w:firstLine="640" w:firstLineChars="200"/>
        <w:jc w:val="left"/>
        <w:rPr>
          <w:rFonts w:ascii="仿宋_GB2312" w:eastAsia="仿宋_GB2312"/>
          <w:color w:val="auto"/>
          <w:sz w:val="32"/>
          <w:szCs w:val="32"/>
        </w:rPr>
      </w:pPr>
      <w:r>
        <w:rPr>
          <w:rFonts w:ascii="仿宋_GB2312" w:eastAsia="仿宋_GB2312"/>
          <w:color w:val="auto"/>
          <w:sz w:val="32"/>
          <w:szCs w:val="32"/>
        </w:rPr>
        <w:t>具体情况如下：</w:t>
      </w:r>
    </w:p>
    <w:p>
      <w:pPr>
        <w:widowControl/>
        <w:ind w:firstLine="640" w:firstLineChars="200"/>
        <w:rPr>
          <w:rFonts w:ascii="仿宋_GB2312" w:eastAsia="仿宋_GB2312"/>
          <w:color w:val="auto"/>
          <w:sz w:val="32"/>
          <w:szCs w:val="32"/>
        </w:rPr>
      </w:pPr>
      <w:r>
        <w:rPr>
          <w:rFonts w:ascii="仿宋_GB2312" w:eastAsia="仿宋_GB2312"/>
          <w:color w:val="auto"/>
          <w:sz w:val="32"/>
          <w:szCs w:val="32"/>
        </w:rPr>
        <w:t>因公出国（境）费支出0.00万元，</w:t>
      </w:r>
      <w:r>
        <w:rPr>
          <w:rFonts w:ascii="仿宋_GB2312" w:eastAsia="仿宋_GB2312"/>
          <w:b w:val="0"/>
          <w:sz w:val="32"/>
          <w:szCs w:val="32"/>
        </w:rPr>
        <w:t>开支内容包括</w:t>
      </w:r>
      <w:r>
        <w:rPr>
          <w:rFonts w:hint="eastAsia" w:ascii="仿宋_GB2312" w:hAnsi="Times New Roman" w:eastAsia="仿宋_GB2312" w:cs="Times New Roman"/>
          <w:sz w:val="32"/>
          <w:szCs w:val="32"/>
          <w:lang w:eastAsia="zh-CN"/>
        </w:rPr>
        <w:t>本年未安排因公出国（境）费支出，无开支内容</w:t>
      </w:r>
      <w:r>
        <w:rPr>
          <w:rFonts w:ascii="仿宋_GB2312" w:eastAsia="仿宋_GB2312"/>
          <w:b w:val="0"/>
          <w:sz w:val="32"/>
          <w:szCs w:val="32"/>
        </w:rPr>
        <w:t>。</w:t>
      </w:r>
      <w:r>
        <w:rPr>
          <w:rFonts w:ascii="仿宋_GB2312" w:eastAsia="仿宋_GB2312"/>
          <w:color w:val="auto"/>
          <w:sz w:val="32"/>
          <w:szCs w:val="32"/>
        </w:rPr>
        <w:t>单位全年安排的因公出国（境）团组0个，因公出国（境）0人次。</w:t>
      </w:r>
    </w:p>
    <w:p>
      <w:pPr>
        <w:widowControl/>
        <w:ind w:firstLine="640" w:firstLineChars="200"/>
        <w:rPr>
          <w:rFonts w:ascii="仿宋_GB2312" w:eastAsia="仿宋_GB2312"/>
          <w:color w:val="auto"/>
          <w:sz w:val="32"/>
          <w:szCs w:val="32"/>
        </w:rPr>
      </w:pPr>
      <w:r>
        <w:rPr>
          <w:rFonts w:ascii="仿宋_GB2312" w:eastAsia="仿宋_GB2312"/>
          <w:color w:val="auto"/>
          <w:sz w:val="32"/>
          <w:szCs w:val="32"/>
        </w:rPr>
        <w:t>公务用车购置及运行维护费6.38万元，其中：公务用车购置费0.00万元，公务用车运行维护费6.38万元。公务用车运行维护费开支内容包括</w:t>
      </w:r>
      <w:r>
        <w:rPr>
          <w:rFonts w:hint="eastAsia" w:ascii="仿宋_GB2312" w:eastAsia="仿宋_GB2312"/>
          <w:color w:val="auto"/>
          <w:sz w:val="32"/>
          <w:szCs w:val="32"/>
          <w:lang w:eastAsia="zh-CN"/>
        </w:rPr>
        <w:t>车辆维修、燃油、保险</w:t>
      </w:r>
      <w:r>
        <w:rPr>
          <w:rFonts w:ascii="仿宋_GB2312" w:eastAsia="仿宋_GB2312"/>
          <w:color w:val="auto"/>
          <w:sz w:val="32"/>
          <w:szCs w:val="32"/>
        </w:rPr>
        <w:t>。公务用车购置数0辆，公务用车保有量</w:t>
      </w:r>
      <w:r>
        <w:rPr>
          <w:rFonts w:hint="eastAsia" w:ascii="仿宋_GB2312" w:eastAsia="仿宋_GB2312"/>
          <w:color w:val="auto"/>
          <w:sz w:val="32"/>
          <w:szCs w:val="32"/>
          <w:lang w:val="en-US" w:eastAsia="zh-CN"/>
        </w:rPr>
        <w:t>7</w:t>
      </w:r>
      <w:r>
        <w:rPr>
          <w:rFonts w:ascii="仿宋_GB2312" w:eastAsia="仿宋_GB2312"/>
          <w:color w:val="auto"/>
          <w:sz w:val="32"/>
          <w:szCs w:val="32"/>
        </w:rPr>
        <w:t>辆。国有资产占用情况中固定资产车辆</w:t>
      </w:r>
      <w:r>
        <w:rPr>
          <w:rFonts w:hint="eastAsia" w:ascii="仿宋_GB2312" w:eastAsia="仿宋_GB2312"/>
          <w:color w:val="000000" w:themeColor="text1"/>
          <w:sz w:val="32"/>
          <w:szCs w:val="32"/>
          <w:lang w:val="en-US" w:eastAsia="zh-CN"/>
        </w:rPr>
        <w:t>7</w:t>
      </w:r>
      <w:r>
        <w:rPr>
          <w:rFonts w:ascii="仿宋_GB2312" w:eastAsia="仿宋_GB2312"/>
          <w:color w:val="auto"/>
          <w:sz w:val="32"/>
          <w:szCs w:val="32"/>
        </w:rPr>
        <w:t>辆，与公务用车保有量差异原因是：</w:t>
      </w:r>
      <w:r>
        <w:rPr>
          <w:rFonts w:hint="eastAsia" w:ascii="仿宋_GB2312" w:eastAsia="仿宋_GB2312"/>
          <w:color w:val="auto"/>
          <w:sz w:val="32"/>
          <w:szCs w:val="32"/>
          <w:lang w:val="zh-CN"/>
        </w:rPr>
        <w:t>固定资产车辆与公务用车保有量无差异</w:t>
      </w:r>
      <w:r>
        <w:rPr>
          <w:rFonts w:ascii="仿宋_GB2312" w:eastAsia="仿宋_GB2312"/>
          <w:color w:val="auto"/>
          <w:sz w:val="32"/>
          <w:szCs w:val="32"/>
        </w:rPr>
        <w:t>。</w:t>
      </w:r>
    </w:p>
    <w:p>
      <w:pPr>
        <w:widowControl/>
        <w:ind w:firstLine="640" w:firstLineChars="200"/>
        <w:rPr>
          <w:rFonts w:ascii="仿宋_GB2312" w:eastAsia="仿宋_GB2312"/>
          <w:color w:val="auto"/>
          <w:sz w:val="32"/>
          <w:szCs w:val="32"/>
        </w:rPr>
      </w:pPr>
      <w:r>
        <w:rPr>
          <w:rFonts w:ascii="仿宋_GB2312" w:eastAsia="仿宋_GB2312"/>
          <w:color w:val="auto"/>
          <w:sz w:val="32"/>
          <w:szCs w:val="32"/>
        </w:rPr>
        <w:t>公务接待费0.00万元，</w:t>
      </w:r>
      <w:r>
        <w:rPr>
          <w:rFonts w:ascii="仿宋_GB2312" w:eastAsia="仿宋_GB2312"/>
          <w:b w:val="0"/>
          <w:sz w:val="32"/>
          <w:szCs w:val="32"/>
        </w:rPr>
        <w:t>开支内容包括</w:t>
      </w:r>
      <w:r>
        <w:rPr>
          <w:rFonts w:hint="eastAsia" w:ascii="仿宋_GB2312" w:hAnsi="Times New Roman" w:eastAsia="仿宋_GB2312" w:cs="Times New Roman"/>
          <w:sz w:val="32"/>
          <w:szCs w:val="32"/>
          <w:lang w:eastAsia="zh-CN"/>
        </w:rPr>
        <w:t>本年未安排公务接待费支出，无开支内容</w:t>
      </w:r>
      <w:r>
        <w:rPr>
          <w:rFonts w:ascii="仿宋_GB2312" w:eastAsia="仿宋_GB2312"/>
          <w:b w:val="0"/>
          <w:sz w:val="32"/>
          <w:szCs w:val="32"/>
        </w:rPr>
        <w:t>。</w:t>
      </w:r>
      <w:r>
        <w:rPr>
          <w:rFonts w:ascii="仿宋_GB2312" w:eastAsia="仿宋_GB2312"/>
          <w:color w:val="auto"/>
          <w:sz w:val="32"/>
          <w:szCs w:val="32"/>
        </w:rPr>
        <w:t>单位全年安排的国内公务接待0批次，0人次。</w:t>
      </w:r>
    </w:p>
    <w:p>
      <w:pPr>
        <w:widowControl/>
        <w:ind w:firstLine="640" w:firstLineChars="200"/>
        <w:rPr>
          <w:rFonts w:ascii="仿宋_GB2312" w:eastAsia="仿宋_GB2312"/>
          <w:color w:val="auto"/>
          <w:sz w:val="32"/>
          <w:szCs w:val="32"/>
        </w:rPr>
      </w:pPr>
      <w:r>
        <w:rPr>
          <w:rFonts w:ascii="仿宋_GB2312" w:eastAsia="仿宋_GB2312"/>
          <w:color w:val="auto"/>
          <w:sz w:val="32"/>
          <w:szCs w:val="32"/>
        </w:rPr>
        <w:t>与全年预算相比，财政拨款“三公”经费支出全年预算数6.38万元，决算数6.38万元，预决算差异率0.00%，主要原因是：</w:t>
      </w:r>
      <w:r>
        <w:rPr>
          <w:rFonts w:hint="eastAsia" w:ascii="仿宋_GB2312" w:eastAsia="仿宋_GB2312"/>
          <w:color w:val="auto"/>
          <w:sz w:val="32"/>
          <w:szCs w:val="32"/>
          <w:lang w:val="en-US" w:eastAsia="zh-CN"/>
        </w:rPr>
        <w:t>严格预算执行，预决算一致无差异</w:t>
      </w:r>
      <w:r>
        <w:rPr>
          <w:rFonts w:ascii="仿宋_GB2312" w:eastAsia="仿宋_GB2312"/>
          <w:color w:val="auto"/>
          <w:sz w:val="32"/>
          <w:szCs w:val="32"/>
        </w:rPr>
        <w:t>。其中：因公出国（境）费全年预算数0.00万元，决算数0.00万元，预决算差异率0.00%，主要原因是：</w:t>
      </w:r>
      <w:r>
        <w:rPr>
          <w:rFonts w:hint="eastAsia" w:ascii="仿宋_GB2312" w:eastAsia="仿宋_GB2312"/>
          <w:color w:val="auto"/>
          <w:sz w:val="32"/>
          <w:szCs w:val="32"/>
          <w:lang w:val="en-US" w:eastAsia="zh-CN"/>
        </w:rPr>
        <w:t>我单位无</w:t>
      </w:r>
      <w:r>
        <w:rPr>
          <w:rFonts w:ascii="仿宋_GB2312" w:eastAsia="仿宋_GB2312"/>
          <w:color w:val="auto"/>
          <w:sz w:val="32"/>
          <w:szCs w:val="32"/>
        </w:rPr>
        <w:t>因公出国（境）费</w:t>
      </w:r>
      <w:r>
        <w:rPr>
          <w:rFonts w:hint="eastAsia" w:ascii="仿宋_GB2312" w:eastAsia="仿宋_GB2312"/>
          <w:color w:val="auto"/>
          <w:sz w:val="32"/>
          <w:szCs w:val="32"/>
          <w:lang w:val="en-US" w:eastAsia="zh-CN"/>
        </w:rPr>
        <w:t>支出，预决算一致无差异</w:t>
      </w:r>
      <w:r>
        <w:rPr>
          <w:rFonts w:ascii="仿宋_GB2312" w:eastAsia="仿宋_GB2312"/>
          <w:color w:val="auto"/>
          <w:sz w:val="32"/>
          <w:szCs w:val="32"/>
        </w:rPr>
        <w:t>。公务用车购置费全年预算数0.00万元，决算数0.00万元，预决算差异率0.00%，主要原因是：</w:t>
      </w:r>
      <w:r>
        <w:rPr>
          <w:rFonts w:hint="eastAsia" w:ascii="仿宋_GB2312" w:eastAsia="仿宋_GB2312"/>
          <w:color w:val="auto"/>
          <w:sz w:val="32"/>
          <w:szCs w:val="32"/>
          <w:lang w:val="en-US" w:eastAsia="zh-CN"/>
        </w:rPr>
        <w:t>我单位无</w:t>
      </w:r>
      <w:r>
        <w:rPr>
          <w:rFonts w:ascii="仿宋_GB2312" w:eastAsia="仿宋_GB2312"/>
          <w:color w:val="auto"/>
          <w:sz w:val="32"/>
          <w:szCs w:val="32"/>
        </w:rPr>
        <w:t>公务用车购置费</w:t>
      </w:r>
      <w:r>
        <w:rPr>
          <w:rFonts w:hint="eastAsia" w:ascii="仿宋_GB2312" w:eastAsia="仿宋_GB2312"/>
          <w:color w:val="auto"/>
          <w:sz w:val="32"/>
          <w:szCs w:val="32"/>
          <w:lang w:val="en-US" w:eastAsia="zh-CN"/>
        </w:rPr>
        <w:t>支出，预决算一致无差异</w:t>
      </w:r>
      <w:r>
        <w:rPr>
          <w:rFonts w:ascii="仿宋_GB2312" w:eastAsia="仿宋_GB2312"/>
          <w:color w:val="auto"/>
          <w:sz w:val="32"/>
          <w:szCs w:val="32"/>
        </w:rPr>
        <w:t>。公务用车运行维护费全年预算数6.38万元，决算数6.38万元，预决算差异率0.00%，主要原因是：</w:t>
      </w:r>
      <w:r>
        <w:rPr>
          <w:rFonts w:hint="eastAsia" w:ascii="仿宋_GB2312" w:eastAsia="仿宋_GB2312"/>
          <w:color w:val="auto"/>
          <w:sz w:val="32"/>
          <w:szCs w:val="32"/>
          <w:lang w:val="en-US" w:eastAsia="zh-CN"/>
        </w:rPr>
        <w:t>严格预算执行，预决算一致无差异</w:t>
      </w:r>
      <w:r>
        <w:rPr>
          <w:rFonts w:ascii="仿宋_GB2312" w:eastAsia="仿宋_GB2312"/>
          <w:color w:val="auto"/>
          <w:sz w:val="32"/>
          <w:szCs w:val="32"/>
        </w:rPr>
        <w:t>。公务接待费全年预算数0.00万元，决算数0.00万元，预决算差异率0.00%，主要原因是：</w:t>
      </w:r>
      <w:r>
        <w:rPr>
          <w:rFonts w:hint="eastAsia" w:ascii="仿宋_GB2312" w:eastAsia="仿宋_GB2312"/>
          <w:color w:val="auto"/>
          <w:sz w:val="32"/>
          <w:szCs w:val="32"/>
          <w:lang w:val="en-US" w:eastAsia="zh-CN"/>
        </w:rPr>
        <w:t>我单位无</w:t>
      </w:r>
      <w:r>
        <w:rPr>
          <w:rFonts w:ascii="仿宋_GB2312" w:eastAsia="仿宋_GB2312"/>
          <w:color w:val="auto"/>
          <w:sz w:val="32"/>
          <w:szCs w:val="32"/>
        </w:rPr>
        <w:t>公务接待费</w:t>
      </w:r>
      <w:r>
        <w:rPr>
          <w:rFonts w:hint="eastAsia" w:ascii="仿宋_GB2312" w:eastAsia="仿宋_GB2312"/>
          <w:color w:val="auto"/>
          <w:sz w:val="32"/>
          <w:szCs w:val="32"/>
          <w:lang w:val="en-US" w:eastAsia="zh-CN"/>
        </w:rPr>
        <w:t>支出，预决算一致无差异</w:t>
      </w:r>
      <w:r>
        <w:rPr>
          <w:rFonts w:ascii="仿宋_GB2312" w:eastAsia="仿宋_GB2312"/>
          <w:color w:val="auto"/>
          <w:sz w:val="32"/>
          <w:szCs w:val="32"/>
        </w:rPr>
        <w:t>。</w:t>
      </w:r>
    </w:p>
    <w:p>
      <w:pPr>
        <w:widowControl/>
        <w:ind w:firstLine="640" w:firstLineChars="200"/>
        <w:jc w:val="left"/>
        <w:outlineLvl w:val="1"/>
        <w:rPr>
          <w:rFonts w:ascii="黑体" w:eastAsia="黑体"/>
          <w:color w:val="auto"/>
          <w:sz w:val="32"/>
          <w:szCs w:val="32"/>
        </w:rPr>
      </w:pPr>
      <w:r>
        <w:rPr>
          <w:rFonts w:ascii="黑体" w:eastAsia="黑体"/>
          <w:color w:val="auto"/>
          <w:sz w:val="32"/>
          <w:szCs w:val="32"/>
        </w:rPr>
        <w:t>十、其他重要事项的情况说明</w:t>
      </w:r>
    </w:p>
    <w:p>
      <w:pPr>
        <w:widowControl/>
        <w:ind w:firstLine="643" w:firstLineChars="200"/>
        <w:jc w:val="left"/>
        <w:outlineLvl w:val="2"/>
        <w:rPr>
          <w:rFonts w:ascii="仿宋_GB2312" w:eastAsia="仿宋_GB2312"/>
          <w:color w:val="auto"/>
          <w:sz w:val="32"/>
          <w:szCs w:val="32"/>
        </w:rPr>
      </w:pPr>
      <w:r>
        <w:rPr>
          <w:rFonts w:ascii="仿宋_GB2312" w:eastAsia="仿宋_GB2312"/>
          <w:b/>
          <w:color w:val="auto"/>
          <w:sz w:val="32"/>
          <w:szCs w:val="32"/>
        </w:rPr>
        <w:t>（一）机关运行经费及公用经费支出情况</w:t>
      </w:r>
    </w:p>
    <w:p>
      <w:pPr>
        <w:widowControl/>
        <w:ind w:firstLine="640" w:firstLineChars="200"/>
        <w:rPr>
          <w:rFonts w:ascii="仿宋_GB2312" w:eastAsia="仿宋_GB2312"/>
          <w:color w:val="auto"/>
          <w:sz w:val="32"/>
          <w:szCs w:val="32"/>
        </w:rPr>
      </w:pPr>
      <w:r>
        <w:rPr>
          <w:rFonts w:ascii="仿宋_GB2312" w:eastAsia="仿宋_GB2312"/>
          <w:color w:val="auto"/>
          <w:sz w:val="32"/>
          <w:szCs w:val="32"/>
        </w:rPr>
        <w:t>2024年度公用经费支出183.29万元，比上年</w:t>
      </w:r>
      <w:r>
        <w:rPr>
          <w:rFonts w:hint="eastAsia" w:ascii="仿宋_GB2312" w:eastAsia="仿宋_GB2312"/>
          <w:color w:val="auto"/>
          <w:sz w:val="32"/>
          <w:szCs w:val="32"/>
          <w:lang w:eastAsia="zh-CN"/>
        </w:rPr>
        <w:t>增加</w:t>
      </w:r>
      <w:r>
        <w:rPr>
          <w:rFonts w:hint="eastAsia" w:ascii="仿宋_GB2312" w:eastAsia="仿宋_GB2312"/>
          <w:color w:val="auto"/>
          <w:sz w:val="32"/>
          <w:szCs w:val="32"/>
          <w:lang w:val="en-US" w:eastAsia="zh-CN"/>
        </w:rPr>
        <w:t>59.67</w:t>
      </w:r>
      <w:r>
        <w:rPr>
          <w:rFonts w:ascii="仿宋_GB2312" w:eastAsia="仿宋_GB2312"/>
          <w:color w:val="auto"/>
          <w:sz w:val="32"/>
          <w:szCs w:val="32"/>
        </w:rPr>
        <w:t>万元，</w:t>
      </w:r>
      <w:r>
        <w:rPr>
          <w:rFonts w:hint="eastAsia" w:ascii="仿宋_GB2312" w:eastAsia="仿宋_GB2312"/>
          <w:color w:val="auto"/>
          <w:sz w:val="32"/>
          <w:szCs w:val="32"/>
          <w:lang w:eastAsia="zh-CN"/>
        </w:rPr>
        <w:t>增长</w:t>
      </w:r>
      <w:r>
        <w:rPr>
          <w:rFonts w:hint="eastAsia" w:ascii="仿宋_GB2312" w:eastAsia="仿宋_GB2312"/>
          <w:color w:val="auto"/>
          <w:sz w:val="32"/>
          <w:szCs w:val="32"/>
          <w:lang w:val="en-US" w:eastAsia="zh-CN"/>
        </w:rPr>
        <w:t>32.55</w:t>
      </w:r>
      <w:r>
        <w:rPr>
          <w:rFonts w:ascii="仿宋_GB2312" w:eastAsia="仿宋_GB2312"/>
          <w:color w:val="auto"/>
          <w:sz w:val="32"/>
          <w:szCs w:val="32"/>
        </w:rPr>
        <w:t>%，主要原因是：</w:t>
      </w:r>
      <w:r>
        <w:rPr>
          <w:rFonts w:hint="eastAsia" w:ascii="仿宋_GB2312" w:eastAsia="仿宋_GB2312"/>
          <w:color w:val="auto"/>
          <w:sz w:val="32"/>
          <w:szCs w:val="32"/>
          <w:lang w:val="en-US" w:eastAsia="zh-CN"/>
        </w:rPr>
        <w:t>2024年支付近三年人防异地建设费</w:t>
      </w:r>
      <w:r>
        <w:rPr>
          <w:rFonts w:hint="eastAsia" w:eastAsia="仿宋_GB2312"/>
          <w:color w:val="auto"/>
          <w:sz w:val="32"/>
          <w:szCs w:val="32"/>
          <w:lang w:val="zh-CN"/>
        </w:rPr>
        <w:t>，因此</w:t>
      </w:r>
      <w:r>
        <w:rPr>
          <w:rFonts w:ascii="仿宋_GB2312" w:eastAsia="仿宋_GB2312"/>
          <w:color w:val="auto"/>
          <w:sz w:val="32"/>
          <w:szCs w:val="32"/>
        </w:rPr>
        <w:t>公用经费支出</w:t>
      </w:r>
      <w:r>
        <w:rPr>
          <w:rFonts w:hint="eastAsia" w:ascii="仿宋_GB2312" w:eastAsia="仿宋_GB2312"/>
          <w:color w:val="auto"/>
          <w:sz w:val="32"/>
          <w:szCs w:val="32"/>
          <w:lang w:eastAsia="zh-CN"/>
        </w:rPr>
        <w:t>较上年增加</w:t>
      </w:r>
      <w:r>
        <w:rPr>
          <w:rFonts w:ascii="仿宋_GB2312" w:eastAsia="仿宋_GB2312"/>
          <w:color w:val="auto"/>
          <w:sz w:val="32"/>
          <w:szCs w:val="32"/>
        </w:rPr>
        <w:t>。</w:t>
      </w:r>
    </w:p>
    <w:p>
      <w:pPr>
        <w:widowControl/>
        <w:ind w:firstLine="643" w:firstLineChars="200"/>
        <w:jc w:val="left"/>
        <w:outlineLvl w:val="2"/>
        <w:rPr>
          <w:rFonts w:ascii="仿宋_GB2312" w:eastAsia="仿宋_GB2312"/>
          <w:color w:val="auto"/>
          <w:sz w:val="32"/>
          <w:szCs w:val="32"/>
        </w:rPr>
      </w:pPr>
      <w:r>
        <w:rPr>
          <w:rFonts w:ascii="仿宋_GB2312" w:eastAsia="仿宋_GB2312"/>
          <w:b/>
          <w:color w:val="auto"/>
          <w:sz w:val="32"/>
          <w:szCs w:val="32"/>
        </w:rPr>
        <w:t>（二）政府采购情况</w:t>
      </w:r>
    </w:p>
    <w:p>
      <w:pPr>
        <w:widowControl/>
        <w:ind w:firstLine="640" w:firstLineChars="200"/>
        <w:rPr>
          <w:rFonts w:ascii="仿宋_GB2312" w:eastAsia="仿宋_GB2312"/>
          <w:color w:val="auto"/>
          <w:sz w:val="32"/>
          <w:szCs w:val="32"/>
        </w:rPr>
      </w:pPr>
      <w:r>
        <w:rPr>
          <w:rFonts w:ascii="仿宋_GB2312" w:eastAsia="仿宋_GB2312"/>
          <w:color w:val="auto"/>
          <w:sz w:val="32"/>
          <w:szCs w:val="32"/>
        </w:rPr>
        <w:t>2024年度政府采购支出总额761.34万元，其中：政府采购货物支出428.78万元、政府采购工程支出0.00万元、政府采购服务支出332.55万元。</w:t>
      </w:r>
    </w:p>
    <w:p>
      <w:pPr>
        <w:widowControl/>
        <w:ind w:firstLine="640" w:firstLineChars="200"/>
        <w:rPr>
          <w:rFonts w:ascii="仿宋_GB2312" w:eastAsia="仿宋_GB2312"/>
          <w:color w:val="auto"/>
          <w:sz w:val="32"/>
          <w:szCs w:val="32"/>
        </w:rPr>
      </w:pPr>
      <w:r>
        <w:rPr>
          <w:rFonts w:ascii="仿宋_GB2312" w:eastAsia="仿宋_GB2312"/>
          <w:color w:val="auto"/>
          <w:sz w:val="32"/>
          <w:szCs w:val="32"/>
        </w:rPr>
        <w:t>授予中小企业合同金额761.34万元，占政府采购支出总额的100.00%，其中：授予小微企业合同金额448.45万元，占政府采购支出总额的58.90%。</w:t>
      </w:r>
    </w:p>
    <w:p>
      <w:pPr>
        <w:widowControl/>
        <w:ind w:firstLine="643" w:firstLineChars="200"/>
        <w:jc w:val="left"/>
        <w:outlineLvl w:val="2"/>
        <w:rPr>
          <w:rFonts w:ascii="仿宋_GB2312" w:eastAsia="仿宋_GB2312"/>
          <w:color w:val="auto"/>
          <w:sz w:val="32"/>
          <w:szCs w:val="32"/>
        </w:rPr>
      </w:pPr>
      <w:r>
        <w:rPr>
          <w:rFonts w:ascii="仿宋_GB2312" w:eastAsia="仿宋_GB2312"/>
          <w:b/>
          <w:color w:val="auto"/>
          <w:sz w:val="32"/>
          <w:szCs w:val="32"/>
        </w:rPr>
        <w:t>（三）国有资产占用情况说明</w:t>
      </w:r>
    </w:p>
    <w:p>
      <w:pPr>
        <w:widowControl/>
        <w:ind w:firstLine="640" w:firstLineChars="200"/>
        <w:rPr>
          <w:rFonts w:ascii="仿宋_GB2312" w:eastAsia="仿宋_GB2312"/>
          <w:color w:val="auto"/>
          <w:sz w:val="32"/>
          <w:szCs w:val="32"/>
        </w:rPr>
      </w:pPr>
      <w:r>
        <w:rPr>
          <w:rFonts w:ascii="仿宋_GB2312" w:eastAsia="仿宋_GB2312"/>
          <w:color w:val="auto"/>
          <w:sz w:val="32"/>
          <w:szCs w:val="32"/>
        </w:rPr>
        <w:t>截至2024年12月31日，房屋512.90平方米，价值65.89万元。车辆</w:t>
      </w:r>
      <w:r>
        <w:rPr>
          <w:rFonts w:hint="eastAsia" w:ascii="仿宋_GB2312" w:eastAsia="仿宋_GB2312"/>
          <w:color w:val="auto"/>
          <w:sz w:val="32"/>
          <w:szCs w:val="32"/>
          <w:lang w:val="en-US" w:eastAsia="zh-CN"/>
        </w:rPr>
        <w:t>7</w:t>
      </w:r>
      <w:r>
        <w:rPr>
          <w:rFonts w:ascii="仿宋_GB2312" w:eastAsia="仿宋_GB2312"/>
          <w:color w:val="auto"/>
          <w:sz w:val="32"/>
          <w:szCs w:val="32"/>
        </w:rPr>
        <w:t>辆，价值78.44万元，其中：副部（省）级及以上领导用车0辆、主要负责人用车0辆、机要通信用车0辆、应急保障用车0辆、执法执勤用车0辆、特种专业技术用车4辆、离退休干部服务用车0辆、其他用车</w:t>
      </w:r>
      <w:r>
        <w:rPr>
          <w:rFonts w:hint="eastAsia" w:ascii="仿宋_GB2312" w:eastAsia="仿宋_GB2312"/>
          <w:color w:val="auto"/>
          <w:sz w:val="32"/>
          <w:szCs w:val="32"/>
          <w:lang w:val="en-US" w:eastAsia="zh-CN"/>
        </w:rPr>
        <w:t>3</w:t>
      </w:r>
      <w:r>
        <w:rPr>
          <w:rFonts w:ascii="仿宋_GB2312" w:eastAsia="仿宋_GB2312"/>
          <w:color w:val="auto"/>
          <w:sz w:val="32"/>
          <w:szCs w:val="32"/>
        </w:rPr>
        <w:t>辆，其他用车主要是：</w:t>
      </w:r>
      <w:r>
        <w:rPr>
          <w:rFonts w:hint="eastAsia" w:ascii="仿宋_GB2312" w:eastAsia="仿宋_GB2312"/>
          <w:color w:val="auto"/>
          <w:sz w:val="32"/>
          <w:szCs w:val="32"/>
          <w:lang w:eastAsia="zh-CN"/>
        </w:rPr>
        <w:t>绿化生产用皮卡车</w:t>
      </w:r>
      <w:r>
        <w:rPr>
          <w:rFonts w:hint="eastAsia" w:ascii="仿宋_GB2312" w:eastAsia="仿宋_GB2312"/>
          <w:color w:val="auto"/>
          <w:sz w:val="32"/>
          <w:szCs w:val="32"/>
          <w:lang w:val="en-US" w:eastAsia="zh-CN"/>
        </w:rPr>
        <w:t>2辆、公务用小轿车1辆</w:t>
      </w:r>
      <w:r>
        <w:rPr>
          <w:rFonts w:hint="eastAsia" w:ascii="仿宋_GB2312" w:eastAsia="仿宋_GB2312"/>
          <w:color w:val="auto"/>
          <w:sz w:val="32"/>
          <w:szCs w:val="32"/>
          <w:lang w:eastAsia="zh-CN"/>
        </w:rPr>
        <w:t>。</w:t>
      </w:r>
      <w:r>
        <w:rPr>
          <w:rFonts w:ascii="仿宋_GB2312" w:eastAsia="仿宋_GB2312"/>
          <w:color w:val="auto"/>
          <w:sz w:val="32"/>
          <w:szCs w:val="32"/>
        </w:rPr>
        <w:t>单价100万元（含）以上设备（不含车辆）0台（套）。</w:t>
      </w:r>
    </w:p>
    <w:p>
      <w:pPr>
        <w:widowControl/>
        <w:ind w:firstLine="640" w:firstLineChars="200"/>
        <w:jc w:val="left"/>
        <w:outlineLvl w:val="1"/>
        <w:rPr>
          <w:rFonts w:ascii="黑体" w:eastAsia="黑体"/>
          <w:color w:val="auto"/>
          <w:sz w:val="32"/>
          <w:szCs w:val="32"/>
        </w:rPr>
      </w:pPr>
      <w:r>
        <w:rPr>
          <w:rFonts w:ascii="黑体" w:eastAsia="黑体"/>
          <w:color w:val="auto"/>
          <w:sz w:val="32"/>
          <w:szCs w:val="32"/>
        </w:rPr>
        <w:t>十一、预算绩效的情况说明</w:t>
      </w:r>
    </w:p>
    <w:p>
      <w:pPr>
        <w:widowControl/>
        <w:ind w:firstLine="640" w:firstLineChars="200"/>
        <w:rPr>
          <w:rFonts w:ascii="仿宋_GB2312" w:eastAsia="仿宋_GB2312"/>
          <w:color w:val="auto"/>
          <w:sz w:val="32"/>
          <w:szCs w:val="32"/>
        </w:rPr>
      </w:pPr>
      <w:r>
        <w:rPr>
          <w:rFonts w:ascii="仿宋_GB2312" w:eastAsia="仿宋_GB2312"/>
          <w:color w:val="auto"/>
          <w:sz w:val="32"/>
          <w:szCs w:val="32"/>
        </w:rPr>
        <w:t>根据预算绩效管理要求，本单位2024年度预算绩效管理形成整体支出绩效自评表1个，全年预算总额</w:t>
      </w:r>
      <w:r>
        <w:rPr>
          <w:rFonts w:hint="eastAsia" w:ascii="仿宋_GB2312" w:eastAsia="仿宋_GB2312"/>
          <w:color w:val="auto"/>
          <w:sz w:val="32"/>
          <w:szCs w:val="32"/>
          <w:lang w:val="en-US" w:eastAsia="zh-CN"/>
        </w:rPr>
        <w:t>12624.12</w:t>
      </w:r>
      <w:r>
        <w:rPr>
          <w:rFonts w:ascii="仿宋_GB2312" w:eastAsia="仿宋_GB2312"/>
          <w:color w:val="auto"/>
          <w:sz w:val="32"/>
          <w:szCs w:val="32"/>
        </w:rPr>
        <w:t>万元，实际执行总额</w:t>
      </w:r>
      <w:r>
        <w:rPr>
          <w:rFonts w:hint="eastAsia" w:ascii="仿宋_GB2312" w:eastAsia="仿宋_GB2312"/>
          <w:color w:val="auto"/>
          <w:sz w:val="32"/>
          <w:szCs w:val="32"/>
          <w:lang w:val="en-US" w:eastAsia="zh-CN"/>
        </w:rPr>
        <w:t>12624.12</w:t>
      </w:r>
      <w:r>
        <w:rPr>
          <w:rFonts w:ascii="仿宋_GB2312" w:eastAsia="仿宋_GB2312"/>
          <w:color w:val="auto"/>
          <w:sz w:val="32"/>
          <w:szCs w:val="32"/>
        </w:rPr>
        <w:t>万元；预算绩效评价项目</w:t>
      </w:r>
      <w:r>
        <w:rPr>
          <w:rFonts w:hint="eastAsia" w:ascii="仿宋_GB2312" w:eastAsia="仿宋_GB2312"/>
          <w:color w:val="auto"/>
          <w:sz w:val="32"/>
          <w:szCs w:val="32"/>
          <w:lang w:val="en-US" w:eastAsia="zh-CN"/>
        </w:rPr>
        <w:t>9</w:t>
      </w:r>
      <w:r>
        <w:rPr>
          <w:rFonts w:ascii="仿宋_GB2312" w:eastAsia="仿宋_GB2312"/>
          <w:color w:val="auto"/>
          <w:sz w:val="32"/>
          <w:szCs w:val="32"/>
        </w:rPr>
        <w:t>个，全年预算数</w:t>
      </w:r>
      <w:r>
        <w:rPr>
          <w:rFonts w:hint="eastAsia" w:ascii="仿宋_GB2312" w:eastAsia="仿宋_GB2312"/>
          <w:color w:val="auto"/>
          <w:sz w:val="32"/>
          <w:szCs w:val="32"/>
          <w:lang w:val="en-US" w:eastAsia="zh-CN"/>
        </w:rPr>
        <w:t>8166.93</w:t>
      </w:r>
      <w:r>
        <w:rPr>
          <w:rFonts w:ascii="仿宋_GB2312" w:eastAsia="仿宋_GB2312"/>
          <w:color w:val="auto"/>
          <w:sz w:val="32"/>
          <w:szCs w:val="32"/>
        </w:rPr>
        <w:t>万元，全年执行数</w:t>
      </w:r>
      <w:r>
        <w:rPr>
          <w:rFonts w:hint="eastAsia" w:ascii="仿宋_GB2312" w:eastAsia="仿宋_GB2312"/>
          <w:color w:val="auto"/>
          <w:sz w:val="32"/>
          <w:szCs w:val="32"/>
          <w:lang w:val="en-US" w:eastAsia="zh-CN"/>
        </w:rPr>
        <w:t>6775.52</w:t>
      </w:r>
      <w:r>
        <w:rPr>
          <w:rFonts w:ascii="仿宋_GB2312" w:eastAsia="仿宋_GB2312"/>
          <w:color w:val="auto"/>
          <w:sz w:val="32"/>
          <w:szCs w:val="32"/>
        </w:rPr>
        <w:t>万元。预算绩效管理取得的成效：</w:t>
      </w:r>
      <w:r>
        <w:rPr>
          <w:rFonts w:hint="eastAsia" w:ascii="仿宋_GB2312" w:eastAsia="仿宋_GB2312"/>
          <w:color w:val="auto"/>
          <w:sz w:val="32"/>
          <w:szCs w:val="32"/>
        </w:rPr>
        <w:t>一是树立了预算绩效管理理念；二是营造了预算绩效管理良好的制度环境</w:t>
      </w:r>
      <w:r>
        <w:rPr>
          <w:rFonts w:ascii="仿宋_GB2312" w:eastAsia="仿宋_GB2312"/>
          <w:color w:val="auto"/>
          <w:sz w:val="32"/>
          <w:szCs w:val="32"/>
        </w:rPr>
        <w:t>。发现的问题及原因：</w:t>
      </w:r>
      <w:r>
        <w:rPr>
          <w:rFonts w:hint="eastAsia" w:ascii="仿宋_GB2312" w:eastAsia="仿宋_GB2312"/>
          <w:color w:val="auto"/>
          <w:sz w:val="32"/>
          <w:szCs w:val="32"/>
        </w:rPr>
        <w:t>一是预算理念转化为绩效行动上有差距；二是预算绩效管理法律体系尚未建立健全</w:t>
      </w:r>
      <w:r>
        <w:rPr>
          <w:rFonts w:ascii="仿宋_GB2312" w:eastAsia="仿宋_GB2312"/>
          <w:color w:val="auto"/>
          <w:sz w:val="32"/>
          <w:szCs w:val="32"/>
        </w:rPr>
        <w:t>。下一步改进措施：</w:t>
      </w:r>
      <w:r>
        <w:rPr>
          <w:rFonts w:hint="eastAsia" w:ascii="仿宋_GB2312" w:eastAsia="仿宋_GB2312"/>
          <w:color w:val="auto"/>
          <w:sz w:val="32"/>
          <w:szCs w:val="32"/>
        </w:rPr>
        <w:t>一是深入绩效理念；二是做好培训提高业务能力</w:t>
      </w:r>
      <w:r>
        <w:rPr>
          <w:rFonts w:ascii="仿宋_GB2312" w:eastAsia="仿宋_GB2312"/>
          <w:color w:val="auto"/>
          <w:sz w:val="32"/>
          <w:szCs w:val="32"/>
        </w:rPr>
        <w:t>。具体附部门整体支出绩效自评表，项目支出绩效自评表和部门评价报告。</w:t>
      </w:r>
    </w:p>
    <w:p>
      <w:pPr>
        <w:widowControl/>
        <w:ind w:firstLine="640" w:firstLineChars="200"/>
        <w:jc w:val="left"/>
        <w:outlineLvl w:val="1"/>
        <w:rPr>
          <w:rFonts w:ascii="黑体" w:eastAsia="黑体"/>
          <w:color w:val="auto"/>
          <w:sz w:val="32"/>
          <w:szCs w:val="32"/>
        </w:rPr>
      </w:pPr>
      <w:r>
        <w:rPr>
          <w:rFonts w:ascii="黑体" w:eastAsia="黑体"/>
          <w:color w:val="auto"/>
          <w:sz w:val="32"/>
          <w:szCs w:val="32"/>
        </w:rPr>
        <w:t>十二、其他需说明的事项</w:t>
      </w:r>
    </w:p>
    <w:p>
      <w:pPr>
        <w:widowControl/>
        <w:ind w:firstLine="640" w:firstLineChars="200"/>
        <w:rPr>
          <w:rFonts w:ascii="仿宋_GB2312" w:eastAsia="仿宋_GB2312"/>
          <w:color w:val="auto"/>
          <w:sz w:val="32"/>
          <w:szCs w:val="32"/>
        </w:rPr>
      </w:pPr>
      <w:r>
        <w:rPr>
          <w:rFonts w:ascii="仿宋_GB2312" w:eastAsia="仿宋_GB2312"/>
          <w:color w:val="auto"/>
          <w:sz w:val="32"/>
          <w:szCs w:val="32"/>
        </w:rPr>
        <w:t>本单位无其他需说明事项。</w:t>
      </w:r>
    </w:p>
    <w:p>
      <w:pPr>
        <w:widowControl/>
        <w:ind w:firstLine="640" w:firstLineChars="200"/>
        <w:jc w:val="left"/>
        <w:rPr>
          <w:rFonts w:ascii="仿宋_GB2312" w:eastAsia="仿宋_GB2312"/>
          <w:color w:val="auto"/>
          <w:sz w:val="32"/>
          <w:szCs w:val="32"/>
        </w:rPr>
      </w:pPr>
    </w:p>
    <w:p>
      <w:pPr>
        <w:widowControl/>
        <w:rPr>
          <w:color w:val="auto"/>
        </w:rPr>
      </w:pPr>
      <w:r>
        <w:rPr>
          <w:color w:val="auto"/>
          <w:sz w:val="0"/>
          <w:szCs w:val="0"/>
        </w:rPr>
        <w:br w:type="page"/>
      </w:r>
    </w:p>
    <w:p>
      <w:pPr>
        <w:widowControl/>
        <w:jc w:val="center"/>
        <w:outlineLvl w:val="0"/>
        <w:rPr>
          <w:rFonts w:ascii="黑体" w:eastAsia="黑体"/>
          <w:color w:val="auto"/>
          <w:sz w:val="32"/>
          <w:szCs w:val="32"/>
        </w:rPr>
      </w:pPr>
      <w:r>
        <w:rPr>
          <w:rFonts w:ascii="黑体" w:eastAsia="黑体"/>
          <w:color w:val="auto"/>
          <w:sz w:val="32"/>
          <w:szCs w:val="32"/>
        </w:rPr>
        <w:t>第三部分专业名词解释</w:t>
      </w:r>
    </w:p>
    <w:p>
      <w:pPr>
        <w:widowControl/>
        <w:ind w:firstLine="643" w:firstLineChars="200"/>
        <w:jc w:val="left"/>
        <w:rPr>
          <w:rFonts w:ascii="仿宋_GB2312" w:eastAsia="仿宋_GB2312"/>
          <w:color w:val="auto"/>
          <w:sz w:val="32"/>
          <w:szCs w:val="32"/>
        </w:rPr>
      </w:pPr>
      <w:r>
        <w:rPr>
          <w:rFonts w:ascii="仿宋_GB2312" w:eastAsia="仿宋_GB2312"/>
          <w:b/>
          <w:color w:val="auto"/>
          <w:sz w:val="32"/>
          <w:szCs w:val="32"/>
        </w:rPr>
        <w:t>一、财政拨款收入：</w:t>
      </w:r>
      <w:r>
        <w:rPr>
          <w:rFonts w:ascii="仿宋_GB2312" w:eastAsia="仿宋_GB2312"/>
          <w:color w:val="auto"/>
          <w:sz w:val="32"/>
          <w:szCs w:val="32"/>
        </w:rPr>
        <w:t>指同级财政当年拨付的资金。</w:t>
      </w:r>
    </w:p>
    <w:p>
      <w:pPr>
        <w:widowControl/>
        <w:ind w:firstLine="643" w:firstLineChars="200"/>
        <w:jc w:val="left"/>
        <w:rPr>
          <w:rFonts w:ascii="仿宋_GB2312" w:eastAsia="仿宋_GB2312"/>
          <w:color w:val="auto"/>
          <w:sz w:val="32"/>
          <w:szCs w:val="32"/>
        </w:rPr>
      </w:pPr>
      <w:r>
        <w:rPr>
          <w:rFonts w:ascii="仿宋_GB2312" w:eastAsia="仿宋_GB2312"/>
          <w:b/>
          <w:color w:val="auto"/>
          <w:sz w:val="32"/>
          <w:szCs w:val="32"/>
        </w:rPr>
        <w:t>二、上级补助收入：</w:t>
      </w:r>
      <w:r>
        <w:rPr>
          <w:rFonts w:ascii="仿宋_GB2312" w:eastAsia="仿宋_GB2312"/>
          <w:color w:val="auto"/>
          <w:sz w:val="32"/>
          <w:szCs w:val="32"/>
        </w:rPr>
        <w:t>指事业单位从主管部门和上级单位取得的非财政补助收入。</w:t>
      </w:r>
    </w:p>
    <w:p>
      <w:pPr>
        <w:widowControl/>
        <w:ind w:firstLine="643" w:firstLineChars="200"/>
        <w:jc w:val="left"/>
        <w:rPr>
          <w:rFonts w:ascii="仿宋_GB2312" w:eastAsia="仿宋_GB2312"/>
          <w:color w:val="auto"/>
          <w:sz w:val="32"/>
          <w:szCs w:val="32"/>
        </w:rPr>
      </w:pPr>
      <w:r>
        <w:rPr>
          <w:rFonts w:ascii="仿宋_GB2312" w:eastAsia="仿宋_GB2312"/>
          <w:b/>
          <w:color w:val="auto"/>
          <w:sz w:val="32"/>
          <w:szCs w:val="32"/>
        </w:rPr>
        <w:t>三、事业收入：</w:t>
      </w:r>
      <w:r>
        <w:rPr>
          <w:rFonts w:ascii="仿宋_GB2312" w:eastAsia="仿宋_GB2312"/>
          <w:color w:val="auto"/>
          <w:sz w:val="32"/>
          <w:szCs w:val="32"/>
        </w:rPr>
        <w:t>指事业单位开展专业业务活动及其辅助活动所取得的收入。</w:t>
      </w:r>
    </w:p>
    <w:p>
      <w:pPr>
        <w:widowControl/>
        <w:ind w:firstLine="643" w:firstLineChars="200"/>
        <w:jc w:val="left"/>
        <w:rPr>
          <w:rFonts w:ascii="仿宋_GB2312" w:eastAsia="仿宋_GB2312"/>
          <w:color w:val="auto"/>
          <w:sz w:val="32"/>
          <w:szCs w:val="32"/>
        </w:rPr>
      </w:pPr>
      <w:r>
        <w:rPr>
          <w:rFonts w:ascii="仿宋_GB2312" w:eastAsia="仿宋_GB2312"/>
          <w:b/>
          <w:color w:val="auto"/>
          <w:sz w:val="32"/>
          <w:szCs w:val="32"/>
        </w:rPr>
        <w:t>四、经营收入：</w:t>
      </w:r>
      <w:r>
        <w:rPr>
          <w:rFonts w:ascii="仿宋_GB2312" w:eastAsia="仿宋_GB2312"/>
          <w:color w:val="auto"/>
          <w:sz w:val="32"/>
          <w:szCs w:val="32"/>
        </w:rPr>
        <w:t>指事业单位在专业业务活动及其辅助活动之外开展非独立核算经营活动取得的收入。</w:t>
      </w:r>
    </w:p>
    <w:p>
      <w:pPr>
        <w:widowControl/>
        <w:ind w:firstLine="643" w:firstLineChars="200"/>
        <w:jc w:val="left"/>
        <w:rPr>
          <w:rFonts w:ascii="仿宋_GB2312" w:eastAsia="仿宋_GB2312"/>
          <w:color w:val="auto"/>
          <w:sz w:val="32"/>
          <w:szCs w:val="32"/>
        </w:rPr>
      </w:pPr>
      <w:r>
        <w:rPr>
          <w:rFonts w:ascii="仿宋_GB2312" w:eastAsia="仿宋_GB2312"/>
          <w:b/>
          <w:color w:val="auto"/>
          <w:sz w:val="32"/>
          <w:szCs w:val="32"/>
        </w:rPr>
        <w:t>五、附属单位上缴收入：</w:t>
      </w:r>
      <w:r>
        <w:rPr>
          <w:rFonts w:ascii="仿宋_GB2312" w:eastAsia="仿宋_GB2312"/>
          <w:color w:val="auto"/>
          <w:sz w:val="32"/>
          <w:szCs w:val="32"/>
        </w:rPr>
        <w:t>指事业单位附属的独立核算单位按有关规定上缴的收入。</w:t>
      </w:r>
    </w:p>
    <w:p>
      <w:pPr>
        <w:widowControl/>
        <w:ind w:firstLine="643" w:firstLineChars="200"/>
        <w:jc w:val="left"/>
        <w:rPr>
          <w:rFonts w:ascii="仿宋_GB2312" w:eastAsia="仿宋_GB2312"/>
          <w:color w:val="auto"/>
          <w:sz w:val="32"/>
          <w:szCs w:val="32"/>
        </w:rPr>
      </w:pPr>
      <w:r>
        <w:rPr>
          <w:rFonts w:ascii="仿宋_GB2312" w:eastAsia="仿宋_GB2312"/>
          <w:b/>
          <w:color w:val="auto"/>
          <w:sz w:val="32"/>
          <w:szCs w:val="32"/>
        </w:rPr>
        <w:t>六、其他收入：</w:t>
      </w:r>
      <w:r>
        <w:rPr>
          <w:rFonts w:ascii="仿宋_GB2312" w:eastAsia="仿宋_GB2312"/>
          <w:color w:val="auto"/>
          <w:sz w:val="32"/>
          <w:szCs w:val="32"/>
        </w:rPr>
        <w:t>指除上述“财政拨款收入”、“事业收入”、“经营收入”、“附属单位上缴收入”等之外取得的收入。</w:t>
      </w:r>
    </w:p>
    <w:p>
      <w:pPr>
        <w:widowControl/>
        <w:ind w:firstLine="643" w:firstLineChars="200"/>
        <w:jc w:val="left"/>
        <w:rPr>
          <w:rFonts w:ascii="仿宋_GB2312" w:eastAsia="仿宋_GB2312"/>
          <w:color w:val="auto"/>
          <w:sz w:val="32"/>
          <w:szCs w:val="32"/>
        </w:rPr>
      </w:pPr>
      <w:r>
        <w:rPr>
          <w:rFonts w:ascii="仿宋_GB2312" w:eastAsia="仿宋_GB2312"/>
          <w:b/>
          <w:color w:val="auto"/>
          <w:sz w:val="32"/>
          <w:szCs w:val="32"/>
        </w:rPr>
        <w:t>七、年初结转和结余：</w:t>
      </w:r>
      <w:r>
        <w:rPr>
          <w:rFonts w:ascii="仿宋_GB2312" w:eastAsia="仿宋_GB2312"/>
          <w:color w:val="auto"/>
          <w:sz w:val="32"/>
          <w:szCs w:val="32"/>
        </w:rPr>
        <w:t>指以前年度支出预算因客观条件变化未执行完毕、结转到本年度按有关规定继续使用的资金，既包括财政拨款结转和结余，也包括事业收入、经营收入、其他收入的结转和结余。</w:t>
      </w:r>
    </w:p>
    <w:p>
      <w:pPr>
        <w:widowControl/>
        <w:ind w:firstLine="643" w:firstLineChars="200"/>
        <w:jc w:val="left"/>
        <w:rPr>
          <w:rFonts w:ascii="仿宋_GB2312" w:eastAsia="仿宋_GB2312"/>
          <w:color w:val="auto"/>
          <w:sz w:val="32"/>
          <w:szCs w:val="32"/>
        </w:rPr>
      </w:pPr>
      <w:r>
        <w:rPr>
          <w:rFonts w:ascii="仿宋_GB2312" w:eastAsia="仿宋_GB2312"/>
          <w:b/>
          <w:color w:val="auto"/>
          <w:sz w:val="32"/>
          <w:szCs w:val="32"/>
        </w:rPr>
        <w:t>八、年末结转和结余：</w:t>
      </w:r>
      <w:r>
        <w:rPr>
          <w:rFonts w:ascii="仿宋_GB2312" w:eastAsia="仿宋_GB2312"/>
          <w:color w:val="auto"/>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widowControl/>
        <w:ind w:firstLine="643" w:firstLineChars="200"/>
        <w:jc w:val="left"/>
        <w:rPr>
          <w:rFonts w:ascii="仿宋_GB2312" w:eastAsia="仿宋_GB2312"/>
          <w:color w:val="auto"/>
          <w:sz w:val="32"/>
          <w:szCs w:val="32"/>
        </w:rPr>
      </w:pPr>
      <w:r>
        <w:rPr>
          <w:rFonts w:ascii="仿宋_GB2312" w:eastAsia="仿宋_GB2312"/>
          <w:b/>
          <w:color w:val="auto"/>
          <w:sz w:val="32"/>
          <w:szCs w:val="32"/>
        </w:rPr>
        <w:t>九、基本支出：</w:t>
      </w:r>
      <w:r>
        <w:rPr>
          <w:rFonts w:ascii="仿宋_GB2312" w:eastAsia="仿宋_GB2312"/>
          <w:color w:val="auto"/>
          <w:sz w:val="32"/>
          <w:szCs w:val="32"/>
        </w:rPr>
        <w:t>指为保障机构正常运转、完成日常工作任务而发生的人员支出和公用支出。</w:t>
      </w:r>
    </w:p>
    <w:p>
      <w:pPr>
        <w:widowControl/>
        <w:ind w:firstLine="643" w:firstLineChars="200"/>
        <w:jc w:val="left"/>
        <w:rPr>
          <w:rFonts w:ascii="仿宋_GB2312" w:eastAsia="仿宋_GB2312"/>
          <w:color w:val="auto"/>
          <w:sz w:val="32"/>
          <w:szCs w:val="32"/>
        </w:rPr>
      </w:pPr>
      <w:r>
        <w:rPr>
          <w:rFonts w:ascii="仿宋_GB2312" w:eastAsia="仿宋_GB2312"/>
          <w:b/>
          <w:color w:val="auto"/>
          <w:sz w:val="32"/>
          <w:szCs w:val="32"/>
        </w:rPr>
        <w:t>十、项目支出：</w:t>
      </w:r>
      <w:r>
        <w:rPr>
          <w:rFonts w:ascii="仿宋_GB2312" w:eastAsia="仿宋_GB2312"/>
          <w:color w:val="auto"/>
          <w:sz w:val="32"/>
          <w:szCs w:val="32"/>
        </w:rPr>
        <w:t>指在基本支出之外为完成特定行政任务和事业发展目标所发生的支出。</w:t>
      </w:r>
    </w:p>
    <w:p>
      <w:pPr>
        <w:widowControl/>
        <w:ind w:firstLine="643" w:firstLineChars="200"/>
        <w:jc w:val="left"/>
        <w:rPr>
          <w:rFonts w:ascii="仿宋_GB2312" w:eastAsia="仿宋_GB2312"/>
          <w:color w:val="auto"/>
          <w:sz w:val="32"/>
          <w:szCs w:val="32"/>
        </w:rPr>
      </w:pPr>
      <w:r>
        <w:rPr>
          <w:rFonts w:ascii="仿宋_GB2312" w:eastAsia="仿宋_GB2312"/>
          <w:b/>
          <w:color w:val="auto"/>
          <w:sz w:val="32"/>
          <w:szCs w:val="32"/>
        </w:rPr>
        <w:t>十一、经营支出：</w:t>
      </w:r>
      <w:r>
        <w:rPr>
          <w:rFonts w:ascii="仿宋_GB2312" w:eastAsia="仿宋_GB2312"/>
          <w:color w:val="auto"/>
          <w:sz w:val="32"/>
          <w:szCs w:val="32"/>
        </w:rPr>
        <w:t>指事业单位在专业业务活动及其辅助活动之外开展非独立核算经营活动发生的支出。</w:t>
      </w:r>
    </w:p>
    <w:p>
      <w:pPr>
        <w:widowControl/>
        <w:ind w:firstLine="643" w:firstLineChars="200"/>
        <w:jc w:val="left"/>
        <w:rPr>
          <w:rFonts w:ascii="仿宋_GB2312" w:eastAsia="仿宋_GB2312"/>
          <w:color w:val="auto"/>
          <w:sz w:val="32"/>
          <w:szCs w:val="32"/>
        </w:rPr>
      </w:pPr>
      <w:r>
        <w:rPr>
          <w:rFonts w:ascii="仿宋_GB2312" w:eastAsia="仿宋_GB2312"/>
          <w:b/>
          <w:color w:val="auto"/>
          <w:sz w:val="32"/>
          <w:szCs w:val="32"/>
        </w:rPr>
        <w:t>十二、对附属单位补助支出：</w:t>
      </w:r>
      <w:r>
        <w:rPr>
          <w:rFonts w:ascii="仿宋_GB2312" w:eastAsia="仿宋_GB2312"/>
          <w:color w:val="auto"/>
          <w:sz w:val="32"/>
          <w:szCs w:val="32"/>
        </w:rPr>
        <w:t>指事业单位发生的用非财政预算资金对附属单位的补助支出。</w:t>
      </w:r>
    </w:p>
    <w:p>
      <w:pPr>
        <w:widowControl/>
        <w:ind w:firstLine="643" w:firstLineChars="200"/>
        <w:jc w:val="left"/>
        <w:rPr>
          <w:rFonts w:ascii="仿宋_GB2312" w:eastAsia="仿宋_GB2312"/>
          <w:color w:val="auto"/>
          <w:sz w:val="32"/>
          <w:szCs w:val="32"/>
        </w:rPr>
      </w:pPr>
      <w:r>
        <w:rPr>
          <w:rFonts w:ascii="仿宋_GB2312" w:eastAsia="仿宋_GB2312"/>
          <w:b/>
          <w:color w:val="auto"/>
          <w:sz w:val="32"/>
          <w:szCs w:val="32"/>
        </w:rPr>
        <w:t>十三、“三公”经费：</w:t>
      </w:r>
      <w:r>
        <w:rPr>
          <w:rFonts w:ascii="仿宋_GB2312" w:eastAsia="仿宋_GB2312"/>
          <w:color w:val="auto"/>
          <w:sz w:val="32"/>
          <w:szCs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widowControl/>
        <w:ind w:firstLine="643" w:firstLineChars="200"/>
        <w:jc w:val="left"/>
        <w:rPr>
          <w:rFonts w:ascii="仿宋_GB2312" w:eastAsia="仿宋_GB2312"/>
          <w:color w:val="auto"/>
          <w:sz w:val="32"/>
          <w:szCs w:val="32"/>
        </w:rPr>
      </w:pPr>
      <w:r>
        <w:rPr>
          <w:rFonts w:ascii="仿宋_GB2312" w:eastAsia="仿宋_GB2312"/>
          <w:b/>
          <w:color w:val="auto"/>
          <w:sz w:val="32"/>
          <w:szCs w:val="32"/>
        </w:rPr>
        <w:t>十四、机关运行经费：</w:t>
      </w:r>
      <w:r>
        <w:rPr>
          <w:rFonts w:ascii="仿宋_GB2312" w:eastAsia="仿宋_GB2312"/>
          <w:color w:val="auto"/>
          <w:sz w:val="32"/>
          <w:szCs w:val="32"/>
        </w:rPr>
        <w:t>行政单位和参照公务员法管理的事业单位财政拨款基本支出中的公用经费支出。</w:t>
      </w:r>
    </w:p>
    <w:p>
      <w:pPr>
        <w:widowControl/>
        <w:rPr>
          <w:color w:val="auto"/>
        </w:rPr>
      </w:pPr>
      <w:r>
        <w:rPr>
          <w:color w:val="auto"/>
          <w:sz w:val="0"/>
          <w:szCs w:val="0"/>
        </w:rPr>
        <w:br w:type="page"/>
      </w:r>
    </w:p>
    <w:p>
      <w:pPr>
        <w:widowControl/>
        <w:jc w:val="center"/>
        <w:outlineLvl w:val="0"/>
        <w:rPr>
          <w:rFonts w:ascii="黑体" w:eastAsia="黑体"/>
          <w:color w:val="auto"/>
          <w:sz w:val="32"/>
          <w:szCs w:val="32"/>
        </w:rPr>
      </w:pPr>
      <w:r>
        <w:rPr>
          <w:rFonts w:ascii="黑体" w:eastAsia="黑体"/>
          <w:color w:val="auto"/>
          <w:sz w:val="32"/>
          <w:szCs w:val="32"/>
        </w:rPr>
        <w:t>第四部分部门决算报表（见附表）</w:t>
      </w:r>
    </w:p>
    <w:p>
      <w:pPr>
        <w:widowControl/>
        <w:ind w:firstLine="640" w:firstLineChars="200"/>
        <w:jc w:val="left"/>
        <w:outlineLvl w:val="1"/>
        <w:rPr>
          <w:rFonts w:ascii="仿宋_GB2312" w:eastAsia="仿宋_GB2312"/>
          <w:color w:val="auto"/>
          <w:sz w:val="32"/>
          <w:szCs w:val="32"/>
        </w:rPr>
      </w:pPr>
      <w:r>
        <w:rPr>
          <w:rFonts w:ascii="仿宋_GB2312" w:eastAsia="仿宋_GB2312"/>
          <w:color w:val="auto"/>
          <w:sz w:val="32"/>
          <w:szCs w:val="32"/>
        </w:rPr>
        <w:t>一、《收入支出决算总表》</w:t>
      </w:r>
    </w:p>
    <w:p>
      <w:pPr>
        <w:widowControl/>
        <w:ind w:firstLine="640" w:firstLineChars="200"/>
        <w:jc w:val="left"/>
        <w:outlineLvl w:val="1"/>
        <w:rPr>
          <w:rFonts w:ascii="仿宋_GB2312" w:eastAsia="仿宋_GB2312"/>
          <w:color w:val="auto"/>
          <w:sz w:val="32"/>
          <w:szCs w:val="32"/>
        </w:rPr>
      </w:pPr>
      <w:r>
        <w:rPr>
          <w:rFonts w:ascii="仿宋_GB2312" w:eastAsia="仿宋_GB2312"/>
          <w:color w:val="auto"/>
          <w:sz w:val="32"/>
          <w:szCs w:val="32"/>
        </w:rPr>
        <w:t>二、《收入决算表》</w:t>
      </w:r>
    </w:p>
    <w:p>
      <w:pPr>
        <w:widowControl/>
        <w:ind w:firstLine="640" w:firstLineChars="200"/>
        <w:jc w:val="left"/>
        <w:outlineLvl w:val="1"/>
        <w:rPr>
          <w:rFonts w:ascii="仿宋_GB2312" w:eastAsia="仿宋_GB2312"/>
          <w:color w:val="auto"/>
          <w:sz w:val="32"/>
          <w:szCs w:val="32"/>
        </w:rPr>
      </w:pPr>
      <w:r>
        <w:rPr>
          <w:rFonts w:ascii="仿宋_GB2312" w:eastAsia="仿宋_GB2312"/>
          <w:color w:val="auto"/>
          <w:sz w:val="32"/>
          <w:szCs w:val="32"/>
        </w:rPr>
        <w:t>三、《支出决算表》</w:t>
      </w:r>
    </w:p>
    <w:p>
      <w:pPr>
        <w:widowControl/>
        <w:ind w:firstLine="640" w:firstLineChars="200"/>
        <w:jc w:val="left"/>
        <w:outlineLvl w:val="1"/>
        <w:rPr>
          <w:rFonts w:ascii="仿宋_GB2312" w:eastAsia="仿宋_GB2312"/>
          <w:color w:val="auto"/>
          <w:sz w:val="32"/>
          <w:szCs w:val="32"/>
        </w:rPr>
      </w:pPr>
      <w:r>
        <w:rPr>
          <w:rFonts w:ascii="仿宋_GB2312" w:eastAsia="仿宋_GB2312"/>
          <w:color w:val="auto"/>
          <w:sz w:val="32"/>
          <w:szCs w:val="32"/>
        </w:rPr>
        <w:t>四、《财政拨款收入支出决算总表》</w:t>
      </w:r>
    </w:p>
    <w:p>
      <w:pPr>
        <w:widowControl/>
        <w:ind w:firstLine="640" w:firstLineChars="200"/>
        <w:jc w:val="left"/>
        <w:outlineLvl w:val="1"/>
        <w:rPr>
          <w:rFonts w:ascii="仿宋_GB2312" w:eastAsia="仿宋_GB2312"/>
          <w:color w:val="auto"/>
          <w:sz w:val="32"/>
          <w:szCs w:val="32"/>
        </w:rPr>
      </w:pPr>
      <w:r>
        <w:rPr>
          <w:rFonts w:ascii="仿宋_GB2312" w:eastAsia="仿宋_GB2312"/>
          <w:color w:val="auto"/>
          <w:sz w:val="32"/>
          <w:szCs w:val="32"/>
        </w:rPr>
        <w:t>五、《一般公共预算财政拨款支出决算表》</w:t>
      </w:r>
    </w:p>
    <w:p>
      <w:pPr>
        <w:widowControl/>
        <w:ind w:firstLine="640" w:firstLineChars="200"/>
        <w:jc w:val="left"/>
        <w:outlineLvl w:val="1"/>
        <w:rPr>
          <w:rFonts w:ascii="仿宋_GB2312" w:eastAsia="仿宋_GB2312"/>
          <w:color w:val="auto"/>
          <w:sz w:val="32"/>
          <w:szCs w:val="32"/>
        </w:rPr>
      </w:pPr>
      <w:r>
        <w:rPr>
          <w:rFonts w:ascii="仿宋_GB2312" w:eastAsia="仿宋_GB2312"/>
          <w:color w:val="auto"/>
          <w:sz w:val="32"/>
          <w:szCs w:val="32"/>
        </w:rPr>
        <w:t>六、《一般公共预算财政拨款基本支出决算表》</w:t>
      </w:r>
    </w:p>
    <w:p>
      <w:pPr>
        <w:widowControl/>
        <w:ind w:firstLine="640" w:firstLineChars="200"/>
        <w:jc w:val="left"/>
        <w:outlineLvl w:val="1"/>
        <w:rPr>
          <w:rFonts w:ascii="仿宋_GB2312" w:eastAsia="仿宋_GB2312"/>
          <w:color w:val="auto"/>
          <w:sz w:val="32"/>
          <w:szCs w:val="32"/>
        </w:rPr>
      </w:pPr>
      <w:r>
        <w:rPr>
          <w:rFonts w:ascii="仿宋_GB2312" w:eastAsia="仿宋_GB2312"/>
          <w:color w:val="auto"/>
          <w:sz w:val="32"/>
          <w:szCs w:val="32"/>
        </w:rPr>
        <w:t>七、《政府性基金预算财政拨款收入支出决算表》</w:t>
      </w:r>
    </w:p>
    <w:p>
      <w:pPr>
        <w:widowControl/>
        <w:ind w:firstLine="640" w:firstLineChars="200"/>
        <w:jc w:val="left"/>
        <w:outlineLvl w:val="1"/>
        <w:rPr>
          <w:rFonts w:ascii="仿宋_GB2312" w:eastAsia="仿宋_GB2312"/>
          <w:color w:val="auto"/>
          <w:sz w:val="32"/>
          <w:szCs w:val="32"/>
        </w:rPr>
      </w:pPr>
      <w:r>
        <w:rPr>
          <w:rFonts w:ascii="仿宋_GB2312" w:eastAsia="仿宋_GB2312"/>
          <w:color w:val="auto"/>
          <w:sz w:val="32"/>
          <w:szCs w:val="32"/>
        </w:rPr>
        <w:t>八、《国有资本经营预算财政拨款收入支出决算表》</w:t>
      </w:r>
    </w:p>
    <w:p>
      <w:pPr>
        <w:widowControl/>
        <w:ind w:firstLine="640" w:firstLineChars="200"/>
        <w:jc w:val="left"/>
        <w:outlineLvl w:val="1"/>
        <w:rPr>
          <w:rFonts w:ascii="仿宋_GB2312" w:eastAsia="仿宋_GB2312"/>
          <w:color w:val="auto"/>
          <w:sz w:val="32"/>
          <w:szCs w:val="32"/>
        </w:rPr>
        <w:sectPr>
          <w:pgSz w:w="12240" w:h="15840"/>
          <w:pgMar w:top="1440" w:right="1800" w:bottom="1440" w:left="1800" w:header="720" w:footer="720" w:gutter="0"/>
          <w:cols w:space="720" w:num="1"/>
        </w:sectPr>
      </w:pPr>
      <w:r>
        <w:rPr>
          <w:rFonts w:ascii="仿宋_GB2312" w:eastAsia="仿宋_GB2312"/>
          <w:color w:val="auto"/>
          <w:sz w:val="32"/>
          <w:szCs w:val="32"/>
        </w:rPr>
        <w:t>九、《财政拨款“三公”经费支出决算表》</w:t>
      </w:r>
    </w:p>
    <w:p>
      <w:pPr>
        <w:widowControl/>
        <w:jc w:val="left"/>
        <w:outlineLvl w:val="1"/>
        <w:rPr>
          <w:rFonts w:ascii="仿宋_GB2312" w:eastAsia="仿宋_GB2312"/>
          <w:color w:val="auto"/>
          <w:sz w:val="16"/>
          <w:szCs w:val="16"/>
        </w:rPr>
        <w:sectPr>
          <w:pgSz w:w="12240" w:h="15840"/>
          <w:pgMar w:top="1440" w:right="1800" w:bottom="1440" w:left="1800" w:header="720" w:footer="720" w:gutter="0"/>
          <w:cols w:space="720" w:num="1"/>
        </w:sectPr>
      </w:pPr>
      <w:r>
        <w:drawing>
          <wp:inline distT="0" distB="0" distL="114300" distR="114300">
            <wp:extent cx="5801995" cy="7593330"/>
            <wp:effectExtent l="0" t="0" r="8255" b="762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4"/>
                    <a:stretch>
                      <a:fillRect/>
                    </a:stretch>
                  </pic:blipFill>
                  <pic:spPr>
                    <a:xfrm>
                      <a:off x="0" y="0"/>
                      <a:ext cx="5801995" cy="7593330"/>
                    </a:xfrm>
                    <a:prstGeom prst="rect">
                      <a:avLst/>
                    </a:prstGeom>
                    <a:noFill/>
                    <a:ln>
                      <a:noFill/>
                    </a:ln>
                  </pic:spPr>
                </pic:pic>
              </a:graphicData>
            </a:graphic>
          </wp:inline>
        </w:drawing>
      </w:r>
    </w:p>
    <w:p>
      <w:pPr>
        <w:widowControl/>
        <w:jc w:val="left"/>
        <w:outlineLvl w:val="1"/>
        <w:rPr>
          <w:rFonts w:ascii="仿宋_GB2312" w:eastAsia="仿宋_GB2312"/>
          <w:color w:val="auto"/>
          <w:sz w:val="14"/>
          <w:szCs w:val="14"/>
        </w:rPr>
        <w:sectPr>
          <w:pgSz w:w="12240" w:h="15840"/>
          <w:pgMar w:top="1440" w:right="1800" w:bottom="1440" w:left="1800" w:header="720" w:footer="720" w:gutter="0"/>
          <w:cols w:space="720" w:num="1"/>
        </w:sectPr>
      </w:pPr>
      <w:r>
        <w:drawing>
          <wp:inline distT="0" distB="0" distL="114300" distR="114300">
            <wp:extent cx="5482590" cy="5177155"/>
            <wp:effectExtent l="0" t="0" r="3810" b="4445"/>
            <wp:docPr id="1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
                    <pic:cNvPicPr>
                      <a:picLocks noChangeAspect="1"/>
                    </pic:cNvPicPr>
                  </pic:nvPicPr>
                  <pic:blipFill>
                    <a:blip r:embed="rId5">
                      <a:grayscl/>
                    </a:blip>
                    <a:stretch>
                      <a:fillRect/>
                    </a:stretch>
                  </pic:blipFill>
                  <pic:spPr>
                    <a:xfrm>
                      <a:off x="0" y="0"/>
                      <a:ext cx="5482590" cy="5177155"/>
                    </a:xfrm>
                    <a:prstGeom prst="rect">
                      <a:avLst/>
                    </a:prstGeom>
                    <a:noFill/>
                    <a:ln>
                      <a:noFill/>
                    </a:ln>
                  </pic:spPr>
                </pic:pic>
              </a:graphicData>
            </a:graphic>
          </wp:inline>
        </w:drawing>
      </w:r>
    </w:p>
    <w:p>
      <w:pPr>
        <w:widowControl/>
        <w:jc w:val="left"/>
        <w:outlineLvl w:val="1"/>
        <w:rPr>
          <w:rFonts w:ascii="仿宋_GB2312" w:eastAsia="仿宋_GB2312"/>
          <w:color w:val="auto"/>
          <w:sz w:val="14"/>
          <w:szCs w:val="14"/>
        </w:rPr>
        <w:sectPr>
          <w:pgSz w:w="12240" w:h="15840"/>
          <w:pgMar w:top="1440" w:right="1800" w:bottom="1440" w:left="1800" w:header="720" w:footer="720" w:gutter="0"/>
          <w:cols w:space="720" w:num="1"/>
        </w:sectPr>
      </w:pPr>
      <w:r>
        <w:drawing>
          <wp:inline distT="0" distB="0" distL="114300" distR="114300">
            <wp:extent cx="5481955" cy="6306185"/>
            <wp:effectExtent l="0" t="0" r="4445" b="1841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6">
                      <a:grayscl/>
                    </a:blip>
                    <a:stretch>
                      <a:fillRect/>
                    </a:stretch>
                  </pic:blipFill>
                  <pic:spPr>
                    <a:xfrm>
                      <a:off x="0" y="0"/>
                      <a:ext cx="5481955" cy="6306185"/>
                    </a:xfrm>
                    <a:prstGeom prst="rect">
                      <a:avLst/>
                    </a:prstGeom>
                    <a:noFill/>
                    <a:ln>
                      <a:noFill/>
                    </a:ln>
                  </pic:spPr>
                </pic:pic>
              </a:graphicData>
            </a:graphic>
          </wp:inline>
        </w:drawing>
      </w:r>
    </w:p>
    <w:p>
      <w:pPr>
        <w:widowControl/>
        <w:jc w:val="left"/>
        <w:outlineLvl w:val="1"/>
        <w:rPr>
          <w:rFonts w:ascii="仿宋_GB2312" w:eastAsia="仿宋_GB2312"/>
          <w:color w:val="auto"/>
          <w:sz w:val="14"/>
          <w:szCs w:val="14"/>
        </w:rPr>
        <w:sectPr>
          <w:pgSz w:w="12240" w:h="15840"/>
          <w:pgMar w:top="1440" w:right="1800" w:bottom="1440" w:left="1800" w:header="720" w:footer="720" w:gutter="0"/>
          <w:cols w:space="720" w:num="1"/>
        </w:sectPr>
      </w:pPr>
      <w:r>
        <w:drawing>
          <wp:inline distT="0" distB="0" distL="114300" distR="114300">
            <wp:extent cx="5721985" cy="3992245"/>
            <wp:effectExtent l="0" t="0" r="8255" b="63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7"/>
                    <a:stretch>
                      <a:fillRect/>
                    </a:stretch>
                  </pic:blipFill>
                  <pic:spPr>
                    <a:xfrm>
                      <a:off x="0" y="0"/>
                      <a:ext cx="5721985" cy="3992245"/>
                    </a:xfrm>
                    <a:prstGeom prst="rect">
                      <a:avLst/>
                    </a:prstGeom>
                    <a:noFill/>
                    <a:ln>
                      <a:noFill/>
                    </a:ln>
                  </pic:spPr>
                </pic:pic>
              </a:graphicData>
            </a:graphic>
          </wp:inline>
        </w:drawing>
      </w:r>
    </w:p>
    <w:p>
      <w:pPr>
        <w:widowControl/>
        <w:jc w:val="left"/>
        <w:outlineLvl w:val="1"/>
        <w:rPr>
          <w:rFonts w:ascii="仿宋_GB2312" w:eastAsia="仿宋_GB2312"/>
          <w:color w:val="auto"/>
          <w:sz w:val="16"/>
          <w:szCs w:val="16"/>
        </w:rPr>
        <w:sectPr>
          <w:pgSz w:w="12240" w:h="15840"/>
          <w:pgMar w:top="1440" w:right="1800" w:bottom="1440" w:left="1800" w:header="720" w:footer="720" w:gutter="0"/>
          <w:cols w:space="720" w:num="1"/>
        </w:sectPr>
      </w:pPr>
      <w:r>
        <w:drawing>
          <wp:inline distT="0" distB="0" distL="114300" distR="114300">
            <wp:extent cx="5483225" cy="7023735"/>
            <wp:effectExtent l="0" t="0" r="3175" b="571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8">
                      <a:grayscl/>
                    </a:blip>
                    <a:stretch>
                      <a:fillRect/>
                    </a:stretch>
                  </pic:blipFill>
                  <pic:spPr>
                    <a:xfrm>
                      <a:off x="0" y="0"/>
                      <a:ext cx="5483225" cy="7023735"/>
                    </a:xfrm>
                    <a:prstGeom prst="rect">
                      <a:avLst/>
                    </a:prstGeom>
                    <a:noFill/>
                    <a:ln>
                      <a:noFill/>
                    </a:ln>
                  </pic:spPr>
                </pic:pic>
              </a:graphicData>
            </a:graphic>
          </wp:inline>
        </w:drawing>
      </w:r>
    </w:p>
    <w:p>
      <w:pPr>
        <w:widowControl/>
        <w:jc w:val="left"/>
        <w:outlineLvl w:val="1"/>
        <w:rPr>
          <w:rFonts w:ascii="仿宋_GB2312" w:eastAsia="仿宋_GB2312"/>
          <w:color w:val="auto"/>
          <w:sz w:val="14"/>
          <w:szCs w:val="14"/>
        </w:rPr>
        <w:sectPr>
          <w:pgSz w:w="12240" w:h="15840"/>
          <w:pgMar w:top="1440" w:right="1800" w:bottom="1440" w:left="1800" w:header="720" w:footer="720" w:gutter="0"/>
          <w:cols w:space="720" w:num="1"/>
        </w:sectPr>
      </w:pPr>
      <w:r>
        <w:drawing>
          <wp:inline distT="0" distB="0" distL="114300" distR="114300">
            <wp:extent cx="5523230" cy="5254625"/>
            <wp:effectExtent l="0" t="0" r="8890" b="317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9"/>
                    <a:stretch>
                      <a:fillRect/>
                    </a:stretch>
                  </pic:blipFill>
                  <pic:spPr>
                    <a:xfrm>
                      <a:off x="0" y="0"/>
                      <a:ext cx="5523230" cy="5254625"/>
                    </a:xfrm>
                    <a:prstGeom prst="rect">
                      <a:avLst/>
                    </a:prstGeom>
                    <a:noFill/>
                    <a:ln>
                      <a:noFill/>
                    </a:ln>
                  </pic:spPr>
                </pic:pic>
              </a:graphicData>
            </a:graphic>
          </wp:inline>
        </w:drawing>
      </w:r>
    </w:p>
    <w:p>
      <w:pPr>
        <w:widowControl/>
        <w:jc w:val="left"/>
        <w:outlineLvl w:val="1"/>
        <w:rPr>
          <w:rFonts w:ascii="仿宋_GB2312" w:eastAsia="仿宋_GB2312"/>
          <w:color w:val="auto"/>
          <w:sz w:val="14"/>
          <w:szCs w:val="14"/>
        </w:rPr>
        <w:sectPr>
          <w:pgSz w:w="12240" w:h="15840"/>
          <w:pgMar w:top="1440" w:right="1800" w:bottom="1440" w:left="1800" w:header="720" w:footer="720" w:gutter="0"/>
          <w:cols w:space="720" w:num="1"/>
        </w:sectPr>
      </w:pPr>
      <w:r>
        <w:drawing>
          <wp:inline distT="0" distB="0" distL="114300" distR="114300">
            <wp:extent cx="5485130" cy="2831465"/>
            <wp:effectExtent l="0" t="0" r="1270" b="3175"/>
            <wp:docPr id="12"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3"/>
                    <pic:cNvPicPr>
                      <a:picLocks noChangeAspect="1"/>
                    </pic:cNvPicPr>
                  </pic:nvPicPr>
                  <pic:blipFill>
                    <a:blip r:embed="rId10">
                      <a:grayscl/>
                    </a:blip>
                    <a:stretch>
                      <a:fillRect/>
                    </a:stretch>
                  </pic:blipFill>
                  <pic:spPr>
                    <a:xfrm>
                      <a:off x="0" y="0"/>
                      <a:ext cx="5485130" cy="2831465"/>
                    </a:xfrm>
                    <a:prstGeom prst="rect">
                      <a:avLst/>
                    </a:prstGeom>
                    <a:noFill/>
                    <a:ln>
                      <a:noFill/>
                    </a:ln>
                  </pic:spPr>
                </pic:pic>
              </a:graphicData>
            </a:graphic>
          </wp:inline>
        </w:drawing>
      </w:r>
    </w:p>
    <w:p>
      <w:pPr>
        <w:widowControl/>
        <w:jc w:val="left"/>
        <w:outlineLvl w:val="1"/>
        <w:sectPr>
          <w:pgSz w:w="12240" w:h="15840"/>
          <w:pgMar w:top="1440" w:right="1800" w:bottom="1440" w:left="1800" w:header="720" w:footer="720" w:gutter="0"/>
          <w:cols w:space="720" w:num="1"/>
        </w:sectPr>
      </w:pPr>
      <w:r>
        <w:drawing>
          <wp:inline distT="0" distB="0" distL="114300" distR="114300">
            <wp:extent cx="5485130" cy="2422525"/>
            <wp:effectExtent l="0" t="0" r="1270" b="635"/>
            <wp:docPr id="1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2"/>
                    <pic:cNvPicPr>
                      <a:picLocks noChangeAspect="1"/>
                    </pic:cNvPicPr>
                  </pic:nvPicPr>
                  <pic:blipFill>
                    <a:blip r:embed="rId11"/>
                    <a:stretch>
                      <a:fillRect/>
                    </a:stretch>
                  </pic:blipFill>
                  <pic:spPr>
                    <a:xfrm>
                      <a:off x="0" y="0"/>
                      <a:ext cx="5485130" cy="2422525"/>
                    </a:xfrm>
                    <a:prstGeom prst="rect">
                      <a:avLst/>
                    </a:prstGeom>
                    <a:noFill/>
                    <a:ln>
                      <a:noFill/>
                    </a:ln>
                  </pic:spPr>
                </pic:pic>
              </a:graphicData>
            </a:graphic>
          </wp:inline>
        </w:drawing>
      </w:r>
    </w:p>
    <w:p>
      <w:pPr>
        <w:widowControl/>
        <w:jc w:val="left"/>
        <w:outlineLvl w:val="1"/>
        <w:sectPr>
          <w:pgSz w:w="12240" w:h="15840"/>
          <w:pgMar w:top="1440" w:right="1800" w:bottom="1440" w:left="1800" w:header="720" w:footer="720" w:gutter="0"/>
          <w:cols w:space="720" w:num="1"/>
        </w:sectPr>
      </w:pPr>
      <w:r>
        <w:drawing>
          <wp:inline distT="0" distB="0" distL="114300" distR="114300">
            <wp:extent cx="5589905" cy="1484630"/>
            <wp:effectExtent l="0" t="0" r="3175" b="889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pic:cNvPicPr>
                  </pic:nvPicPr>
                  <pic:blipFill>
                    <a:blip r:embed="rId12"/>
                    <a:stretch>
                      <a:fillRect/>
                    </a:stretch>
                  </pic:blipFill>
                  <pic:spPr>
                    <a:xfrm>
                      <a:off x="0" y="0"/>
                      <a:ext cx="5589905" cy="1484630"/>
                    </a:xfrm>
                    <a:prstGeom prst="rect">
                      <a:avLst/>
                    </a:prstGeom>
                    <a:noFill/>
                    <a:ln>
                      <a:noFill/>
                    </a:ln>
                  </pic:spPr>
                </pic:pic>
              </a:graphicData>
            </a:graphic>
          </wp:inline>
        </w:drawing>
      </w:r>
    </w:p>
    <w:p>
      <w:pPr>
        <w:widowControl/>
        <w:jc w:val="left"/>
        <w:outlineLvl w:val="1"/>
        <w:rPr>
          <w:rFonts w:ascii="仿宋_GB2312" w:eastAsia="仿宋_GB2312"/>
          <w:color w:val="auto"/>
          <w:sz w:val="14"/>
          <w:szCs w:val="14"/>
        </w:rPr>
      </w:pPr>
    </w:p>
    <w:sectPr>
      <w:pgSz w:w="12240" w:h="15840"/>
      <w:pgMar w:top="1440" w:right="1800" w:bottom="1440" w:left="180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420"/>
  <w:displayHorizontalDrawingGridEvery w:val="1"/>
  <w:displayVerticalDrawingGridEvery w:val="1"/>
  <w:noPunctuationKerning w:val="1"/>
  <w:characterSpacingControl w:val="doNotCompress"/>
  <w:compat>
    <w:doNotExpandShiftReturn/>
    <w:doNotWrapTextWithPunct/>
    <w:doNotUseEastAsianBreakRules/>
    <w:useFELayout/>
    <w:doNotUseIndentAsNumberingTabStop/>
    <w:useAltKinsokuLineBreakRules/>
    <w:compatSetting w:name="compatibilityMode" w:uri="http://schemas.microsoft.com/office/word" w:val="12"/>
  </w:compat>
  <w:rsids>
    <w:rsidRoot w:val="00634CB9"/>
    <w:rsid w:val="001938C2"/>
    <w:rsid w:val="004A11A0"/>
    <w:rsid w:val="00634CB9"/>
    <w:rsid w:val="006D5DD8"/>
    <w:rsid w:val="00A87E13"/>
    <w:rsid w:val="00E82C07"/>
    <w:rsid w:val="00F3393D"/>
    <w:rsid w:val="02042442"/>
    <w:rsid w:val="02073A4C"/>
    <w:rsid w:val="02181C38"/>
    <w:rsid w:val="03C30758"/>
    <w:rsid w:val="084F4113"/>
    <w:rsid w:val="08793C6A"/>
    <w:rsid w:val="087C3BCD"/>
    <w:rsid w:val="0916313D"/>
    <w:rsid w:val="0A5F3462"/>
    <w:rsid w:val="0AA81288"/>
    <w:rsid w:val="0B5B2D12"/>
    <w:rsid w:val="0C542F65"/>
    <w:rsid w:val="0D4F2170"/>
    <w:rsid w:val="0E362B15"/>
    <w:rsid w:val="0E706863"/>
    <w:rsid w:val="0E8E3FBB"/>
    <w:rsid w:val="0F5A157D"/>
    <w:rsid w:val="111175B5"/>
    <w:rsid w:val="116B6080"/>
    <w:rsid w:val="123309EA"/>
    <w:rsid w:val="1267736E"/>
    <w:rsid w:val="12EA7551"/>
    <w:rsid w:val="14E04781"/>
    <w:rsid w:val="15895AAD"/>
    <w:rsid w:val="17577011"/>
    <w:rsid w:val="18D828CA"/>
    <w:rsid w:val="193D7790"/>
    <w:rsid w:val="19973BD5"/>
    <w:rsid w:val="1A0374DA"/>
    <w:rsid w:val="1AA63C5D"/>
    <w:rsid w:val="1B2C1613"/>
    <w:rsid w:val="1D18118A"/>
    <w:rsid w:val="1D582718"/>
    <w:rsid w:val="1DCC1C3D"/>
    <w:rsid w:val="1F0207D7"/>
    <w:rsid w:val="22631368"/>
    <w:rsid w:val="24FD48AF"/>
    <w:rsid w:val="255944E8"/>
    <w:rsid w:val="26F06BF9"/>
    <w:rsid w:val="280D0AD6"/>
    <w:rsid w:val="28115E77"/>
    <w:rsid w:val="289469ED"/>
    <w:rsid w:val="28E24C36"/>
    <w:rsid w:val="2D937F65"/>
    <w:rsid w:val="2EA26236"/>
    <w:rsid w:val="2ECD2FF2"/>
    <w:rsid w:val="2F9264E2"/>
    <w:rsid w:val="30193E93"/>
    <w:rsid w:val="309A1877"/>
    <w:rsid w:val="30EB75BE"/>
    <w:rsid w:val="312A5C3B"/>
    <w:rsid w:val="315F37FD"/>
    <w:rsid w:val="322E72EE"/>
    <w:rsid w:val="32944D47"/>
    <w:rsid w:val="32966C8C"/>
    <w:rsid w:val="33CF6F3B"/>
    <w:rsid w:val="34204C53"/>
    <w:rsid w:val="34916573"/>
    <w:rsid w:val="34DE2D5C"/>
    <w:rsid w:val="3C0B261D"/>
    <w:rsid w:val="3CC82644"/>
    <w:rsid w:val="3CCA4B4A"/>
    <w:rsid w:val="3EE84047"/>
    <w:rsid w:val="3EEC1371"/>
    <w:rsid w:val="401D143A"/>
    <w:rsid w:val="40C804E9"/>
    <w:rsid w:val="425779B1"/>
    <w:rsid w:val="42943CD0"/>
    <w:rsid w:val="43456C51"/>
    <w:rsid w:val="44C3754D"/>
    <w:rsid w:val="44F8765C"/>
    <w:rsid w:val="45925362"/>
    <w:rsid w:val="46A356D3"/>
    <w:rsid w:val="480A58E2"/>
    <w:rsid w:val="49AF10A7"/>
    <w:rsid w:val="4BAE6AAD"/>
    <w:rsid w:val="4C5601E9"/>
    <w:rsid w:val="4F2E29E0"/>
    <w:rsid w:val="4F911C2D"/>
    <w:rsid w:val="51CD2E62"/>
    <w:rsid w:val="523662EB"/>
    <w:rsid w:val="53BC05E2"/>
    <w:rsid w:val="54193B37"/>
    <w:rsid w:val="545D3446"/>
    <w:rsid w:val="54843BAE"/>
    <w:rsid w:val="55DF2277"/>
    <w:rsid w:val="564F1820"/>
    <w:rsid w:val="58D9599E"/>
    <w:rsid w:val="5A6D63AE"/>
    <w:rsid w:val="5B0B535E"/>
    <w:rsid w:val="5B0F084E"/>
    <w:rsid w:val="5B975267"/>
    <w:rsid w:val="5F262277"/>
    <w:rsid w:val="5F907FD4"/>
    <w:rsid w:val="5FE42D82"/>
    <w:rsid w:val="608A4D75"/>
    <w:rsid w:val="608D0B60"/>
    <w:rsid w:val="6098051F"/>
    <w:rsid w:val="61BC7014"/>
    <w:rsid w:val="62FF57AA"/>
    <w:rsid w:val="6387752C"/>
    <w:rsid w:val="664B0BAF"/>
    <w:rsid w:val="66EF2FC4"/>
    <w:rsid w:val="67877BF1"/>
    <w:rsid w:val="67C629CD"/>
    <w:rsid w:val="68662622"/>
    <w:rsid w:val="68976C3B"/>
    <w:rsid w:val="694D4A64"/>
    <w:rsid w:val="69760CB4"/>
    <w:rsid w:val="6B3D343B"/>
    <w:rsid w:val="6B6006E1"/>
    <w:rsid w:val="6C702904"/>
    <w:rsid w:val="6CE40287"/>
    <w:rsid w:val="6EBF27C1"/>
    <w:rsid w:val="70001E7E"/>
    <w:rsid w:val="705D754D"/>
    <w:rsid w:val="708A2E02"/>
    <w:rsid w:val="71543E3B"/>
    <w:rsid w:val="715A7F6B"/>
    <w:rsid w:val="718A6DA0"/>
    <w:rsid w:val="735306EF"/>
    <w:rsid w:val="74041BF6"/>
    <w:rsid w:val="771423F8"/>
    <w:rsid w:val="78384EA5"/>
    <w:rsid w:val="79B82CC4"/>
    <w:rsid w:val="7BE50197"/>
    <w:rsid w:val="7CD805A7"/>
    <w:rsid w:val="7DF40650"/>
    <w:rsid w:val="7DFB675C"/>
    <w:rsid w:val="7E5E3111"/>
    <w:rsid w:val="7E6C7427"/>
    <w:rsid w:val="7EF6562F"/>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qFormat/>
    <w:uiPriority w:val="0"/>
    <w:pPr>
      <w:tabs>
        <w:tab w:val="center" w:pos="4153"/>
        <w:tab w:val="right" w:pos="8306"/>
      </w:tabs>
      <w:snapToGrid w:val="0"/>
      <w:jc w:val="left"/>
    </w:pPr>
    <w:rPr>
      <w:sz w:val="18"/>
      <w:szCs w:val="18"/>
    </w:rPr>
  </w:style>
  <w:style w:type="paragraph" w:styleId="3">
    <w:name w:val="header"/>
    <w:basedOn w:val="1"/>
    <w:link w:val="6"/>
    <w:qFormat/>
    <w:uiPriority w:val="0"/>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qFormat/>
    <w:uiPriority w:val="0"/>
    <w:rPr>
      <w:sz w:val="18"/>
      <w:szCs w:val="18"/>
    </w:rPr>
  </w:style>
  <w:style w:type="character" w:customStyle="1" w:styleId="7">
    <w:name w:val="页脚 Char"/>
    <w:basedOn w:val="5"/>
    <w:link w:val="2"/>
    <w:qFormat/>
    <w:uiPriority w:val="0"/>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image" Target="media/image6.png"/><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image" Target="media/image9.png"/><Relationship Id="rId11" Type="http://schemas.openxmlformats.org/officeDocument/2006/relationships/image" Target="media/image8.png"/><Relationship Id="rId10" Type="http://schemas.openxmlformats.org/officeDocument/2006/relationships/image" Target="media/image7.png"/><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Lenovo</Company>
  <Pages>25</Pages>
  <Words>6751</Words>
  <Characters>7690</Characters>
  <Lines>45</Lines>
  <Paragraphs>12</Paragraphs>
  <TotalTime>3</TotalTime>
  <ScaleCrop>false</ScaleCrop>
  <LinksUpToDate>false</LinksUpToDate>
  <CharactersWithSpaces>7691</CharactersWithSpaces>
  <Application>WPS Office_11.8.2.10972_F1E327BC-269C-435d-A152-05C5408002CA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2025-08-13T02:29:00Z</dcterms:created>
  <dc:creator>ylzx-00</dc:creator>
  <cp:lastModifiedBy>lenovo</cp:lastModifiedBy>
  <dcterms:modified xsi:type="dcterms:W3CDTF">2025-11-19T04:30:25Z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2052-11.8.2.10972</vt:lpwstr>
  </property>
  <property fmtid="{D5CDD505-2E9C-101B-9397-08002B2CF9AE}" pid="3" name="ICV">
    <vt:lpwstr>084C3B5E9F3E4ECA93C873604EA047F1</vt:lpwstr>
  </property>
  <property fmtid="{D5CDD505-2E9C-101B-9397-08002B2CF9AE}" pid="4" name="KSOTemplateDocerSaveRecord">
    <vt:lpwstr>eyJoZGlkIjoiYWM5MDE2NGYwMGE1YjY5YWVjYTgwN2E3N2ViNDAyMWIifQ==</vt:lpwstr>
  </property>
</Properties>
</file>