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left"/>
        <w:rPr>
          <w:rFonts w:ascii="黑体" w:hAnsi="黑体" w:eastAsia="黑体" w:cs="宋体"/>
          <w:color w:val="333333"/>
          <w:sz w:val="32"/>
          <w:szCs w:val="32"/>
          <w:lang w:bidi="ar"/>
        </w:rPr>
      </w:pPr>
      <w:bookmarkStart w:id="1" w:name="_GoBack"/>
      <w:bookmarkEnd w:id="1"/>
      <w:r>
        <w:rPr>
          <w:rFonts w:hint="eastAsia" w:ascii="黑体" w:hAnsi="黑体" w:eastAsia="黑体" w:cs="宋体"/>
          <w:color w:val="333333"/>
          <w:sz w:val="32"/>
          <w:szCs w:val="32"/>
          <w:lang w:bidi="ar"/>
        </w:rPr>
        <w:t>附件4：</w:t>
      </w: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部门单位整体支出绩效</w:t>
      </w: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int="eastAsia" w:ascii="仿宋_GB2312" w:hAnsi="宋体" w:eastAsia="仿宋_GB2312"/>
          <w:b/>
          <w:sz w:val="32"/>
          <w:szCs w:val="32"/>
        </w:rPr>
        <w:t>2024</w:t>
      </w:r>
      <w:r>
        <w:rPr>
          <w:rFonts w:hint="eastAsia" w:hAnsi="宋体" w:eastAsia="仿宋_GB2312" w:cs="宋体"/>
          <w:kern w:val="0"/>
          <w:sz w:val="36"/>
          <w:szCs w:val="36"/>
        </w:rPr>
        <w:t>年度）</w:t>
      </w: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540" w:lineRule="exact"/>
        <w:ind w:firstLine="720" w:firstLineChars="200"/>
        <w:rPr>
          <w:rFonts w:hAnsi="宋体" w:eastAsia="仿宋_GB2312" w:cs="宋体"/>
          <w:kern w:val="0"/>
          <w:sz w:val="44"/>
          <w:szCs w:val="44"/>
        </w:rPr>
      </w:pPr>
      <w:r>
        <w:rPr>
          <w:rFonts w:hint="eastAsia" w:hAnsi="宋体" w:eastAsia="仿宋_GB2312" w:cs="宋体"/>
          <w:kern w:val="0"/>
          <w:sz w:val="36"/>
          <w:szCs w:val="36"/>
        </w:rPr>
        <w:t>部门单位名称（公章）</w:t>
      </w:r>
      <w:r>
        <w:rPr>
          <w:rFonts w:hint="eastAsia" w:ascii="仿宋" w:hAnsi="仿宋" w:eastAsia="仿宋" w:cs="仿宋"/>
          <w:kern w:val="0"/>
          <w:sz w:val="44"/>
          <w:szCs w:val="44"/>
        </w:rPr>
        <w:t>：</w:t>
      </w:r>
      <w:r>
        <w:rPr>
          <w:rStyle w:val="6"/>
          <w:rFonts w:hint="eastAsia" w:ascii="仿宋" w:hAnsi="仿宋" w:eastAsia="仿宋" w:cs="仿宋"/>
          <w:b w:val="0"/>
          <w:bCs w:val="0"/>
          <w:spacing w:val="-4"/>
          <w:sz w:val="44"/>
          <w:szCs w:val="44"/>
        </w:rPr>
        <w:t>库尔勒市园林科学研究所</w:t>
      </w:r>
    </w:p>
    <w:p>
      <w:pPr>
        <w:spacing w:line="540" w:lineRule="exact"/>
        <w:ind w:firstLine="720" w:firstLineChars="200"/>
        <w:rPr>
          <w:rFonts w:ascii="仿宋" w:hAnsi="仿宋" w:eastAsia="仿宋" w:cs="仿宋"/>
          <w:kern w:val="0"/>
          <w:sz w:val="44"/>
          <w:szCs w:val="44"/>
        </w:rPr>
      </w:pPr>
      <w:r>
        <w:rPr>
          <w:rFonts w:hint="eastAsia" w:hAnsi="宋体" w:eastAsia="仿宋_GB2312" w:cs="宋体"/>
          <w:kern w:val="0"/>
          <w:sz w:val="36"/>
          <w:szCs w:val="36"/>
        </w:rPr>
        <w:t>填报时间：</w:t>
      </w:r>
      <w:r>
        <w:rPr>
          <w:rStyle w:val="6"/>
          <w:rFonts w:hint="eastAsia" w:ascii="仿宋" w:hAnsi="仿宋" w:eastAsia="仿宋" w:cs="仿宋"/>
          <w:b w:val="0"/>
          <w:bCs w:val="0"/>
          <w:spacing w:val="-4"/>
          <w:sz w:val="44"/>
          <w:szCs w:val="44"/>
        </w:rPr>
        <w:t>2025年04月29日</w:t>
      </w: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基本概况：</w:t>
      </w:r>
    </w:p>
    <w:p>
      <w:pPr>
        <w:spacing w:line="600" w:lineRule="exact"/>
        <w:ind w:firstLine="964" w:firstLineChars="300"/>
        <w:jc w:val="left"/>
        <w:rPr>
          <w:rFonts w:hint="eastAsia" w:ascii="Arial" w:hAnsi="Arial" w:cs="Arial"/>
          <w:b/>
          <w:bCs/>
          <w:color w:val="333333"/>
          <w:sz w:val="30"/>
          <w:szCs w:val="30"/>
        </w:rPr>
      </w:pPr>
      <w:r>
        <w:rPr>
          <w:rFonts w:hint="eastAsia" w:ascii="黑体" w:hAnsi="黑体" w:eastAsia="黑体" w:cs="宋体"/>
          <w:b/>
          <w:color w:val="000000" w:themeColor="text1"/>
          <w:sz w:val="32"/>
          <w:szCs w:val="32"/>
          <w:lang w:bidi="ar"/>
          <w14:textFill>
            <w14:solidFill>
              <w14:schemeClr w14:val="tx1"/>
            </w14:solidFill>
          </w14:textFill>
        </w:rPr>
        <w:t>（一）</w:t>
      </w:r>
      <w:r>
        <w:rPr>
          <w:rFonts w:ascii="黑体" w:hAnsi="黑体" w:eastAsia="黑体" w:cs="宋体"/>
          <w:b/>
          <w:color w:val="000000" w:themeColor="text1"/>
          <w:sz w:val="32"/>
          <w:szCs w:val="32"/>
          <w:lang w:bidi="ar"/>
          <w14:textFill>
            <w14:solidFill>
              <w14:schemeClr w14:val="tx1"/>
            </w14:solidFill>
          </w14:textFill>
        </w:rPr>
        <w:t>部门单位基本情况</w:t>
      </w:r>
      <w:r>
        <w:rPr>
          <w:rFonts w:hint="eastAsia" w:ascii="Arial" w:hAnsi="Arial" w:cs="Arial"/>
          <w:b/>
          <w:bCs/>
          <w:color w:val="333333"/>
          <w:sz w:val="30"/>
          <w:szCs w:val="30"/>
        </w:rPr>
        <w:t>：</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1.主要职能</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引种驯化培育园林苗木和研究园林技术，促进园林事业的发展。品种引种驯化花奔苗木生产，园林科学技术研究，园林科学技术推广，园林设计研究，园林施工建设。</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2.机构设置及人员情况</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园林科学研究所部门包括本级机关，机关内设1科室（办公室）</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园林科学研究所编制数11，实有人数9人，其中：在职4人，增加0人；退休5人，增加2人；离休0人，增加0人。</w:t>
      </w:r>
      <w:bookmarkStart w:id="0" w:name="_Hlk43849111"/>
      <w:bookmarkEnd w:id="0"/>
    </w:p>
    <w:p>
      <w:pPr>
        <w:spacing w:line="600" w:lineRule="exact"/>
        <w:ind w:firstLine="964" w:firstLineChars="300"/>
        <w:jc w:val="left"/>
        <w:rPr>
          <w:rFonts w:hint="eastAsia"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（二）</w:t>
      </w:r>
      <w:r>
        <w:rPr>
          <w:rFonts w:ascii="黑体" w:hAnsi="黑体" w:eastAsia="黑体" w:cs="宋体"/>
          <w:b/>
          <w:color w:val="000000" w:themeColor="text1"/>
          <w:sz w:val="32"/>
          <w:szCs w:val="32"/>
          <w:lang w:bidi="ar"/>
          <w14:textFill>
            <w14:solidFill>
              <w14:schemeClr w14:val="tx1"/>
            </w14:solidFill>
          </w14:textFill>
        </w:rPr>
        <w:t>部门单位年度重点工作：</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1.年度总体目标</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 xml:space="preserve">   继续开展现有课题研究，1项转化绿化苗木的后期工作，完成苗木生产20万株以上，开展技术科技培训5场次50人次，继续做好2项新品种引进的后续工作，全面完成项目研究合同中规定内容  和要求，总结经验为后续课题立项申报和研究打好基础；</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 xml:space="preserve">   积极主动服务于具体园林建设管理实践，通过推广既有科技成果，让科  技转化为生产力，促进我市园林行业的建管养水平不断提高；认  真分析影响行业发展进步的困难问题，并针对问题开展有效研究， 提出易操作执行的规范化解决方案；加强自身能力建设，对标专  业领域新的理论观点和技术进步成果，更新知识结构、提高科技应用水平，争取人才支持、合理配置人员年龄梯度，实现园林科研工作可持续高质量发展。</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2.重点工作计划</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一是继续开展现有课题研究，1项转化绿化苗木的后期工作，完成苗木生产20万株以上，开展技术科技培训5场次50人次，继续做好 2项新品种引进的后续工作，全面完成项目研究合同中规定内容和要求，总结经验为后续课题立项申报和研究打好基础；二是积极主动服务于具体园林建设管理实践，通过推广既有科技成果，让科技转化为生产力，促进我市园林行业的建管养水平不断提高；三是认真分析影响行业发展进步的困难问题，并针对问题开展有效研究，提出易操作执行的规范化解决方案；四是加强自身能力建设，对标专业领域新的理论观点和技术进步成果，更新知识结构、提高科技应用水平，争取人才支持、合理配置人员年龄梯度，实现园林科研工作可持续高质量发展。</w:t>
      </w:r>
    </w:p>
    <w:p>
      <w:pPr>
        <w:spacing w:line="600" w:lineRule="exact"/>
        <w:ind w:firstLine="964" w:firstLineChars="300"/>
        <w:jc w:val="left"/>
        <w:rPr>
          <w:rFonts w:hint="eastAsia"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（三）</w:t>
      </w:r>
      <w:r>
        <w:rPr>
          <w:rFonts w:ascii="黑体" w:hAnsi="黑体" w:eastAsia="黑体" w:cs="宋体"/>
          <w:b/>
          <w:color w:val="000000" w:themeColor="text1"/>
          <w:sz w:val="32"/>
          <w:szCs w:val="32"/>
          <w:lang w:bidi="ar"/>
          <w14:textFill>
            <w14:solidFill>
              <w14:schemeClr w14:val="tx1"/>
            </w14:solidFill>
          </w14:textFill>
        </w:rPr>
        <w:t>部门单位整体预算规模及安排情况：</w:t>
      </w:r>
    </w:p>
    <w:p>
      <w:pPr>
        <w:spacing w:line="600" w:lineRule="exact"/>
        <w:ind w:firstLine="960" w:firstLineChars="300"/>
        <w:jc w:val="left"/>
        <w:rPr>
          <w:rFonts w:hint="eastAsia" w:ascii="仿宋_GB2312" w:hAnsi="宋体" w:eastAsia="仿宋_GB2312"/>
          <w:bCs/>
          <w:sz w:val="32"/>
          <w:szCs w:val="32"/>
        </w:rPr>
      </w:pPr>
      <w:r>
        <w:rPr>
          <w:rFonts w:hint="eastAsia" w:ascii="仿宋_GB2312" w:hAnsi="宋体" w:eastAsia="仿宋_GB2312"/>
          <w:bCs/>
          <w:sz w:val="32"/>
          <w:szCs w:val="32"/>
        </w:rPr>
        <w:t>2024年科研所单位年初预算安排142.52万元，其中财政拨款84.32万元，其他资金0万元，主要用于保证人员工资及单位正常运转，转化绿化苗木数量工作。年中调整58.2万元，调整后全年预算84.32万元，预算调整率40.84%。调整预算的主要原因为2024年在职转退休2人，退休人员增加，相应工资福利支出减少。</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部门单位整体支出管理及使用情况：</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（一）部门单位整体支出管理情况</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1.预算编制</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2024年我部门坚持围绕中心工作，科学谋划预算资金安排，依据规定程序和要求，及时完成部门预算编制申报，同时合理设定入库项目绩效指标、年度目标值，科学构建部门整体支出核心绩效指标体系和编报部门整体预算申请绩效报告，推动提高财政资金配置效益。</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2.预算执行</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库尔勒市财政批复预算后，我单位按要求及时制定并报批部门预算支出计划，严格落实预算执行定期分析机制，靠前抓好支出执行，坚持严肃财经纪律，硬化预算约束，持续树牢厉行节约理念，严控一般性支出，努力降低事业运行成本。</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3.绩效管理</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2024年，我单位严格按照财政要求，落实预算绩效管理全过程，包括①注重绩效目标编制，预算编制环节注重编细编实预算需求，科学选择绩效指标，合理设置绩效目标值，并严格按照财政统一要求，规范编制事前绩效报告，为财政资金发挥效益夯实基础。②落实绩效“双监控”，预算执行过程中，以年度支出计划为基础，定期分析预算执行和绩效目标落实情况，并依托财政预算绩效管理平台分5月、8月对预算执行动态进行实时监控，发现问题及时纠偏，确保绩效目标落地落实。③扎实开展自评工作，年度终了，扎实开展预算绩效目标完成情况部门审核和自评工作。</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4.信息公开</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我单位已按要求在库尔勒市人民政府门户网站公开部门预算信息，同步公开绩效目标表；在库尔勒市人民政府门户网站公开部门决算信息，同步公开自评表及自评报告。</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（二）部门单位整体支出使用情况</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1.基本支出情况</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2024年基本支出82.82万元，包括工资福利支出76.62万元，商品和服务支出2.92万元，对个人和家庭的补助3.28万元，资本性支出0万元。其中：“三公”经费支出0万元，比上年增加0万元，主要原因是上级未安排；会议费支出0万元，比上年增加0万元，主要原因是上级未安排；培训费支出0万元，比上年增加0.03万元，主要原因是当年将培训费做了调剂用办公费支出。</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2.专项资金支出情况</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2024年专项项目支出1.5万元，占总支出的1.78％，主要用于绿化苗木产业化生产技术示范及相关成果转化。</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3.部门单位专项组织实施情况</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本单位无部门专项。</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部门单位整体支出绩效分析：</w:t>
      </w:r>
    </w:p>
    <w:p>
      <w:pPr>
        <w:spacing w:line="600" w:lineRule="exact"/>
        <w:ind w:firstLine="800" w:firstLineChars="250"/>
        <w:jc w:val="left"/>
        <w:rPr>
          <w:rFonts w:ascii="仿宋_GB2312" w:hAnsi="宋体" w:eastAsia="仿宋_GB2312"/>
          <w:b/>
          <w:sz w:val="32"/>
          <w:szCs w:val="32"/>
        </w:rPr>
      </w:pPr>
      <w:r>
        <w:rPr>
          <w:rFonts w:hint="eastAsia" w:ascii="黑体" w:hAnsi="黑体" w:eastAsia="黑体" w:cs="宋体"/>
          <w:bCs/>
          <w:color w:val="333333"/>
          <w:sz w:val="32"/>
          <w:szCs w:val="32"/>
          <w:lang w:bidi="ar"/>
        </w:rPr>
        <w:t xml:space="preserve"> </w:t>
      </w:r>
      <w:r>
        <w:rPr>
          <w:rFonts w:hint="eastAsia" w:ascii="仿宋_GB2312" w:hAnsi="宋体" w:eastAsia="仿宋_GB2312"/>
          <w:bCs/>
          <w:sz w:val="32"/>
          <w:szCs w:val="32"/>
        </w:rPr>
        <w:t>（一）预算执行情况分析</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2024年园林科学研究所单位总支出84.32万元，预算执行率100%，其中培训支出0.75万元，科技成果转化与扩散1.5万元，事业单位离退休3.28万元，机关事业单位基本养老保险缴费支出8.22万元，事业单位医疗4.25万元，其他城乡社区管理事务支出59.63万元,住房公积金6.68万元。</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1.基本支出使用情况</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2024年，园林科学研究所单位基本支出82.82万元，占总支出的98.22％，其中：教育支出支出0.75万元，社会保障和就业支出11.51万元，卫生健康支出4.25万元，城乡社区支出59.63万元，住房保障支出6.68万元。</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2.项目支出使用情况</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2024年，园林科学研究所单位项目支出1.5万元，占总支出的1.78％。其中：科技成果转化与扩散1.5万元。</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（二）部门单位整体支出绩效指标完成情况分析</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年初我单位设置部门整体绩效目标中包括一级指标1个二级指标1个，三级指标4个，指标完成情况分析如下：</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1.运行成本：无</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2.管理效率：无</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3.履职效能</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（1）数量指标</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指标1： 引进新品种数量 ，指标值：＞=2项  ，年中监控完成值：2项，自评完成值： 2项 ，指标完成率 100 %,偏差0%，指标成效分析：通过完成引进新品种工作，有效改善生态环境，部分新品种可能在固碳释氧，净化空气，保持水土等方面有更好的表现，达到提高园林景观的观赏性和多样性，打造更丰富美观的园林景观效果。</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指标2：转化绿化苗木数量 ，指标值：＞=1项  ，年中监控完成值：1项，自评完成值：1项，指标完成率 100%，偏差0%，指标成效分析:通过完成转化绿化苗木数量工作，提升苗木培育技术的推广应用效率，将科研成果转化为实际生产能力，达到加快城乡绿化建设进度，助力生态环境改善和景观提升的效果。</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指标2：生产苗木数量，指标值：＞=20万株 ，年中监控完成值：100%，自评完成值：20万株 ，指标完成率 100%偏差0%，指标成效分析：通过完成生产苗木数量工作，提升苗木市场供应能力，扩大苗木产出量，满足城市绿化、道路景观、生态修复等工程对苗木数量的需求，缓解供需矛盾，达到加速生态绿化建设进程：为城乡绿化、荒山造林等项目提供充足苗木，助力提升绿化覆盖率，改善区域生态环境的效果。</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指标2：技术培训次数 ，指标值：＞=5场次 ，年中监控完成值：5场次，自评完成值： 5场次，指标完成率100 %，偏差0%，指标成效分析：通过完成技术培训工作，提升技术推广普及度，将科研成果（如新型育苗技术、植物养护方法）转化为培训内容，加速技术在行业内的传播与应用，达到形成产学研联动效应，培训过程中收集从业者需求，反哺科研方向调整，实现“研发-培训-应用”的闭环，提升园林科研的实用性的效果。</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4.社会效益：无</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5.可持续发展能力：无</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6.服务对象满意度：无</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评价结论：</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2024年度部门整体支出绩效评价综合得分100分，评价结果为“优”。</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存在的主要问题及原因分析：</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由于工作安排原因，开展科技特派员项目工作时间不充分，一定程度上影响项目中对时效要求较高的工作的开展；对先进前沿专业技术研究不够，对行业发展现状和实际需求针对研究不够。</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改进措施和建议：</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后期要合理利用优化安排时间，协调好矛盾冲突，抓紧重点业务把工作做扎实；主动追踪前沿科技发展、加强交流，提升专业素养水平和能力，聚焦生产应用中有重大影响的问题难点，积极开展研究着力解决实际问题；在学习开展上要更加积极主动，把学习成果转化为服务群众和开展事业的动力和实际行动。</w:t>
      </w:r>
    </w:p>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_GBK">
    <w:altName w:val="微软雅黑"/>
    <w:panose1 w:val="00000000000000000000"/>
    <w:charset w:val="86"/>
    <w:family w:val="script"/>
    <w:pitch w:val="default"/>
    <w:sig w:usb0="00000000" w:usb1="00000000" w:usb2="00000000" w:usb3="00000000" w:csb0="00040000" w:csb1="00000000"/>
  </w:font>
  <w:font w:name="华文中宋">
    <w:altName w:val="宋体"/>
    <w:panose1 w:val="02010600040101010101"/>
    <w:charset w:val="86"/>
    <w:family w:val="auto"/>
    <w:pitch w:val="default"/>
    <w:sig w:usb0="00000000" w:usb1="00000000" w:usb2="00000000" w:usb3="00000000" w:csb0="0004009F" w:csb1="DFD7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9703BB8"/>
    <w:multiLevelType w:val="multilevel"/>
    <w:tmpl w:val="69703BB8"/>
    <w:lvl w:ilvl="0" w:tentative="0">
      <w:start w:val="1"/>
      <w:numFmt w:val="japaneseCounting"/>
      <w:lvlText w:val="%1、"/>
      <w:lvlJc w:val="left"/>
      <w:pPr>
        <w:ind w:left="1368" w:hanging="720"/>
      </w:pPr>
      <w:rPr>
        <w:rFonts w:hint="default"/>
      </w:rPr>
    </w:lvl>
    <w:lvl w:ilvl="1" w:tentative="0">
      <w:start w:val="1"/>
      <w:numFmt w:val="lowerLetter"/>
      <w:lvlText w:val="%2)"/>
      <w:lvlJc w:val="left"/>
      <w:pPr>
        <w:ind w:left="1488" w:hanging="420"/>
      </w:pPr>
    </w:lvl>
    <w:lvl w:ilvl="2" w:tentative="0">
      <w:start w:val="1"/>
      <w:numFmt w:val="lowerRoman"/>
      <w:lvlText w:val="%3."/>
      <w:lvlJc w:val="right"/>
      <w:pPr>
        <w:ind w:left="1908" w:hanging="420"/>
      </w:pPr>
    </w:lvl>
    <w:lvl w:ilvl="3" w:tentative="0">
      <w:start w:val="1"/>
      <w:numFmt w:val="decimal"/>
      <w:lvlText w:val="%4."/>
      <w:lvlJc w:val="left"/>
      <w:pPr>
        <w:ind w:left="2328" w:hanging="420"/>
      </w:pPr>
    </w:lvl>
    <w:lvl w:ilvl="4" w:tentative="0">
      <w:start w:val="1"/>
      <w:numFmt w:val="lowerLetter"/>
      <w:lvlText w:val="%5)"/>
      <w:lvlJc w:val="left"/>
      <w:pPr>
        <w:ind w:left="2748" w:hanging="420"/>
      </w:pPr>
    </w:lvl>
    <w:lvl w:ilvl="5" w:tentative="0">
      <w:start w:val="1"/>
      <w:numFmt w:val="lowerRoman"/>
      <w:lvlText w:val="%6."/>
      <w:lvlJc w:val="right"/>
      <w:pPr>
        <w:ind w:left="3168" w:hanging="420"/>
      </w:pPr>
    </w:lvl>
    <w:lvl w:ilvl="6" w:tentative="0">
      <w:start w:val="1"/>
      <w:numFmt w:val="decimal"/>
      <w:lvlText w:val="%7."/>
      <w:lvlJc w:val="left"/>
      <w:pPr>
        <w:ind w:left="3588" w:hanging="420"/>
      </w:pPr>
    </w:lvl>
    <w:lvl w:ilvl="7" w:tentative="0">
      <w:start w:val="1"/>
      <w:numFmt w:val="lowerLetter"/>
      <w:lvlText w:val="%8)"/>
      <w:lvlJc w:val="left"/>
      <w:pPr>
        <w:ind w:left="4008" w:hanging="420"/>
      </w:pPr>
    </w:lvl>
    <w:lvl w:ilvl="8" w:tentative="0">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DAwZmYzMDUwNzhmYmVmMzNlY2I1MjAwNzI2NzY5MDUifQ=="/>
  </w:docVars>
  <w:rsids>
    <w:rsidRoot w:val="00EB3604"/>
    <w:rsid w:val="00021B05"/>
    <w:rsid w:val="000B791B"/>
    <w:rsid w:val="001C7F2C"/>
    <w:rsid w:val="00340E58"/>
    <w:rsid w:val="003E45AA"/>
    <w:rsid w:val="00486CD9"/>
    <w:rsid w:val="00584481"/>
    <w:rsid w:val="00653C1A"/>
    <w:rsid w:val="0072543F"/>
    <w:rsid w:val="007A5D83"/>
    <w:rsid w:val="007A798C"/>
    <w:rsid w:val="007B51CE"/>
    <w:rsid w:val="007D7702"/>
    <w:rsid w:val="007E47F4"/>
    <w:rsid w:val="007F0F7C"/>
    <w:rsid w:val="00892E0B"/>
    <w:rsid w:val="008F0DCE"/>
    <w:rsid w:val="00916058"/>
    <w:rsid w:val="00AB72C1"/>
    <w:rsid w:val="00C10BB4"/>
    <w:rsid w:val="00CE0C6C"/>
    <w:rsid w:val="00DB647F"/>
    <w:rsid w:val="00DC7E33"/>
    <w:rsid w:val="00E40ABD"/>
    <w:rsid w:val="00E8616A"/>
    <w:rsid w:val="00EB3604"/>
    <w:rsid w:val="020B07BA"/>
    <w:rsid w:val="02656D15"/>
    <w:rsid w:val="06696209"/>
    <w:rsid w:val="0D1922F1"/>
    <w:rsid w:val="10DF6E84"/>
    <w:rsid w:val="1438599A"/>
    <w:rsid w:val="200F4073"/>
    <w:rsid w:val="24B86128"/>
    <w:rsid w:val="51C70EA9"/>
    <w:rsid w:val="54F842B6"/>
    <w:rsid w:val="627376FA"/>
    <w:rsid w:val="64F5745B"/>
    <w:rsid w:val="656071F2"/>
    <w:rsid w:val="6BF1756B"/>
    <w:rsid w:val="6F5E1AA3"/>
    <w:rsid w:val="7F200B83"/>
    <w:rsid w:val="7F5D58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Strong"/>
    <w:basedOn w:val="5"/>
    <w:qFormat/>
    <w:uiPriority w:val="0"/>
    <w:rPr>
      <w:b/>
      <w:bCs/>
    </w:rPr>
  </w:style>
  <w:style w:type="character" w:customStyle="1" w:styleId="7">
    <w:name w:val="页眉 字符"/>
    <w:basedOn w:val="5"/>
    <w:link w:val="3"/>
    <w:qFormat/>
    <w:uiPriority w:val="99"/>
    <w:rPr>
      <w:sz w:val="18"/>
      <w:szCs w:val="18"/>
    </w:rPr>
  </w:style>
  <w:style w:type="character" w:customStyle="1" w:styleId="8">
    <w:name w:val="页脚 字符"/>
    <w:basedOn w:val="5"/>
    <w:link w:val="2"/>
    <w:qFormat/>
    <w:uiPriority w:val="99"/>
    <w:rPr>
      <w:sz w:val="18"/>
      <w:szCs w:val="18"/>
    </w:rPr>
  </w:style>
  <w:style w:type="paragraph" w:styleId="9">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57</Words>
  <Characters>328</Characters>
  <Lines>2</Lines>
  <Paragraphs>1</Paragraphs>
  <TotalTime>8</TotalTime>
  <ScaleCrop>false</ScaleCrop>
  <LinksUpToDate>false</LinksUpToDate>
  <CharactersWithSpaces>384</CharactersWithSpaces>
  <Application>WPS Office_11.8.2.10321_F1E327BC-269C-435d-A152-05C5408002CA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2020-06-04T05:22:00Z</dcterms:created>
  <dc:creator>hongbing liu</dc:creator>
  <cp:lastModifiedBy>ylzx-00</cp:lastModifiedBy>
  <dcterms:modified xsi:type="dcterms:W3CDTF">2025-08-14T03:54:44Z</dcterms:modified>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2052-11.8.2.10321</vt:lpwstr>
  </property>
  <property fmtid="{D5CDD505-2E9C-101B-9397-08002B2CF9AE}" pid="3" name="ICV">
    <vt:lpwstr>4E2A216151A24EE5A190066F518526B7</vt:lpwstr>
  </property>
</Properties>
</file>