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highlight w:val="none"/>
        </w:rPr>
      </w:pPr>
    </w:p>
    <w:p>
      <w:pPr>
        <w:widowControl/>
        <w:spacing w:before="0" w:beforeLines="0" w:beforeAutospacing="0" w:after="0" w:afterLines="0" w:afterAutospacing="0" w:line="240" w:lineRule="auto"/>
        <w:jc w:val="left"/>
        <w:rPr>
          <w:rFonts w:ascii="宋体" w:eastAsia="宋体"/>
          <w:sz w:val="44"/>
          <w:szCs w:val="44"/>
          <w:highlight w:val="none"/>
        </w:rPr>
      </w:pPr>
    </w:p>
    <w:p>
      <w:pPr>
        <w:widowControl/>
        <w:spacing w:before="0" w:beforeLines="0" w:beforeAutospacing="0" w:after="0" w:afterLines="0" w:afterAutospacing="0" w:line="240" w:lineRule="auto"/>
        <w:jc w:val="left"/>
        <w:rPr>
          <w:rFonts w:ascii="宋体" w:eastAsia="宋体"/>
          <w:sz w:val="44"/>
          <w:szCs w:val="44"/>
          <w:highlight w:val="none"/>
        </w:rPr>
      </w:pPr>
    </w:p>
    <w:p>
      <w:pPr>
        <w:widowControl/>
        <w:spacing w:before="0" w:beforeLines="0" w:beforeAutospacing="0" w:after="0" w:afterLines="0" w:afterAutospacing="0" w:line="240" w:lineRule="auto"/>
        <w:jc w:val="left"/>
        <w:rPr>
          <w:rFonts w:ascii="宋体" w:eastAsia="宋体"/>
          <w:sz w:val="44"/>
          <w:szCs w:val="44"/>
          <w:highlight w:val="none"/>
        </w:rPr>
      </w:pPr>
    </w:p>
    <w:p>
      <w:pPr>
        <w:widowControl/>
        <w:spacing w:before="0" w:beforeLines="0" w:beforeAutospacing="0" w:after="0" w:afterLines="0" w:afterAutospacing="0" w:line="240" w:lineRule="auto"/>
        <w:jc w:val="center"/>
        <w:outlineLvl w:val="0"/>
        <w:rPr>
          <w:rFonts w:ascii="宋体" w:eastAsia="黑体"/>
          <w:sz w:val="44"/>
          <w:szCs w:val="44"/>
          <w:highlight w:val="none"/>
        </w:rPr>
      </w:pPr>
      <w:r>
        <w:rPr>
          <w:rFonts w:ascii="宋体" w:eastAsia="黑体"/>
          <w:b w:val="0"/>
          <w:sz w:val="44"/>
          <w:szCs w:val="44"/>
          <w:highlight w:val="none"/>
        </w:rPr>
        <w:t>库尔勒市城市管理综合执法局</w:t>
      </w:r>
    </w:p>
    <w:p>
      <w:pPr>
        <w:widowControl/>
        <w:spacing w:before="0" w:beforeLines="0" w:beforeAutospacing="0" w:after="0" w:afterLines="0" w:afterAutospacing="0" w:line="240" w:lineRule="auto"/>
        <w:jc w:val="center"/>
        <w:outlineLvl w:val="0"/>
        <w:rPr>
          <w:rFonts w:ascii="黑体" w:eastAsia="黑体"/>
          <w:sz w:val="44"/>
          <w:szCs w:val="44"/>
          <w:highlight w:val="none"/>
        </w:rPr>
      </w:pPr>
      <w:r>
        <w:rPr>
          <w:rFonts w:ascii="黑体" w:eastAsia="黑体"/>
          <w:b w:val="0"/>
          <w:sz w:val="44"/>
          <w:szCs w:val="44"/>
          <w:highlight w:val="none"/>
        </w:rPr>
        <w:t>2024年度部门决算公开说明</w:t>
      </w:r>
    </w:p>
    <w:p>
      <w:pPr>
        <w:widowControl/>
        <w:rPr>
          <w:highlight w:val="none"/>
        </w:rPr>
      </w:pPr>
      <w:r>
        <w:rPr>
          <w:b w:val="0"/>
          <w:sz w:val="0"/>
          <w:szCs w:val="0"/>
          <w:highlight w:val="none"/>
        </w:rPr>
        <w:br w:type="page"/>
      </w:r>
    </w:p>
    <w:p>
      <w:pPr>
        <w:widowControl/>
        <w:spacing w:before="0" w:beforeLines="0" w:beforeAutospacing="0" w:after="0" w:afterLines="0" w:afterAutospacing="0" w:line="240" w:lineRule="auto"/>
        <w:jc w:val="center"/>
        <w:rPr>
          <w:rFonts w:ascii="黑体" w:eastAsia="黑体"/>
          <w:sz w:val="32"/>
          <w:szCs w:val="32"/>
          <w:highlight w:val="none"/>
        </w:rPr>
      </w:pPr>
      <w:r>
        <w:rPr>
          <w:rFonts w:ascii="黑体" w:eastAsia="黑体"/>
          <w:b/>
          <w:sz w:val="32"/>
          <w:szCs w:val="32"/>
          <w:highlight w:val="none"/>
        </w:rPr>
        <w:t>目录</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sz w:val="32"/>
          <w:szCs w:val="32"/>
          <w:highlight w:val="none"/>
        </w:rPr>
        <w:t>第一部分单位概况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一、主要职能</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二、机构设置及人员情况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sz w:val="32"/>
          <w:szCs w:val="32"/>
          <w:highlight w:val="none"/>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二、收入决算情况说明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三、支出决算情况说明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（二）政府采购情况</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十二、其他需说明的事项</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sz w:val="32"/>
          <w:szCs w:val="32"/>
          <w:highlight w:val="none"/>
        </w:rPr>
        <w:t>第三部分专业名词解释</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sz w:val="32"/>
          <w:szCs w:val="32"/>
          <w:highlight w:val="none"/>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一、《收入支出决算总表》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二、《收入决算表》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三、《支出决算表》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highlight w:val="none"/>
        </w:rPr>
      </w:pPr>
      <w:r>
        <w:rPr>
          <w:rFonts w:ascii="仿宋_GB2312" w:eastAsia="仿宋_GB2312"/>
          <w:b w:val="0"/>
          <w:sz w:val="32"/>
          <w:szCs w:val="32"/>
          <w:highlight w:val="none"/>
        </w:rPr>
        <w:t>九、《财政拨款“三公”经费支出决算表》</w:t>
      </w:r>
    </w:p>
    <w:p>
      <w:pPr>
        <w:widowControl/>
        <w:rPr>
          <w:highlight w:val="none"/>
        </w:rPr>
      </w:pPr>
      <w:r>
        <w:rPr>
          <w:b w:val="0"/>
          <w:sz w:val="0"/>
          <w:szCs w:val="0"/>
          <w:highlight w:val="none"/>
        </w:rPr>
        <w:br w:type="page"/>
      </w:r>
    </w:p>
    <w:p>
      <w:pPr>
        <w:widowControl/>
        <w:spacing w:before="0" w:beforeLines="0" w:beforeAutospacing="0" w:after="0" w:afterLines="0" w:afterAutospacing="0" w:line="240" w:lineRule="auto"/>
        <w:jc w:val="center"/>
        <w:outlineLvl w:val="0"/>
        <w:rPr>
          <w:rFonts w:ascii="黑体" w:eastAsia="黑体"/>
          <w:sz w:val="32"/>
          <w:szCs w:val="32"/>
          <w:highlight w:val="none"/>
        </w:rPr>
      </w:pPr>
      <w:r>
        <w:rPr>
          <w:rFonts w:ascii="黑体" w:eastAsia="黑体"/>
          <w:b w:val="0"/>
          <w:sz w:val="32"/>
          <w:szCs w:val="32"/>
          <w:highlight w:val="none"/>
        </w:rPr>
        <w:t>第一部分单位概况</w:t>
      </w:r>
    </w:p>
    <w:p>
      <w:pPr>
        <w:widowControl/>
        <w:numPr>
          <w:ilvl w:val="0"/>
          <w:numId w:val="1"/>
        </w:numPr>
        <w:spacing w:before="0" w:beforeLines="0" w:beforeAutospacing="0" w:after="0" w:afterLines="0" w:afterAutospacing="0" w:line="240" w:lineRule="auto"/>
        <w:ind w:firstLine="640" w:firstLineChars="200"/>
        <w:jc w:val="left"/>
        <w:outlineLvl w:val="1"/>
        <w:rPr>
          <w:rFonts w:ascii="黑体" w:eastAsia="黑体"/>
          <w:b w:val="0"/>
          <w:sz w:val="32"/>
          <w:szCs w:val="32"/>
          <w:highlight w:val="none"/>
        </w:rPr>
      </w:pPr>
      <w:r>
        <w:rPr>
          <w:rFonts w:ascii="黑体" w:eastAsia="黑体"/>
          <w:b w:val="0"/>
          <w:sz w:val="32"/>
          <w:szCs w:val="32"/>
          <w:highlight w:val="none"/>
        </w:rPr>
        <w:t>主要职能</w:t>
      </w:r>
    </w:p>
    <w:p>
      <w:pPr>
        <w:pStyle w:val="5"/>
        <w:spacing w:line="560" w:lineRule="exact"/>
        <w:ind w:firstLine="560"/>
        <w:rPr>
          <w:rFonts w:hint="eastAsia" w:ascii="仿宋_GB2312" w:eastAsia="仿宋_GB2312" w:hAnsiTheme="minorHAnsi" w:cstheme="minorBidi"/>
          <w:b w:val="0"/>
          <w:sz w:val="32"/>
          <w:szCs w:val="32"/>
          <w:highlight w:val="none"/>
        </w:rPr>
      </w:pPr>
      <w:r>
        <w:rPr>
          <w:rFonts w:hint="eastAsia" w:ascii="仿宋_GB2312" w:eastAsia="仿宋_GB2312" w:hAnsiTheme="minorHAnsi" w:cstheme="minorBidi"/>
          <w:b w:val="0"/>
          <w:sz w:val="32"/>
          <w:szCs w:val="32"/>
          <w:highlight w:val="none"/>
        </w:rPr>
        <w:t>市城市管理综合执法局贯彻落实党中央关于城市管理综合执法工作的方针政策和决策部署，以及自治区、自治州、市党委的工作要求，在履行职责过程中坚持和加强党对城市管理综合执法工作的集中统一领导。主要职能是：</w:t>
      </w:r>
    </w:p>
    <w:p>
      <w:pPr>
        <w:pStyle w:val="5"/>
        <w:spacing w:line="560" w:lineRule="exact"/>
        <w:ind w:firstLine="560"/>
        <w:rPr>
          <w:rFonts w:hint="eastAsia" w:ascii="仿宋_GB2312" w:eastAsia="仿宋_GB2312" w:hAnsiTheme="minorHAnsi" w:cstheme="minorBidi"/>
          <w:b w:val="0"/>
          <w:sz w:val="32"/>
          <w:szCs w:val="32"/>
          <w:highlight w:val="none"/>
        </w:rPr>
      </w:pPr>
      <w:r>
        <w:rPr>
          <w:rFonts w:hint="eastAsia" w:ascii="仿宋_GB2312" w:eastAsia="仿宋_GB2312" w:hAnsiTheme="minorHAnsi" w:cstheme="minorBidi"/>
          <w:b w:val="0"/>
          <w:sz w:val="32"/>
          <w:szCs w:val="32"/>
          <w:highlight w:val="none"/>
        </w:rPr>
        <w:t>（一）贯彻实施国家、自治区、自治州及本市有关城市管理方面的法律法规及规章规定，治理和维护城市管理秩序。</w:t>
      </w:r>
    </w:p>
    <w:p>
      <w:pPr>
        <w:pStyle w:val="5"/>
        <w:spacing w:line="560" w:lineRule="exact"/>
        <w:ind w:firstLine="560"/>
        <w:rPr>
          <w:rFonts w:hint="eastAsia" w:ascii="仿宋_GB2312" w:eastAsia="仿宋_GB2312" w:hAnsiTheme="minorHAnsi" w:cstheme="minorBidi"/>
          <w:b w:val="0"/>
          <w:sz w:val="32"/>
          <w:szCs w:val="32"/>
          <w:highlight w:val="none"/>
        </w:rPr>
      </w:pPr>
      <w:r>
        <w:rPr>
          <w:rFonts w:hint="eastAsia" w:ascii="仿宋_GB2312" w:eastAsia="仿宋_GB2312" w:hAnsiTheme="minorHAnsi" w:cstheme="minorBidi"/>
          <w:b w:val="0"/>
          <w:sz w:val="32"/>
          <w:szCs w:val="32"/>
          <w:highlight w:val="none"/>
        </w:rPr>
        <w:t>（二）组织起草本市有关城市管理综合行政执法方面的地方性法规、规章草案，研究提出完善本市城市管理综合行政执法体制的意见和措施。</w:t>
      </w:r>
    </w:p>
    <w:p>
      <w:pPr>
        <w:pStyle w:val="5"/>
        <w:spacing w:line="560" w:lineRule="exact"/>
        <w:ind w:firstLine="560"/>
        <w:rPr>
          <w:rFonts w:hint="eastAsia" w:ascii="仿宋_GB2312" w:eastAsia="仿宋_GB2312" w:hAnsiTheme="minorHAnsi" w:cstheme="minorBidi"/>
          <w:b w:val="0"/>
          <w:sz w:val="32"/>
          <w:szCs w:val="32"/>
          <w:highlight w:val="none"/>
        </w:rPr>
      </w:pPr>
      <w:r>
        <w:rPr>
          <w:rFonts w:hint="eastAsia" w:ascii="仿宋_GB2312" w:eastAsia="仿宋_GB2312" w:hAnsiTheme="minorHAnsi" w:cstheme="minorBidi"/>
          <w:b w:val="0"/>
          <w:sz w:val="32"/>
          <w:szCs w:val="32"/>
          <w:highlight w:val="none"/>
        </w:rPr>
        <w:t>（三）协助行政主管部门对市城市管理信息化工作建设，落实综合执法工作的统筹协调和组织调度工作。</w:t>
      </w:r>
    </w:p>
    <w:p>
      <w:pPr>
        <w:pStyle w:val="5"/>
        <w:spacing w:line="560" w:lineRule="exact"/>
        <w:ind w:firstLine="560"/>
        <w:rPr>
          <w:rFonts w:hint="eastAsia" w:ascii="仿宋_GB2312" w:eastAsia="仿宋_GB2312" w:hAnsiTheme="minorHAnsi" w:cstheme="minorBidi"/>
          <w:b w:val="0"/>
          <w:sz w:val="32"/>
          <w:szCs w:val="32"/>
          <w:highlight w:val="none"/>
        </w:rPr>
      </w:pPr>
      <w:r>
        <w:rPr>
          <w:rFonts w:hint="eastAsia" w:ascii="仿宋_GB2312" w:eastAsia="仿宋_GB2312" w:hAnsiTheme="minorHAnsi" w:cstheme="minorBidi"/>
          <w:b w:val="0"/>
          <w:sz w:val="32"/>
          <w:szCs w:val="32"/>
          <w:highlight w:val="none"/>
        </w:rPr>
        <w:t>（四）根据行政主管部门的委托，结合相关法律法规及规章制度，对下列事项中违反法律法规及规章制度的行为实施行政处罚。</w:t>
      </w:r>
    </w:p>
    <w:p>
      <w:pPr>
        <w:pStyle w:val="5"/>
        <w:spacing w:line="560" w:lineRule="exact"/>
        <w:ind w:firstLine="560"/>
        <w:rPr>
          <w:rFonts w:hint="eastAsia" w:ascii="仿宋_GB2312" w:eastAsia="仿宋_GB2312" w:hAnsiTheme="minorHAnsi" w:cstheme="minorBidi"/>
          <w:b w:val="0"/>
          <w:sz w:val="32"/>
          <w:szCs w:val="32"/>
          <w:highlight w:val="none"/>
        </w:rPr>
      </w:pPr>
      <w:r>
        <w:rPr>
          <w:rFonts w:hint="eastAsia" w:ascii="仿宋_GB2312" w:eastAsia="仿宋_GB2312" w:hAnsiTheme="minorHAnsi" w:cstheme="minorBidi"/>
          <w:b w:val="0"/>
          <w:sz w:val="32"/>
          <w:szCs w:val="32"/>
          <w:highlight w:val="none"/>
        </w:rPr>
        <w:t>1、对损坏城市供水、供气、供热、公共交通设施违法、违章行为，危害供气安全的违法行为实施行政处罚；</w:t>
      </w:r>
    </w:p>
    <w:p>
      <w:pPr>
        <w:pStyle w:val="5"/>
        <w:spacing w:line="560" w:lineRule="exact"/>
        <w:ind w:firstLine="560"/>
        <w:rPr>
          <w:rFonts w:hint="eastAsia" w:ascii="仿宋_GB2312" w:eastAsia="仿宋_GB2312" w:hAnsiTheme="minorHAnsi" w:cstheme="minorBidi"/>
          <w:b w:val="0"/>
          <w:sz w:val="32"/>
          <w:szCs w:val="32"/>
          <w:highlight w:val="none"/>
        </w:rPr>
      </w:pPr>
      <w:r>
        <w:rPr>
          <w:rFonts w:hint="eastAsia" w:ascii="仿宋_GB2312" w:eastAsia="仿宋_GB2312" w:hAnsiTheme="minorHAnsi" w:cstheme="minorBidi"/>
          <w:b w:val="0"/>
          <w:sz w:val="32"/>
          <w:szCs w:val="32"/>
          <w:highlight w:val="none"/>
        </w:rPr>
        <w:t>2、对污染城市环境卫生、损坏环境卫生设施、影响市容观瞻等方面的违法、违章行为实施行政处罚；</w:t>
      </w:r>
    </w:p>
    <w:p>
      <w:pPr>
        <w:pStyle w:val="5"/>
        <w:spacing w:line="560" w:lineRule="exact"/>
        <w:ind w:firstLine="560"/>
        <w:rPr>
          <w:rFonts w:hint="eastAsia" w:ascii="仿宋_GB2312" w:eastAsia="仿宋_GB2312" w:hAnsiTheme="minorHAnsi" w:cstheme="minorBidi"/>
          <w:b w:val="0"/>
          <w:sz w:val="32"/>
          <w:szCs w:val="32"/>
          <w:highlight w:val="none"/>
        </w:rPr>
      </w:pPr>
      <w:r>
        <w:rPr>
          <w:rFonts w:hint="eastAsia" w:ascii="仿宋_GB2312" w:eastAsia="仿宋_GB2312" w:hAnsiTheme="minorHAnsi" w:cstheme="minorBidi"/>
          <w:b w:val="0"/>
          <w:sz w:val="32"/>
          <w:szCs w:val="32"/>
          <w:highlight w:val="none"/>
        </w:rPr>
        <w:t>3、对侵占损坏城市绿地、花草树木、园林绿化设施及乱砍树木等方面的违法、违章行为实施行政处罚；</w:t>
      </w:r>
    </w:p>
    <w:p>
      <w:pPr>
        <w:pStyle w:val="5"/>
        <w:spacing w:line="560" w:lineRule="exact"/>
        <w:ind w:firstLine="560"/>
        <w:rPr>
          <w:rFonts w:hint="eastAsia" w:ascii="仿宋_GB2312" w:eastAsia="仿宋_GB2312" w:hAnsiTheme="minorHAnsi" w:cstheme="minorBidi"/>
          <w:b w:val="0"/>
          <w:sz w:val="32"/>
          <w:szCs w:val="32"/>
          <w:highlight w:val="none"/>
        </w:rPr>
      </w:pPr>
      <w:r>
        <w:rPr>
          <w:rFonts w:hint="eastAsia" w:ascii="仿宋_GB2312" w:eastAsia="仿宋_GB2312" w:hAnsiTheme="minorHAnsi" w:cstheme="minorBidi"/>
          <w:b w:val="0"/>
          <w:sz w:val="32"/>
          <w:szCs w:val="32"/>
          <w:highlight w:val="none"/>
        </w:rPr>
        <w:t>4、对占用、挖掘、损坏道路、桥梁、管道、堤坝等方面的违法、违章行为进行实施行政处罚；</w:t>
      </w:r>
    </w:p>
    <w:p>
      <w:pPr>
        <w:pStyle w:val="5"/>
        <w:spacing w:line="560" w:lineRule="exact"/>
        <w:ind w:firstLine="560"/>
        <w:rPr>
          <w:rFonts w:hint="eastAsia" w:ascii="仿宋_GB2312" w:eastAsia="仿宋_GB2312" w:hAnsiTheme="minorHAnsi" w:cstheme="minorBidi"/>
          <w:b w:val="0"/>
          <w:sz w:val="32"/>
          <w:szCs w:val="32"/>
          <w:highlight w:val="none"/>
        </w:rPr>
      </w:pPr>
      <w:r>
        <w:rPr>
          <w:rFonts w:hint="eastAsia" w:ascii="仿宋_GB2312" w:eastAsia="仿宋_GB2312" w:hAnsiTheme="minorHAnsi" w:cstheme="minorBidi"/>
          <w:b w:val="0"/>
          <w:sz w:val="32"/>
          <w:szCs w:val="32"/>
          <w:highlight w:val="none"/>
        </w:rPr>
        <w:t>5、对违反全市物业管理、工程质量监督、人民防空相关法律法规及规章规定的，实施行政处罚；</w:t>
      </w:r>
    </w:p>
    <w:p>
      <w:pPr>
        <w:pStyle w:val="5"/>
        <w:spacing w:line="560" w:lineRule="exact"/>
        <w:ind w:firstLine="560"/>
        <w:rPr>
          <w:rFonts w:hint="eastAsia" w:ascii="仿宋_GB2312" w:eastAsia="仿宋_GB2312" w:hAnsiTheme="minorHAnsi" w:cstheme="minorBidi"/>
          <w:b w:val="0"/>
          <w:sz w:val="32"/>
          <w:szCs w:val="32"/>
          <w:highlight w:val="none"/>
        </w:rPr>
      </w:pPr>
      <w:r>
        <w:rPr>
          <w:rFonts w:hint="eastAsia" w:ascii="仿宋_GB2312" w:eastAsia="仿宋_GB2312" w:hAnsiTheme="minorHAnsi" w:cstheme="minorBidi"/>
          <w:b w:val="0"/>
          <w:sz w:val="32"/>
          <w:szCs w:val="32"/>
          <w:highlight w:val="none"/>
        </w:rPr>
        <w:t>6、对库尔勒市城区范围内违规养犬及流浪犬按职责划分进行管理和行政处罚。</w:t>
      </w:r>
    </w:p>
    <w:p>
      <w:pPr>
        <w:pStyle w:val="5"/>
        <w:spacing w:line="560" w:lineRule="exact"/>
        <w:ind w:firstLine="560"/>
        <w:rPr>
          <w:rFonts w:hint="eastAsia" w:ascii="仿宋_GB2312" w:eastAsia="仿宋_GB2312" w:hAnsiTheme="minorHAnsi" w:cstheme="minorBidi"/>
          <w:b w:val="0"/>
          <w:sz w:val="32"/>
          <w:szCs w:val="32"/>
          <w:highlight w:val="none"/>
        </w:rPr>
      </w:pPr>
      <w:r>
        <w:rPr>
          <w:rFonts w:hint="eastAsia" w:ascii="仿宋_GB2312" w:eastAsia="仿宋_GB2312" w:hAnsiTheme="minorHAnsi" w:cstheme="minorBidi"/>
          <w:b w:val="0"/>
          <w:sz w:val="32"/>
          <w:szCs w:val="32"/>
          <w:highlight w:val="none"/>
        </w:rPr>
        <w:t>7、对库尔勒市城区范围内停车场的管理按职责划分进行管理和行政处罚。</w:t>
      </w:r>
    </w:p>
    <w:p>
      <w:pPr>
        <w:pStyle w:val="5"/>
        <w:spacing w:line="560" w:lineRule="exact"/>
        <w:ind w:firstLine="560"/>
        <w:rPr>
          <w:rFonts w:hint="eastAsia" w:ascii="仿宋_GB2312" w:eastAsia="仿宋_GB2312" w:hAnsiTheme="minorHAnsi" w:cstheme="minorBidi"/>
          <w:b w:val="0"/>
          <w:sz w:val="32"/>
          <w:szCs w:val="32"/>
          <w:highlight w:val="none"/>
        </w:rPr>
      </w:pPr>
      <w:r>
        <w:rPr>
          <w:rFonts w:hint="eastAsia" w:ascii="仿宋_GB2312" w:eastAsia="仿宋_GB2312" w:hAnsiTheme="minorHAnsi" w:cstheme="minorBidi"/>
          <w:b w:val="0"/>
          <w:sz w:val="32"/>
          <w:szCs w:val="32"/>
          <w:highlight w:val="none"/>
        </w:rPr>
        <w:t>（五）指导和监督基层执法队开展执法工作；负责城市管理综合执法中跨区域等重大案件的查处工作。</w:t>
      </w:r>
    </w:p>
    <w:p>
      <w:pPr>
        <w:pStyle w:val="5"/>
        <w:spacing w:line="560" w:lineRule="exact"/>
        <w:ind w:firstLine="560"/>
        <w:rPr>
          <w:rFonts w:hint="eastAsia" w:ascii="仿宋_GB2312" w:eastAsia="仿宋_GB2312" w:hAnsiTheme="minorHAnsi" w:cstheme="minorBidi"/>
          <w:b w:val="0"/>
          <w:sz w:val="32"/>
          <w:szCs w:val="32"/>
          <w:highlight w:val="none"/>
        </w:rPr>
      </w:pPr>
      <w:r>
        <w:rPr>
          <w:rFonts w:hint="eastAsia" w:ascii="仿宋_GB2312" w:eastAsia="仿宋_GB2312" w:hAnsiTheme="minorHAnsi" w:cstheme="minorBidi"/>
          <w:b w:val="0"/>
          <w:sz w:val="32"/>
          <w:szCs w:val="32"/>
          <w:highlight w:val="none"/>
        </w:rPr>
        <w:t>（六）负责本市城市管理综合执法队伍的监督和考核工作。</w:t>
      </w:r>
    </w:p>
    <w:p>
      <w:pPr>
        <w:pStyle w:val="5"/>
        <w:spacing w:line="560" w:lineRule="exact"/>
        <w:ind w:firstLine="560"/>
        <w:rPr>
          <w:rFonts w:hint="eastAsia" w:ascii="仿宋_GB2312" w:eastAsia="仿宋_GB2312" w:hAnsiTheme="minorHAnsi" w:cstheme="minorBidi"/>
          <w:b w:val="0"/>
          <w:sz w:val="32"/>
          <w:szCs w:val="32"/>
          <w:highlight w:val="none"/>
        </w:rPr>
      </w:pPr>
      <w:r>
        <w:rPr>
          <w:rFonts w:hint="eastAsia" w:ascii="仿宋_GB2312" w:eastAsia="仿宋_GB2312" w:hAnsiTheme="minorHAnsi" w:cstheme="minorBidi"/>
          <w:b w:val="0"/>
          <w:sz w:val="32"/>
          <w:szCs w:val="32"/>
          <w:highlight w:val="none"/>
        </w:rPr>
        <w:t>（七)负责本市城市管理综合执法系统的组织建设、作风建设、队伍建设以及廉政勤政建设工作。</w:t>
      </w:r>
    </w:p>
    <w:p>
      <w:pPr>
        <w:pStyle w:val="5"/>
        <w:spacing w:line="560" w:lineRule="exact"/>
        <w:ind w:firstLine="560"/>
        <w:rPr>
          <w:rFonts w:ascii="仿宋_GB2312" w:eastAsia="仿宋_GB2312" w:hAnsiTheme="minorHAnsi" w:cstheme="minorBidi"/>
          <w:b w:val="0"/>
          <w:sz w:val="32"/>
          <w:szCs w:val="32"/>
          <w:highlight w:val="none"/>
        </w:rPr>
      </w:pPr>
      <w:r>
        <w:rPr>
          <w:rFonts w:hint="eastAsia" w:ascii="仿宋_GB2312" w:eastAsia="仿宋_GB2312" w:hAnsiTheme="minorHAnsi" w:cstheme="minorBidi"/>
          <w:b w:val="0"/>
          <w:sz w:val="32"/>
          <w:szCs w:val="32"/>
          <w:highlight w:val="none"/>
        </w:rPr>
        <w:t>（八）完成市党委、市人民政府交办的其它任务。</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二、机构设置及人员情况</w:t>
      </w:r>
    </w:p>
    <w:p>
      <w:pPr>
        <w:pStyle w:val="5"/>
        <w:spacing w:line="560" w:lineRule="exact"/>
        <w:ind w:firstLine="560"/>
        <w:rPr>
          <w:rFonts w:hint="eastAsia" w:ascii="仿宋_GB2312" w:eastAsia="仿宋_GB2312" w:hAnsiTheme="minorHAnsi" w:cstheme="minorBidi"/>
          <w:b w:val="0"/>
          <w:sz w:val="32"/>
          <w:szCs w:val="32"/>
          <w:highlight w:val="none"/>
        </w:rPr>
      </w:pPr>
      <w:r>
        <w:rPr>
          <w:rFonts w:hint="eastAsia" w:ascii="仿宋_GB2312" w:eastAsia="仿宋_GB2312" w:hAnsiTheme="minorHAnsi" w:cstheme="minorBidi"/>
          <w:b w:val="0"/>
          <w:sz w:val="32"/>
          <w:szCs w:val="32"/>
          <w:highlight w:val="none"/>
        </w:rPr>
        <w:t>库尔勒市城市管理综合执法局2024年度，实有人数161人，其中：在职人员140人，增加17人；离休人员0人，较上年无变化；退休人员21人，增加8人。</w:t>
      </w:r>
    </w:p>
    <w:p>
      <w:pPr>
        <w:pStyle w:val="5"/>
        <w:spacing w:line="560" w:lineRule="exact"/>
        <w:ind w:firstLine="560"/>
        <w:rPr>
          <w:rFonts w:hint="eastAsia" w:ascii="仿宋_GB2312" w:eastAsia="仿宋_GB2312" w:hAnsiTheme="minorHAnsi" w:cstheme="minorBidi"/>
          <w:b w:val="0"/>
          <w:sz w:val="32"/>
          <w:szCs w:val="32"/>
          <w:highlight w:val="none"/>
          <w:lang w:val="en-US" w:eastAsia="zh-CN"/>
        </w:rPr>
      </w:pPr>
      <w:r>
        <w:rPr>
          <w:rFonts w:hint="eastAsia" w:ascii="仿宋_GB2312" w:eastAsia="仿宋_GB2312" w:hAnsiTheme="minorHAnsi" w:cstheme="minorBidi"/>
          <w:b w:val="0"/>
          <w:sz w:val="32"/>
          <w:szCs w:val="32"/>
          <w:highlight w:val="none"/>
        </w:rPr>
        <w:t>库尔勒市城市管理综合执法局无下属预算单位，</w:t>
      </w:r>
      <w:r>
        <w:rPr>
          <w:rFonts w:hint="eastAsia" w:ascii="仿宋_GB2312" w:eastAsia="仿宋_GB2312" w:hAnsiTheme="minorHAnsi" w:cstheme="minorBidi"/>
          <w:b w:val="0"/>
          <w:sz w:val="32"/>
          <w:szCs w:val="32"/>
          <w:highlight w:val="none"/>
          <w:lang w:val="en-US" w:eastAsia="zh-CN"/>
        </w:rPr>
        <w:t>下设5个处室和20个网格执法队，分别是：办公室（党建办公室）、政策法规室、数字城管室（指挥中心）、综合管理室、信访监察室。团结执法队、楼兰执法队、建设执法队、友好执法队、梨香执法队、康都执法队、希望执法队、朝阳执法队、天山执法队、萨依巴格执法队、永安执法队、新城执法队、丝路执法队、迎宾执法队、铁克其乡执法队、恰尔巴格乡执法队、铁克其执法队、兰干乡执法队、英下执法队、英下乡执法队。</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p>
    <w:p>
      <w:pPr>
        <w:widowControl/>
        <w:rPr>
          <w:highlight w:val="none"/>
        </w:rPr>
      </w:pPr>
      <w:r>
        <w:rPr>
          <w:b w:val="0"/>
          <w:sz w:val="0"/>
          <w:szCs w:val="0"/>
          <w:highlight w:val="none"/>
        </w:rPr>
        <w:br w:type="page"/>
      </w:r>
    </w:p>
    <w:p>
      <w:pPr>
        <w:widowControl/>
        <w:spacing w:before="0" w:beforeLines="0" w:beforeAutospacing="0" w:after="0" w:afterLines="0" w:afterAutospacing="0" w:line="240" w:lineRule="auto"/>
        <w:jc w:val="center"/>
        <w:outlineLvl w:val="0"/>
        <w:rPr>
          <w:rFonts w:ascii="黑体" w:eastAsia="黑体"/>
          <w:sz w:val="32"/>
          <w:szCs w:val="32"/>
          <w:highlight w:val="none"/>
        </w:rPr>
      </w:pPr>
      <w:r>
        <w:rPr>
          <w:rFonts w:ascii="黑体" w:eastAsia="黑体"/>
          <w:b w:val="0"/>
          <w:sz w:val="32"/>
          <w:szCs w:val="32"/>
          <w:highlight w:val="none"/>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2024年度收入总计2,234.92万元，其中：本年收入合计2,234.92万元，使用非财政拨款结余（含专用结余）0.00万元，年初结转和结余0.00万元。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2024年度支出总计2,234.92万元，其中：本年支出合计2,234.92万元，结余分配0.00万元，年末结转和结余0.00万元。</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highlight w:val="none"/>
          <w:lang w:eastAsia="zh-CN"/>
        </w:rPr>
      </w:pPr>
      <w:r>
        <w:rPr>
          <w:rFonts w:ascii="仿宋_GB2312" w:eastAsia="仿宋_GB2312"/>
          <w:b w:val="0"/>
          <w:sz w:val="32"/>
          <w:szCs w:val="32"/>
          <w:highlight w:val="none"/>
        </w:rPr>
        <w:t>收入支出总体与上年相比，增加363.31万元，增长19.41%，主要原因是：</w:t>
      </w:r>
      <w:r>
        <w:rPr>
          <w:rFonts w:hint="eastAsia" w:ascii="仿宋_GB2312" w:eastAsia="仿宋_GB2312"/>
          <w:b w:val="0"/>
          <w:sz w:val="32"/>
          <w:szCs w:val="32"/>
          <w:highlight w:val="none"/>
          <w:lang w:val="en-US" w:eastAsia="zh-CN"/>
        </w:rPr>
        <w:t>2024年新招录28名公务员工资、社保和公积金的增加。</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本年收入2,234.92万元，其中：财政拨款收入2,234.92万元,占100.00%；上级补助收入0.00万元,占0.00%；事业收入0.00万元，占0.00%；经营收入0.00万元,占0.00%；附属单位上缴收入0.00万元，占0.00%；其他收入0.00万元，占0.00%。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本年支出2,234.92万元，其中：基本支出2,174.92万元，占97.32%；项目支出60.00万元，占2.68%；上缴上级支出0.00万元，占0.00%；经营支出0.00万元，占0.00%；对附属单位补助支出0.00万元，占0.00%。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财政拨款收入总计2,234.92万元，其中：年初财政拨款结转和结余0.00万元，本年财政拨款收入2,234.92万元。财政拨款支出总计2,234.92万元，其中：年末财政拨款结转和结余0.00万元，本年财政拨款支出2,234.92万元。</w:t>
      </w:r>
    </w:p>
    <w:p>
      <w:pPr>
        <w:widowControl/>
        <w:spacing w:before="0" w:beforeLines="0" w:beforeAutospacing="0" w:after="0" w:afterLines="0" w:afterAutospacing="0" w:line="240" w:lineRule="auto"/>
        <w:ind w:firstLine="640" w:firstLineChars="200"/>
        <w:jc w:val="both"/>
        <w:rPr>
          <w:rFonts w:hint="eastAsia" w:ascii="仿宋_GB2312" w:eastAsia="仿宋_GB2312"/>
          <w:b w:val="0"/>
          <w:sz w:val="32"/>
          <w:szCs w:val="32"/>
          <w:highlight w:val="none"/>
          <w:lang w:eastAsia="zh-CN"/>
        </w:rPr>
      </w:pPr>
      <w:r>
        <w:rPr>
          <w:rFonts w:ascii="仿宋_GB2312" w:eastAsia="仿宋_GB2312"/>
          <w:b w:val="0"/>
          <w:sz w:val="32"/>
          <w:szCs w:val="32"/>
          <w:highlight w:val="none"/>
        </w:rPr>
        <w:t>财政拨款收入支出总体与上年相比，增加363.31万元，增长19.41%，主要原因是：</w:t>
      </w:r>
      <w:r>
        <w:rPr>
          <w:rFonts w:hint="eastAsia" w:ascii="仿宋_GB2312" w:eastAsia="仿宋_GB2312"/>
          <w:b w:val="0"/>
          <w:sz w:val="32"/>
          <w:szCs w:val="32"/>
          <w:highlight w:val="none"/>
          <w:lang w:val="en-US" w:eastAsia="zh-CN"/>
        </w:rPr>
        <w:t>2024年新招录28名公务员工资、社保和公积金的增加。</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与年初预算相比，年初预算数2,392.47万元，决算数2,234.92万元，预决算差异率-6.59%，主要原因是：</w:t>
      </w:r>
      <w:r>
        <w:rPr>
          <w:rFonts w:hint="eastAsia" w:ascii="仿宋_GB2312" w:eastAsia="仿宋_GB2312"/>
          <w:b w:val="0"/>
          <w:sz w:val="32"/>
          <w:szCs w:val="32"/>
          <w:highlight w:val="none"/>
          <w:lang w:eastAsia="zh-CN"/>
        </w:rPr>
        <w:t>人员调动、公益岗辞职等导致预算与决算数据有差异</w:t>
      </w:r>
      <w:r>
        <w:rPr>
          <w:rFonts w:ascii="仿宋_GB2312" w:eastAsia="仿宋_GB2312"/>
          <w:b w:val="0"/>
          <w:sz w:val="32"/>
          <w:szCs w:val="32"/>
          <w:highlight w:val="none"/>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highlight w:val="none"/>
        </w:rPr>
      </w:pPr>
      <w:r>
        <w:rPr>
          <w:rFonts w:ascii="仿宋_GB2312" w:eastAsia="仿宋_GB2312"/>
          <w:b/>
          <w:sz w:val="32"/>
          <w:szCs w:val="32"/>
          <w:highlight w:val="none"/>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2024年度一般公共预算财政拨款支出2,174.92万元，占本年支出合计的97.32%。与上年相比，增加343.31万元，增长18.74%，主要原因是：</w:t>
      </w:r>
      <w:r>
        <w:rPr>
          <w:rFonts w:hint="eastAsia" w:ascii="仿宋_GB2312" w:eastAsia="仿宋_GB2312"/>
          <w:b w:val="0"/>
          <w:sz w:val="32"/>
          <w:szCs w:val="32"/>
          <w:highlight w:val="none"/>
          <w:lang w:val="en-US" w:eastAsia="zh-CN"/>
        </w:rPr>
        <w:t>2024年新招录28名公务员工资、社保和公积金的增加</w:t>
      </w:r>
      <w:r>
        <w:rPr>
          <w:rFonts w:ascii="仿宋_GB2312" w:eastAsia="仿宋_GB2312"/>
          <w:b w:val="0"/>
          <w:sz w:val="32"/>
          <w:szCs w:val="32"/>
          <w:highlight w:val="none"/>
        </w:rPr>
        <w:t>。与年初预算相比，年初预算数2,392.47万元，决算数2,174.92万元，预决算差异率-9.09%，主要原因是：</w:t>
      </w:r>
      <w:r>
        <w:rPr>
          <w:rFonts w:hint="eastAsia" w:ascii="仿宋_GB2312" w:eastAsia="仿宋_GB2312"/>
          <w:b w:val="0"/>
          <w:sz w:val="32"/>
          <w:szCs w:val="32"/>
          <w:highlight w:val="none"/>
          <w:lang w:eastAsia="zh-CN"/>
        </w:rPr>
        <w:t>人员调动、公益岗辞职等导致预算与决算数据有差异</w:t>
      </w:r>
      <w:r>
        <w:rPr>
          <w:rFonts w:ascii="仿宋_GB2312" w:eastAsia="仿宋_GB2312"/>
          <w:b w:val="0"/>
          <w:sz w:val="32"/>
          <w:szCs w:val="32"/>
          <w:highlight w:val="none"/>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highlight w:val="none"/>
        </w:rPr>
      </w:pPr>
      <w:r>
        <w:rPr>
          <w:rFonts w:ascii="仿宋_GB2312" w:eastAsia="仿宋_GB2312"/>
          <w:b/>
          <w:sz w:val="32"/>
          <w:szCs w:val="32"/>
          <w:highlight w:val="none"/>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一般公共服务支出（类）1.39万元，占0.06%。</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教育支出（类）1.85万元，占0.09%。</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社会保障和就业支出（类）283.16万元，占13.02%。</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卫生健康支出（类）127.01万元，占5.84%。</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城乡社区支出（类）1,601.13万元，占73.62%。</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住房保障支出（类）160.40万元，占7.37%。</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highlight w:val="none"/>
        </w:rPr>
      </w:pPr>
      <w:r>
        <w:rPr>
          <w:rFonts w:ascii="仿宋_GB2312" w:eastAsia="仿宋_GB2312"/>
          <w:b/>
          <w:sz w:val="32"/>
          <w:szCs w:val="32"/>
          <w:highlight w:val="none"/>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highlight w:val="none"/>
          <w:lang w:eastAsia="zh-CN"/>
        </w:rPr>
      </w:pPr>
      <w:r>
        <w:rPr>
          <w:rFonts w:ascii="仿宋_GB2312" w:eastAsia="仿宋_GB2312"/>
          <w:b w:val="0"/>
          <w:sz w:val="32"/>
          <w:szCs w:val="32"/>
          <w:highlight w:val="none"/>
        </w:rPr>
        <w:t>一般公共服务支出（类）组织事务（款）其他组织事务支出（项）：支出决算数为1.39万元，比上年决算增加1.39万元，增长100.00%，主要原因是：</w:t>
      </w:r>
      <w:r>
        <w:rPr>
          <w:rFonts w:hint="eastAsia" w:ascii="仿宋_GB2312" w:eastAsia="仿宋_GB2312"/>
          <w:b w:val="0"/>
          <w:sz w:val="32"/>
          <w:szCs w:val="32"/>
          <w:highlight w:val="none"/>
          <w:lang w:eastAsia="zh-CN"/>
        </w:rPr>
        <w:t>付访惠聚工作队购买照明灯及身份证识别仪等费用。</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_GB2312" w:eastAsia="仿宋_GB2312"/>
          <w:sz w:val="32"/>
          <w:szCs w:val="32"/>
          <w:highlight w:val="none"/>
        </w:rPr>
      </w:pPr>
      <w:r>
        <w:rPr>
          <w:rFonts w:ascii="仿宋_GB2312" w:eastAsia="仿宋_GB2312"/>
          <w:b w:val="0"/>
          <w:sz w:val="32"/>
          <w:szCs w:val="32"/>
          <w:highlight w:val="none"/>
        </w:rPr>
        <w:t>教育支出（类）进修及培训（款）培训支出（项）：支出决算数为1.85万元，比上年决算减少1.57万元，下降45.91%，主要原因是：</w:t>
      </w:r>
      <w:r>
        <w:rPr>
          <w:rFonts w:hint="eastAsia" w:eastAsia="仿宋_GB2312" w:cs="Times New Roman"/>
          <w:color w:val="auto"/>
          <w:kern w:val="2"/>
          <w:sz w:val="32"/>
          <w:szCs w:val="32"/>
          <w:highlight w:val="none"/>
          <w:lang w:val="en-US" w:eastAsia="zh-CN" w:bidi="ar-SA"/>
        </w:rPr>
        <w:t>我单位2024年</w:t>
      </w:r>
      <w:r>
        <w:rPr>
          <w:rFonts w:hint="eastAsia" w:ascii="仿宋_GB2312" w:hAnsi="仿宋" w:eastAsia="仿宋_GB2312"/>
          <w:color w:val="auto"/>
          <w:sz w:val="32"/>
          <w:szCs w:val="32"/>
          <w:highlight w:val="none"/>
          <w:lang w:val="en-US" w:eastAsia="zh-CN"/>
        </w:rPr>
        <w:t>培训次数减少，导致培训支出减少。</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highlight w:val="none"/>
          <w:lang w:val="en-US" w:eastAsia="zh-CN"/>
        </w:rPr>
      </w:pPr>
      <w:r>
        <w:rPr>
          <w:rFonts w:ascii="仿宋_GB2312" w:eastAsia="仿宋_GB2312"/>
          <w:b w:val="0"/>
          <w:sz w:val="32"/>
          <w:szCs w:val="32"/>
          <w:highlight w:val="none"/>
        </w:rPr>
        <w:t>社会保障和就业支出（类）行政事业单位养老支出（款）行政单位离退休（项）：支出决算数为12.26万元，比上年决算增加4.37万元，增长55.39%，主要原因是：</w:t>
      </w:r>
      <w:r>
        <w:rPr>
          <w:rFonts w:hint="eastAsia" w:ascii="仿宋_GB2312" w:eastAsia="仿宋_GB2312"/>
          <w:b w:val="0"/>
          <w:sz w:val="32"/>
          <w:szCs w:val="32"/>
          <w:highlight w:val="none"/>
          <w:lang w:val="en-US" w:eastAsia="zh-CN"/>
        </w:rPr>
        <w:t>2024年新增8人退休，增加离退休经费支出。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_GB2312" w:eastAsia="仿宋_GB2312"/>
          <w:sz w:val="32"/>
          <w:szCs w:val="32"/>
          <w:highlight w:val="none"/>
        </w:rPr>
      </w:pPr>
      <w:r>
        <w:rPr>
          <w:rFonts w:ascii="仿宋_GB2312" w:eastAsia="仿宋_GB2312"/>
          <w:b w:val="0"/>
          <w:sz w:val="32"/>
          <w:szCs w:val="32"/>
          <w:highlight w:val="none"/>
        </w:rPr>
        <w:t>社会保障和就业支出（类）行政事业单位养老支出（款）机关事业单位基本养老保险缴费支出（项）：支出决算数为208.78万元，比上年决算增加53.45万元，增长34.41%，主要原因是：</w:t>
      </w:r>
      <w:r>
        <w:rPr>
          <w:rFonts w:hint="eastAsia" w:ascii="仿宋_GB2312" w:eastAsia="仿宋_GB2312"/>
          <w:b w:val="0"/>
          <w:sz w:val="32"/>
          <w:szCs w:val="32"/>
          <w:highlight w:val="none"/>
          <w:lang w:val="en-US" w:eastAsia="zh-CN"/>
        </w:rPr>
        <w:t>2024年新招录28名公务员，</w:t>
      </w:r>
      <w:r>
        <w:rPr>
          <w:rFonts w:hint="eastAsia" w:ascii="仿宋_GB2312" w:eastAsia="仿宋_GB2312"/>
          <w:b w:val="0"/>
          <w:bCs w:val="0"/>
          <w:color w:val="auto"/>
          <w:sz w:val="32"/>
          <w:szCs w:val="32"/>
          <w:highlight w:val="none"/>
          <w:lang w:val="en-US" w:eastAsia="zh-CN"/>
        </w:rPr>
        <w:t>增加相应</w:t>
      </w:r>
      <w:r>
        <w:rPr>
          <w:rFonts w:hint="eastAsia" w:ascii="Times New Roman" w:hAnsi="Times New Roman" w:eastAsia="仿宋_GB2312" w:cs="Times New Roman"/>
          <w:color w:val="auto"/>
          <w:kern w:val="2"/>
          <w:sz w:val="32"/>
          <w:szCs w:val="32"/>
          <w:highlight w:val="none"/>
          <w:lang w:val="en-US" w:eastAsia="zh-CN" w:bidi="ar-SA"/>
        </w:rPr>
        <w:t>行政事业单位养老保险</w:t>
      </w:r>
      <w:r>
        <w:rPr>
          <w:rFonts w:hint="eastAsia" w:ascii="仿宋_GB2312" w:eastAsia="仿宋_GB2312"/>
          <w:b w:val="0"/>
          <w:bCs w:val="0"/>
          <w:color w:val="auto"/>
          <w:sz w:val="32"/>
          <w:szCs w:val="32"/>
          <w:highlight w:val="none"/>
          <w:lang w:val="en-US" w:eastAsia="zh-CN"/>
        </w:rPr>
        <w:t>支出。</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社会保障和就业支出（类）行政事业单位养老支出（款）机关事业单位职业年金缴费支出（项）：支出决算数为62.12万元，比上年决算增加50.84万元，增长450.71%，主要原因是：</w:t>
      </w:r>
      <w:r>
        <w:rPr>
          <w:rFonts w:hint="eastAsia" w:ascii="仿宋_GB2312" w:eastAsia="仿宋_GB2312"/>
          <w:b w:val="0"/>
          <w:sz w:val="32"/>
          <w:szCs w:val="32"/>
          <w:highlight w:val="none"/>
          <w:lang w:val="en-US" w:eastAsia="zh-CN"/>
        </w:rPr>
        <w:t>2024年新增8人退休，增加</w:t>
      </w:r>
      <w:r>
        <w:rPr>
          <w:rFonts w:ascii="仿宋_GB2312" w:eastAsia="仿宋_GB2312"/>
          <w:b w:val="0"/>
          <w:sz w:val="32"/>
          <w:szCs w:val="32"/>
          <w:highlight w:val="none"/>
        </w:rPr>
        <w:t>机关事业单位职业年金缴费支出</w:t>
      </w:r>
      <w:r>
        <w:rPr>
          <w:rFonts w:hint="eastAsia" w:ascii="仿宋_GB2312" w:eastAsia="仿宋_GB2312"/>
          <w:b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_GB2312" w:eastAsia="仿宋_GB2312"/>
          <w:sz w:val="32"/>
          <w:szCs w:val="32"/>
          <w:highlight w:val="none"/>
        </w:rPr>
      </w:pPr>
      <w:r>
        <w:rPr>
          <w:rFonts w:ascii="仿宋_GB2312" w:eastAsia="仿宋_GB2312"/>
          <w:b w:val="0"/>
          <w:sz w:val="32"/>
          <w:szCs w:val="32"/>
          <w:highlight w:val="none"/>
        </w:rPr>
        <w:t>卫生健康支出（类）行政事业单位医疗（款）行政单位医疗（项）：支出决算数为95.01万元，比上年决算增加23.49万元，增长32.84%，主要原因是：</w:t>
      </w:r>
      <w:r>
        <w:rPr>
          <w:rFonts w:hint="eastAsia" w:ascii="仿宋_GB2312" w:eastAsia="仿宋_GB2312"/>
          <w:b w:val="0"/>
          <w:sz w:val="32"/>
          <w:szCs w:val="32"/>
          <w:highlight w:val="none"/>
          <w:lang w:val="en-US" w:eastAsia="zh-CN"/>
        </w:rPr>
        <w:t>2024年新招录28名公务员，</w:t>
      </w:r>
      <w:r>
        <w:rPr>
          <w:rFonts w:hint="eastAsia" w:ascii="仿宋_GB2312" w:eastAsia="仿宋_GB2312"/>
          <w:b w:val="0"/>
          <w:bCs w:val="0"/>
          <w:color w:val="auto"/>
          <w:sz w:val="32"/>
          <w:szCs w:val="32"/>
          <w:highlight w:val="none"/>
          <w:lang w:val="en-US" w:eastAsia="zh-CN"/>
        </w:rPr>
        <w:t>增加相应</w:t>
      </w:r>
      <w:r>
        <w:rPr>
          <w:rFonts w:hint="eastAsia" w:ascii="Times New Roman" w:hAnsi="Times New Roman" w:eastAsia="仿宋_GB2312" w:cs="Times New Roman"/>
          <w:color w:val="auto"/>
          <w:kern w:val="2"/>
          <w:sz w:val="32"/>
          <w:szCs w:val="32"/>
          <w:highlight w:val="none"/>
          <w:lang w:val="en-US" w:eastAsia="zh-CN" w:bidi="ar-SA"/>
        </w:rPr>
        <w:t>行政单位医疗保险</w:t>
      </w:r>
      <w:r>
        <w:rPr>
          <w:rFonts w:hint="eastAsia" w:ascii="仿宋_GB2312" w:eastAsia="仿宋_GB2312"/>
          <w:b w:val="0"/>
          <w:bCs w:val="0"/>
          <w:color w:val="auto"/>
          <w:sz w:val="32"/>
          <w:szCs w:val="32"/>
          <w:highlight w:val="none"/>
          <w:lang w:val="en-US" w:eastAsia="zh-CN"/>
        </w:rPr>
        <w:t>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_GB2312" w:eastAsia="仿宋_GB2312"/>
          <w:sz w:val="32"/>
          <w:szCs w:val="32"/>
          <w:highlight w:val="none"/>
        </w:rPr>
      </w:pPr>
      <w:r>
        <w:rPr>
          <w:rFonts w:ascii="仿宋_GB2312" w:eastAsia="仿宋_GB2312"/>
          <w:b w:val="0"/>
          <w:sz w:val="32"/>
          <w:szCs w:val="32"/>
          <w:highlight w:val="none"/>
        </w:rPr>
        <w:t>卫生健康支出（类）行政事业单位医疗（款）公务员医疗补助（项）：支出决算数为32.00万元，比上年决算增加5.94万元，增长22.79%，主要原因是：</w:t>
      </w:r>
      <w:r>
        <w:rPr>
          <w:rFonts w:hint="eastAsia" w:ascii="仿宋_GB2312" w:eastAsia="仿宋_GB2312"/>
          <w:b w:val="0"/>
          <w:sz w:val="32"/>
          <w:szCs w:val="32"/>
          <w:highlight w:val="none"/>
          <w:lang w:val="en-US" w:eastAsia="zh-CN"/>
        </w:rPr>
        <w:t>2024年新招录28名公务员，</w:t>
      </w:r>
      <w:r>
        <w:rPr>
          <w:rFonts w:hint="eastAsia" w:ascii="仿宋_GB2312" w:eastAsia="仿宋_GB2312"/>
          <w:b w:val="0"/>
          <w:bCs w:val="0"/>
          <w:color w:val="auto"/>
          <w:sz w:val="32"/>
          <w:szCs w:val="32"/>
          <w:highlight w:val="none"/>
          <w:lang w:val="en-US" w:eastAsia="zh-CN"/>
        </w:rPr>
        <w:t>增加相应</w:t>
      </w:r>
      <w:r>
        <w:rPr>
          <w:rFonts w:hint="eastAsia" w:ascii="Times New Roman" w:hAnsi="Times New Roman" w:eastAsia="仿宋_GB2312" w:cs="Times New Roman"/>
          <w:color w:val="auto"/>
          <w:kern w:val="2"/>
          <w:sz w:val="32"/>
          <w:szCs w:val="32"/>
          <w:highlight w:val="none"/>
          <w:lang w:val="en-US" w:eastAsia="zh-CN" w:bidi="ar-SA"/>
        </w:rPr>
        <w:t>行政事业单位</w:t>
      </w:r>
      <w:r>
        <w:rPr>
          <w:rFonts w:ascii="仿宋_GB2312" w:eastAsia="仿宋_GB2312"/>
          <w:b w:val="0"/>
          <w:sz w:val="32"/>
          <w:szCs w:val="32"/>
          <w:highlight w:val="none"/>
        </w:rPr>
        <w:t>公务员医疗补助</w:t>
      </w:r>
      <w:r>
        <w:rPr>
          <w:rFonts w:hint="eastAsia" w:ascii="仿宋_GB2312" w:eastAsia="仿宋_GB2312"/>
          <w:b w:val="0"/>
          <w:bCs w:val="0"/>
          <w:color w:val="auto"/>
          <w:sz w:val="32"/>
          <w:szCs w:val="32"/>
          <w:highlight w:val="none"/>
          <w:lang w:val="en-US" w:eastAsia="zh-CN"/>
        </w:rPr>
        <w:t>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eastAsia="仿宋_GB2312"/>
          <w:sz w:val="32"/>
          <w:szCs w:val="32"/>
          <w:highlight w:val="none"/>
          <w:lang w:val="en-US" w:eastAsia="zh-CN"/>
        </w:rPr>
      </w:pPr>
      <w:r>
        <w:rPr>
          <w:rFonts w:ascii="仿宋_GB2312" w:eastAsia="仿宋_GB2312"/>
          <w:b w:val="0"/>
          <w:sz w:val="32"/>
          <w:szCs w:val="32"/>
          <w:highlight w:val="none"/>
        </w:rPr>
        <w:t>城乡社区支出（类）城乡社区管理事务（款）行政运行（项）：支出决算数为1,571.36万元，比上年决算增加194.42万元，增长14.12%，主要原因是：</w:t>
      </w:r>
      <w:r>
        <w:rPr>
          <w:rFonts w:hint="eastAsia" w:ascii="仿宋_GB2312" w:eastAsia="仿宋_GB2312"/>
          <w:b w:val="0"/>
          <w:sz w:val="32"/>
          <w:szCs w:val="32"/>
          <w:highlight w:val="none"/>
          <w:lang w:val="en-US" w:eastAsia="zh-CN"/>
        </w:rPr>
        <w:t>2024年新招录28名公务员，</w:t>
      </w:r>
      <w:r>
        <w:rPr>
          <w:rFonts w:hint="eastAsia" w:ascii="仿宋_GB2312" w:eastAsia="仿宋_GB2312"/>
          <w:b w:val="0"/>
          <w:bCs w:val="0"/>
          <w:color w:val="auto"/>
          <w:sz w:val="32"/>
          <w:szCs w:val="32"/>
          <w:highlight w:val="none"/>
          <w:lang w:val="en-US" w:eastAsia="zh-CN"/>
        </w:rPr>
        <w:t>增加相应</w:t>
      </w:r>
      <w:r>
        <w:rPr>
          <w:rFonts w:hint="eastAsia" w:ascii="Times New Roman" w:hAnsi="Times New Roman" w:eastAsia="仿宋_GB2312" w:cs="Times New Roman"/>
          <w:color w:val="auto"/>
          <w:kern w:val="2"/>
          <w:sz w:val="32"/>
          <w:szCs w:val="32"/>
          <w:highlight w:val="none"/>
          <w:lang w:val="en-US" w:eastAsia="zh-CN" w:bidi="ar-SA"/>
        </w:rPr>
        <w:t>行政运行经费</w:t>
      </w:r>
      <w:r>
        <w:rPr>
          <w:rFonts w:hint="eastAsia" w:ascii="仿宋_GB2312" w:eastAsia="仿宋_GB2312"/>
          <w:b w:val="0"/>
          <w:bCs w:val="0"/>
          <w:color w:val="auto"/>
          <w:sz w:val="32"/>
          <w:szCs w:val="32"/>
          <w:highlight w:val="none"/>
          <w:lang w:val="en-US" w:eastAsia="zh-CN"/>
        </w:rPr>
        <w:t>支出。</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highlight w:val="none"/>
          <w:lang w:val="en-US" w:eastAsia="zh-CN"/>
        </w:rPr>
      </w:pPr>
      <w:r>
        <w:rPr>
          <w:rFonts w:ascii="仿宋_GB2312" w:eastAsia="仿宋_GB2312"/>
          <w:b w:val="0"/>
          <w:sz w:val="32"/>
          <w:szCs w:val="32"/>
          <w:highlight w:val="none"/>
        </w:rPr>
        <w:t>城乡社区支出（类）城乡社区管理事务（款）城管执法（项）：支出决算数为29.77万元，比上年决算减少26.43万元，下降47.03%，主要原因是：</w:t>
      </w:r>
      <w:r>
        <w:rPr>
          <w:rFonts w:hint="eastAsia" w:ascii="仿宋_GB2312" w:eastAsia="仿宋_GB2312"/>
          <w:b w:val="0"/>
          <w:sz w:val="32"/>
          <w:szCs w:val="32"/>
          <w:highlight w:val="none"/>
          <w:lang w:eastAsia="zh-CN"/>
        </w:rPr>
        <w:t>上一年支付了一笔金额较大的新入职人员的制服费用，致使</w:t>
      </w:r>
      <w:r>
        <w:rPr>
          <w:rFonts w:hint="eastAsia" w:ascii="仿宋_GB2312" w:eastAsia="仿宋_GB2312"/>
          <w:b w:val="0"/>
          <w:sz w:val="32"/>
          <w:szCs w:val="32"/>
          <w:highlight w:val="none"/>
          <w:lang w:val="en-US" w:eastAsia="zh-CN"/>
        </w:rPr>
        <w:t>2023年城管执法经费支出高于2024年</w:t>
      </w:r>
      <w:r>
        <w:rPr>
          <w:rFonts w:hint="eastAsia" w:ascii="仿宋_GB2312" w:eastAsia="仿宋_GB2312"/>
          <w:b w:val="0"/>
          <w:sz w:val="32"/>
          <w:szCs w:val="32"/>
          <w:highlight w:val="none"/>
          <w:lang w:eastAsia="zh-CN"/>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住房保障支出（类）住房改革支出（款）住房公积金（项）：支出决算数为160.40万元，比上年决算增加37.44万元，增长30.45%，主要原因是：</w:t>
      </w:r>
      <w:r>
        <w:rPr>
          <w:rFonts w:hint="eastAsia" w:ascii="仿宋_GB2312" w:eastAsia="仿宋_GB2312"/>
          <w:b w:val="0"/>
          <w:sz w:val="32"/>
          <w:szCs w:val="32"/>
          <w:highlight w:val="none"/>
          <w:lang w:val="en-US" w:eastAsia="zh-CN"/>
        </w:rPr>
        <w:t>2024年新招录28名公务员，</w:t>
      </w:r>
      <w:r>
        <w:rPr>
          <w:rFonts w:hint="eastAsia" w:ascii="仿宋_GB2312" w:eastAsia="仿宋_GB2312"/>
          <w:b w:val="0"/>
          <w:bCs w:val="0"/>
          <w:color w:val="auto"/>
          <w:sz w:val="32"/>
          <w:szCs w:val="32"/>
          <w:highlight w:val="none"/>
          <w:lang w:val="en-US" w:eastAsia="zh-CN"/>
        </w:rPr>
        <w:t>增加相应</w:t>
      </w:r>
      <w:r>
        <w:rPr>
          <w:rFonts w:ascii="仿宋_GB2312" w:eastAsia="仿宋_GB2312"/>
          <w:b w:val="0"/>
          <w:sz w:val="32"/>
          <w:szCs w:val="32"/>
          <w:highlight w:val="none"/>
        </w:rPr>
        <w:t>住房公积金</w:t>
      </w:r>
      <w:r>
        <w:rPr>
          <w:rFonts w:hint="eastAsia" w:ascii="仿宋_GB2312" w:eastAsia="仿宋_GB2312"/>
          <w:b w:val="0"/>
          <w:bCs w:val="0"/>
          <w:color w:val="auto"/>
          <w:sz w:val="32"/>
          <w:szCs w:val="32"/>
          <w:highlight w:val="none"/>
          <w:lang w:val="en-US" w:eastAsia="zh-CN"/>
        </w:rPr>
        <w:t>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一般公共预算财政拨款基本支出2,174.92万元，其中：人员经费2,070.06万元，包括：基本工资、津贴补贴、奖金、绩效工资、机关事业单位基本养老保险缴费、职业年金缴费、职工基本医疗保险缴费、公务员医疗补助缴费、其他社会保障缴费、住房公积金、其他工资福利支出、退休费、生活补助和奖励金。</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公用经费104.87万元，包括：办公费、电费、邮电费、取暖费、差旅费、租赁费、培训费、工会经费、福利费和公务用车运行维护费。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2024年度政府性基金预算财政拨款收入总计60.00万元，其中：年初结转和结余0.00万元，本年收入60.00万元。政府性基金预算财政拨款支出总计60.00万元，其中：年末结转和结余0.00万元，本年支出60.00万元。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政府性基金预算财政拨款收入支出总体与上年相比，增加20.00万元，增长50.00%，主要原因是：</w:t>
      </w:r>
      <w:r>
        <w:rPr>
          <w:rFonts w:hint="eastAsia" w:ascii="仿宋_GB2312" w:eastAsia="仿宋_GB2312"/>
          <w:b w:val="0"/>
          <w:sz w:val="32"/>
          <w:szCs w:val="32"/>
          <w:highlight w:val="none"/>
          <w:lang w:val="en-US" w:eastAsia="zh-CN"/>
        </w:rPr>
        <w:t>2024年拨付春节前农民工工资项目60万元，比上年增加20万元</w:t>
      </w:r>
      <w:r>
        <w:rPr>
          <w:rFonts w:ascii="仿宋_GB2312" w:eastAsia="仿宋_GB2312"/>
          <w:b w:val="0"/>
          <w:sz w:val="32"/>
          <w:szCs w:val="32"/>
          <w:highlight w:val="none"/>
        </w:rPr>
        <w:t>。与年初预算相比，年初预算数0.00万元，决算数60.00万元，预决算差异率100%，主要原因是：</w:t>
      </w:r>
      <w:r>
        <w:rPr>
          <w:rFonts w:hint="eastAsia" w:ascii="仿宋_GB2312" w:eastAsia="仿宋_GB2312"/>
          <w:b w:val="0"/>
          <w:sz w:val="32"/>
          <w:szCs w:val="32"/>
          <w:highlight w:val="none"/>
          <w:lang w:val="en-US" w:eastAsia="zh-CN"/>
        </w:rPr>
        <w:t>2024年新增加春节前农民工工资项目，用于支付环保结壳抑尘剂费用</w:t>
      </w:r>
      <w:r>
        <w:rPr>
          <w:rFonts w:ascii="仿宋_GB2312" w:eastAsia="仿宋_GB2312"/>
          <w:b w:val="0"/>
          <w:sz w:val="32"/>
          <w:szCs w:val="32"/>
          <w:highlight w:val="none"/>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政府性基金预算财政拨款支出60.00万元。</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highlight w:val="none"/>
        </w:rPr>
      </w:pPr>
      <w:r>
        <w:rPr>
          <w:rFonts w:ascii="仿宋_GB2312" w:eastAsia="仿宋_GB2312"/>
          <w:b w:val="0"/>
          <w:sz w:val="32"/>
          <w:szCs w:val="32"/>
          <w:highlight w:val="none"/>
        </w:rPr>
        <w:t>城乡社区支出（类）国有土地使用权出让收入安排的支出（款）其他国有土地使用权出让收入安排的支出（项）：支出决算数为60.00万元，比上年决算增加20.00万元，增长50.00%，主要原因是：</w:t>
      </w:r>
      <w:r>
        <w:rPr>
          <w:rFonts w:hint="eastAsia" w:ascii="仿宋_GB2312" w:eastAsia="仿宋_GB2312"/>
          <w:b w:val="0"/>
          <w:sz w:val="32"/>
          <w:szCs w:val="32"/>
          <w:highlight w:val="none"/>
          <w:lang w:val="en-US" w:eastAsia="zh-CN"/>
        </w:rPr>
        <w:t>2024年拨付春节前农民工工资项目60万元，比上年增加20万元</w:t>
      </w:r>
      <w:r>
        <w:rPr>
          <w:rFonts w:ascii="仿宋_GB2312" w:eastAsia="仿宋_GB2312"/>
          <w:b w:val="0"/>
          <w:sz w:val="32"/>
          <w:szCs w:val="32"/>
          <w:highlight w:val="none"/>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九、财政拨款“三公”经费支出决算情况说明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ascii="仿宋_GB2312" w:eastAsia="仿宋_GB2312"/>
          <w:sz w:val="32"/>
          <w:szCs w:val="32"/>
          <w:highlight w:val="none"/>
        </w:rPr>
      </w:pPr>
      <w:r>
        <w:rPr>
          <w:rFonts w:ascii="仿宋_GB2312" w:eastAsia="仿宋_GB2312"/>
          <w:b w:val="0"/>
          <w:sz w:val="32"/>
          <w:szCs w:val="32"/>
          <w:highlight w:val="none"/>
        </w:rPr>
        <w:t>2024年度财政拨款“三公”经费支出16.64万元，比上年增加15.21万元，增长1,063.64%，主要原因是：</w:t>
      </w:r>
      <w:r>
        <w:rPr>
          <w:rFonts w:hint="eastAsia" w:ascii="仿宋_GB2312" w:eastAsia="仿宋_GB2312"/>
          <w:b w:val="0"/>
          <w:sz w:val="32"/>
          <w:szCs w:val="32"/>
          <w:highlight w:val="none"/>
          <w:lang w:eastAsia="zh-CN"/>
        </w:rPr>
        <w:t>我单位</w:t>
      </w:r>
      <w:r>
        <w:rPr>
          <w:rFonts w:hint="eastAsia" w:ascii="仿宋_GB2312" w:eastAsia="仿宋_GB2312"/>
          <w:b w:val="0"/>
          <w:sz w:val="32"/>
          <w:szCs w:val="32"/>
          <w:highlight w:val="none"/>
          <w:lang w:val="en-US" w:eastAsia="zh-CN"/>
        </w:rPr>
        <w:t>2024年公务用车燃油、保险、维修等费用增多</w:t>
      </w:r>
      <w:r>
        <w:rPr>
          <w:rFonts w:ascii="仿宋_GB2312" w:eastAsia="仿宋_GB2312"/>
          <w:b w:val="0"/>
          <w:sz w:val="32"/>
          <w:szCs w:val="32"/>
          <w:highlight w:val="none"/>
        </w:rPr>
        <w:t>。其中：因公出国（境）费支出0.00万元,占0.00%，与上年相比无变化，主要原因是：</w:t>
      </w:r>
      <w:r>
        <w:rPr>
          <w:rFonts w:hint="eastAsia" w:ascii="仿宋_GB2312" w:eastAsia="仿宋_GB2312"/>
          <w:b w:val="0"/>
          <w:sz w:val="32"/>
          <w:szCs w:val="32"/>
          <w:highlight w:val="none"/>
        </w:rPr>
        <w:t>我单位</w:t>
      </w:r>
      <w:r>
        <w:rPr>
          <w:rFonts w:hint="eastAsia" w:ascii="仿宋_GB2312" w:eastAsia="仿宋_GB2312"/>
          <w:b w:val="0"/>
          <w:sz w:val="32"/>
          <w:szCs w:val="32"/>
          <w:highlight w:val="none"/>
          <w:lang w:val="zh-CN" w:eastAsia="zh-CN"/>
        </w:rPr>
        <w:t>202</w:t>
      </w:r>
      <w:r>
        <w:rPr>
          <w:rFonts w:hint="eastAsia" w:ascii="仿宋_GB2312" w:eastAsia="仿宋_GB2312"/>
          <w:b w:val="0"/>
          <w:sz w:val="32"/>
          <w:szCs w:val="32"/>
          <w:highlight w:val="none"/>
          <w:lang w:val="en-US" w:eastAsia="zh-CN"/>
        </w:rPr>
        <w:t>4</w:t>
      </w:r>
      <w:r>
        <w:rPr>
          <w:rFonts w:hint="eastAsia" w:ascii="仿宋_GB2312" w:eastAsia="仿宋_GB2312"/>
          <w:b w:val="0"/>
          <w:sz w:val="32"/>
          <w:szCs w:val="32"/>
          <w:highlight w:val="none"/>
        </w:rPr>
        <w:t>年</w:t>
      </w:r>
      <w:r>
        <w:rPr>
          <w:rFonts w:hint="eastAsia" w:ascii="仿宋_GB2312" w:eastAsia="仿宋_GB2312"/>
          <w:b w:val="0"/>
          <w:sz w:val="32"/>
          <w:szCs w:val="32"/>
          <w:highlight w:val="none"/>
          <w:lang w:eastAsia="zh-CN"/>
        </w:rPr>
        <w:t>未</w:t>
      </w:r>
      <w:r>
        <w:rPr>
          <w:rFonts w:hint="eastAsia" w:ascii="仿宋_GB2312" w:eastAsia="仿宋_GB2312"/>
          <w:b w:val="0"/>
          <w:sz w:val="32"/>
          <w:szCs w:val="32"/>
          <w:highlight w:val="none"/>
        </w:rPr>
        <w:t>安排因公出国（境）支出，与上年一致无变化；</w:t>
      </w:r>
      <w:r>
        <w:rPr>
          <w:rFonts w:ascii="仿宋_GB2312" w:eastAsia="仿宋_GB2312"/>
          <w:b w:val="0"/>
          <w:sz w:val="32"/>
          <w:szCs w:val="32"/>
          <w:highlight w:val="none"/>
        </w:rPr>
        <w:t>；公务用车购置及运行维护费支出16.64万元，占100.00%，比上年增加15.21万元，增长1,063.64%，主要原因是：</w:t>
      </w:r>
      <w:r>
        <w:rPr>
          <w:rFonts w:hint="eastAsia" w:ascii="仿宋_GB2312" w:eastAsia="仿宋_GB2312"/>
          <w:b w:val="0"/>
          <w:sz w:val="32"/>
          <w:szCs w:val="32"/>
          <w:highlight w:val="none"/>
          <w:lang w:eastAsia="zh-CN"/>
        </w:rPr>
        <w:t>我单位</w:t>
      </w:r>
      <w:r>
        <w:rPr>
          <w:rFonts w:hint="eastAsia" w:ascii="仿宋_GB2312" w:eastAsia="仿宋_GB2312"/>
          <w:b w:val="0"/>
          <w:sz w:val="32"/>
          <w:szCs w:val="32"/>
          <w:highlight w:val="none"/>
          <w:lang w:val="en-US" w:eastAsia="zh-CN"/>
        </w:rPr>
        <w:t>2024年公务用车燃油、保险、维修等费用增多</w:t>
      </w:r>
      <w:r>
        <w:rPr>
          <w:rFonts w:ascii="仿宋_GB2312" w:eastAsia="仿宋_GB2312"/>
          <w:b w:val="0"/>
          <w:sz w:val="32"/>
          <w:szCs w:val="32"/>
          <w:highlight w:val="none"/>
        </w:rPr>
        <w:t>；公务接待费支出0.00万元，占0.00%，与上年相比无变化，主要原因是：</w:t>
      </w:r>
      <w:r>
        <w:rPr>
          <w:rFonts w:hint="eastAsia" w:ascii="仿宋_GB2312" w:eastAsia="仿宋_GB2312"/>
          <w:color w:val="000000"/>
          <w:sz w:val="32"/>
          <w:szCs w:val="32"/>
          <w:highlight w:val="none"/>
        </w:rPr>
        <w:t>我单位</w:t>
      </w:r>
      <w:r>
        <w:rPr>
          <w:rFonts w:hint="eastAsia" w:ascii="Times New Roman" w:hAnsi="Times New Roman" w:eastAsia="仿宋_GB2312" w:cs="Times New Roman"/>
          <w:color w:val="auto"/>
          <w:kern w:val="2"/>
          <w:sz w:val="32"/>
          <w:szCs w:val="32"/>
          <w:highlight w:val="none"/>
          <w:lang w:val="zh-CN" w:eastAsia="zh-CN" w:bidi="ar-SA"/>
        </w:rPr>
        <w:t>202</w:t>
      </w:r>
      <w:r>
        <w:rPr>
          <w:rFonts w:hint="eastAsia" w:ascii="Times New Roman" w:hAnsi="Times New Roman" w:eastAsia="仿宋_GB2312" w:cs="Times New Roman"/>
          <w:color w:val="auto"/>
          <w:kern w:val="2"/>
          <w:sz w:val="32"/>
          <w:szCs w:val="32"/>
          <w:highlight w:val="none"/>
          <w:lang w:val="en-US" w:eastAsia="zh-CN" w:bidi="ar-SA"/>
        </w:rPr>
        <w:t>4</w:t>
      </w:r>
      <w:r>
        <w:rPr>
          <w:rFonts w:hint="eastAsia" w:ascii="仿宋_GB2312" w:eastAsia="仿宋_GB2312"/>
          <w:color w:val="000000"/>
          <w:sz w:val="32"/>
          <w:szCs w:val="32"/>
          <w:highlight w:val="none"/>
        </w:rPr>
        <w:t>年</w:t>
      </w:r>
      <w:r>
        <w:rPr>
          <w:rFonts w:hint="eastAsia" w:ascii="仿宋_GB2312" w:eastAsia="仿宋_GB2312"/>
          <w:color w:val="auto"/>
          <w:sz w:val="32"/>
          <w:szCs w:val="32"/>
          <w:highlight w:val="none"/>
          <w:lang w:eastAsia="zh-CN"/>
        </w:rPr>
        <w:t>未</w:t>
      </w:r>
      <w:r>
        <w:rPr>
          <w:rFonts w:hint="eastAsia" w:ascii="仿宋_GB2312" w:eastAsia="仿宋_GB2312"/>
          <w:color w:val="auto"/>
          <w:sz w:val="32"/>
          <w:szCs w:val="32"/>
          <w:highlight w:val="none"/>
        </w:rPr>
        <w:t>安排公</w:t>
      </w:r>
      <w:r>
        <w:rPr>
          <w:rFonts w:hint="eastAsia" w:ascii="仿宋_GB2312" w:eastAsia="仿宋_GB2312"/>
          <w:color w:val="000000"/>
          <w:sz w:val="32"/>
          <w:szCs w:val="32"/>
          <w:highlight w:val="none"/>
        </w:rPr>
        <w:t>务接待费支出</w:t>
      </w:r>
      <w:r>
        <w:rPr>
          <w:rFonts w:hint="eastAsia" w:ascii="仿宋_GB2312" w:eastAsia="仿宋_GB2312"/>
          <w:color w:val="000000"/>
          <w:sz w:val="32"/>
          <w:szCs w:val="32"/>
          <w:highlight w:val="none"/>
          <w:lang w:eastAsia="zh-CN"/>
        </w:rPr>
        <w:t>，</w:t>
      </w:r>
      <w:r>
        <w:rPr>
          <w:rFonts w:hint="eastAsia" w:ascii="仿宋_GB2312" w:eastAsia="仿宋_GB2312"/>
          <w:color w:val="000000"/>
          <w:sz w:val="32"/>
          <w:szCs w:val="32"/>
          <w:highlight w:val="none"/>
        </w:rPr>
        <w:t>与上年一致无变化</w:t>
      </w:r>
      <w:r>
        <w:rPr>
          <w:rFonts w:hint="eastAsia" w:ascii="仿宋_GB2312" w:eastAsia="仿宋_GB2312"/>
          <w:color w:val="auto"/>
          <w:sz w:val="32"/>
          <w:szCs w:val="32"/>
          <w:highlight w:val="none"/>
          <w:lang w:val="zh-CN" w:eastAsia="zh-CN"/>
        </w:rPr>
        <w:t>。</w:t>
      </w:r>
    </w:p>
    <w:p>
      <w:pPr>
        <w:widowControl/>
        <w:spacing w:before="0" w:beforeLines="0" w:beforeAutospacing="0" w:after="0" w:afterLines="0" w:afterAutospacing="0" w:line="240" w:lineRule="auto"/>
        <w:ind w:firstLine="640" w:firstLineChars="200"/>
        <w:jc w:val="left"/>
        <w:rPr>
          <w:rFonts w:ascii="仿宋_GB2312" w:eastAsia="仿宋_GB2312"/>
          <w:sz w:val="32"/>
          <w:szCs w:val="32"/>
          <w:highlight w:val="none"/>
        </w:rPr>
      </w:pPr>
      <w:r>
        <w:rPr>
          <w:rFonts w:ascii="仿宋_GB2312" w:eastAsia="仿宋_GB2312"/>
          <w:b w:val="0"/>
          <w:sz w:val="32"/>
          <w:szCs w:val="32"/>
          <w:highlight w:val="none"/>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因公出国（境）费支出0.00万元，单位全年安排的因公出国（境）团组0个，因公出国（境）0人次。</w:t>
      </w:r>
    </w:p>
    <w:p>
      <w:pPr>
        <w:ind w:firstLine="640" w:firstLineChars="200"/>
        <w:jc w:val="left"/>
        <w:rPr>
          <w:rFonts w:ascii="仿宋_GB2312" w:eastAsia="仿宋_GB2312"/>
          <w:sz w:val="32"/>
          <w:szCs w:val="32"/>
          <w:highlight w:val="none"/>
        </w:rPr>
      </w:pPr>
      <w:r>
        <w:rPr>
          <w:rFonts w:ascii="仿宋_GB2312" w:eastAsia="仿宋_GB2312"/>
          <w:b w:val="0"/>
          <w:sz w:val="32"/>
          <w:szCs w:val="32"/>
          <w:highlight w:val="none"/>
        </w:rPr>
        <w:t>公务用车购置及运行维护费16.64万元，其中：公务用车购置费0.00万元，公务用车运行维护费16.64万元。公务用车运行维护费开支内容包括</w:t>
      </w:r>
      <w:r>
        <w:rPr>
          <w:rFonts w:hint="eastAsia" w:ascii="仿宋_GB2312" w:eastAsia="仿宋_GB2312"/>
          <w:b w:val="0"/>
          <w:sz w:val="32"/>
          <w:szCs w:val="32"/>
          <w:highlight w:val="none"/>
          <w:lang w:eastAsia="zh-CN"/>
        </w:rPr>
        <w:t>：车辆维修保养费、车辆保险费、车辆燃气费、油费及审车验车费用</w:t>
      </w:r>
      <w:r>
        <w:rPr>
          <w:rFonts w:ascii="仿宋_GB2312" w:eastAsia="仿宋_GB2312"/>
          <w:b w:val="0"/>
          <w:sz w:val="32"/>
          <w:szCs w:val="32"/>
          <w:highlight w:val="none"/>
        </w:rPr>
        <w:t>。公务用车购置数0辆，公务用车保有量14辆。国有资产占用情况中固定资产车辆14辆，与公务用车保有量差异原因是：</w:t>
      </w:r>
      <w:r>
        <w:rPr>
          <w:rFonts w:hint="eastAsia" w:ascii="仿宋_GB2312" w:eastAsia="仿宋_GB2312"/>
          <w:color w:val="auto"/>
          <w:sz w:val="32"/>
          <w:szCs w:val="32"/>
          <w:highlight w:val="none"/>
          <w:lang w:val="zh-CN" w:eastAsia="zh-CN"/>
        </w:rPr>
        <w:t>国有资产占用情况中固定资产车辆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保有量一致，无差异</w:t>
      </w:r>
      <w:r>
        <w:rPr>
          <w:rFonts w:hint="eastAsia" w:ascii="仿宋_GB2312" w:eastAsia="仿宋_GB2312"/>
          <w:color w:val="auto"/>
          <w:sz w:val="32"/>
          <w:szCs w:val="32"/>
          <w:highlight w:val="none"/>
          <w:lang w:val="zh-CN" w:eastAsia="zh-CN"/>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公务接待费0.00万元，单位全年安排的国内公务接待0批次，0人次。</w:t>
      </w:r>
    </w:p>
    <w:p>
      <w:pPr>
        <w:ind w:firstLine="640" w:firstLineChars="200"/>
        <w:rPr>
          <w:rFonts w:hint="eastAsia" w:ascii="仿宋_GB2312" w:eastAsia="仿宋_GB2312"/>
          <w:color w:val="auto"/>
          <w:sz w:val="32"/>
          <w:szCs w:val="32"/>
          <w:highlight w:val="none"/>
          <w:lang w:val="zh-CN" w:eastAsia="zh-CN"/>
        </w:rPr>
      </w:pPr>
      <w:r>
        <w:rPr>
          <w:rFonts w:ascii="仿宋_GB2312" w:eastAsia="仿宋_GB2312"/>
          <w:b w:val="0"/>
          <w:sz w:val="32"/>
          <w:szCs w:val="32"/>
          <w:highlight w:val="none"/>
        </w:rPr>
        <w:t>与全年预算相比，财政拨款“三公”经费支出全年预算数16.64万元，决算数16.64万元，预决算差异率0.00%，主要原因是：</w:t>
      </w:r>
      <w:r>
        <w:rPr>
          <w:rFonts w:hint="eastAsia" w:ascii="仿宋_GB2312" w:hAnsi="Times New Roman" w:eastAsia="仿宋_GB2312" w:cs="Times New Roman"/>
          <w:color w:val="000000"/>
          <w:sz w:val="32"/>
          <w:szCs w:val="32"/>
          <w:highlight w:val="none"/>
          <w:lang w:val="en-US" w:eastAsia="zh-CN"/>
        </w:rPr>
        <w:t>我单位厉行节约，严格控制预算执行，决算数与全年预算数相比一致</w:t>
      </w:r>
      <w:r>
        <w:rPr>
          <w:rFonts w:ascii="仿宋_GB2312" w:eastAsia="仿宋_GB2312"/>
          <w:b w:val="0"/>
          <w:sz w:val="32"/>
          <w:szCs w:val="32"/>
          <w:highlight w:val="none"/>
        </w:rPr>
        <w:t>。其中：因公出国（境）费全年预算数0.00万元，决算数0.00万元，预决算差异率0.00%，主要原因是：</w:t>
      </w:r>
      <w:r>
        <w:rPr>
          <w:rFonts w:hint="eastAsia" w:ascii="仿宋_GB2312" w:eastAsia="仿宋_GB2312"/>
          <w:b w:val="0"/>
          <w:sz w:val="32"/>
          <w:szCs w:val="32"/>
          <w:highlight w:val="none"/>
        </w:rPr>
        <w:t>我单位</w:t>
      </w:r>
      <w:r>
        <w:rPr>
          <w:rFonts w:hint="eastAsia" w:ascii="仿宋_GB2312" w:eastAsia="仿宋_GB2312"/>
          <w:b w:val="0"/>
          <w:sz w:val="32"/>
          <w:szCs w:val="32"/>
          <w:highlight w:val="none"/>
          <w:lang w:val="zh-CN" w:eastAsia="zh-CN"/>
        </w:rPr>
        <w:t>202</w:t>
      </w:r>
      <w:r>
        <w:rPr>
          <w:rFonts w:hint="eastAsia" w:ascii="仿宋_GB2312" w:eastAsia="仿宋_GB2312"/>
          <w:b w:val="0"/>
          <w:sz w:val="32"/>
          <w:szCs w:val="32"/>
          <w:highlight w:val="none"/>
          <w:lang w:val="en-US" w:eastAsia="zh-CN"/>
        </w:rPr>
        <w:t>4</w:t>
      </w:r>
      <w:r>
        <w:rPr>
          <w:rFonts w:hint="eastAsia" w:ascii="仿宋_GB2312" w:eastAsia="仿宋_GB2312"/>
          <w:b w:val="0"/>
          <w:sz w:val="32"/>
          <w:szCs w:val="32"/>
          <w:highlight w:val="none"/>
        </w:rPr>
        <w:t>年</w:t>
      </w:r>
      <w:r>
        <w:rPr>
          <w:rFonts w:hint="eastAsia" w:ascii="仿宋_GB2312" w:eastAsia="仿宋_GB2312"/>
          <w:b w:val="0"/>
          <w:sz w:val="32"/>
          <w:szCs w:val="32"/>
          <w:highlight w:val="none"/>
          <w:lang w:eastAsia="zh-CN"/>
        </w:rPr>
        <w:t>未</w:t>
      </w:r>
      <w:r>
        <w:rPr>
          <w:rFonts w:hint="eastAsia" w:ascii="仿宋_GB2312" w:eastAsia="仿宋_GB2312"/>
          <w:b w:val="0"/>
          <w:sz w:val="32"/>
          <w:szCs w:val="32"/>
          <w:highlight w:val="none"/>
        </w:rPr>
        <w:t>安排因公出国（境）支出，与</w:t>
      </w:r>
      <w:r>
        <w:rPr>
          <w:rFonts w:hint="eastAsia" w:ascii="仿宋_GB2312" w:eastAsia="仿宋_GB2312"/>
          <w:b w:val="0"/>
          <w:sz w:val="32"/>
          <w:szCs w:val="32"/>
          <w:highlight w:val="none"/>
          <w:lang w:val="en-US" w:eastAsia="zh-CN"/>
        </w:rPr>
        <w:t>全年预算数</w:t>
      </w:r>
      <w:r>
        <w:rPr>
          <w:rFonts w:hint="eastAsia" w:ascii="仿宋_GB2312" w:eastAsia="仿宋_GB2312"/>
          <w:b w:val="0"/>
          <w:sz w:val="32"/>
          <w:szCs w:val="32"/>
          <w:highlight w:val="none"/>
        </w:rPr>
        <w:t>一致无变化</w:t>
      </w:r>
      <w:r>
        <w:rPr>
          <w:rFonts w:hint="eastAsia" w:ascii="仿宋_GB2312" w:eastAsia="仿宋_GB2312"/>
          <w:b w:val="0"/>
          <w:sz w:val="32"/>
          <w:szCs w:val="32"/>
          <w:highlight w:val="none"/>
          <w:lang w:val="zh-CN" w:eastAsia="zh-CN"/>
        </w:rPr>
        <w:t>；</w:t>
      </w:r>
      <w:r>
        <w:rPr>
          <w:rFonts w:ascii="仿宋_GB2312" w:eastAsia="仿宋_GB2312"/>
          <w:b w:val="0"/>
          <w:sz w:val="32"/>
          <w:szCs w:val="32"/>
          <w:highlight w:val="none"/>
        </w:rPr>
        <w:t>公务用车购置费全年预算数0.00万元，决算数0.00万元，预决算差异率0.00%，主要原因是：</w:t>
      </w:r>
      <w:r>
        <w:rPr>
          <w:rFonts w:hint="eastAsia" w:ascii="仿宋_GB2312" w:eastAsia="仿宋_GB2312"/>
          <w:color w:val="000000"/>
          <w:sz w:val="32"/>
          <w:szCs w:val="32"/>
          <w:highlight w:val="none"/>
        </w:rPr>
        <w:t>单位</w:t>
      </w:r>
      <w:r>
        <w:rPr>
          <w:rFonts w:hint="eastAsia" w:ascii="Times New Roman" w:hAnsi="Times New Roman" w:eastAsia="仿宋_GB2312" w:cs="Times New Roman"/>
          <w:color w:val="auto"/>
          <w:kern w:val="2"/>
          <w:sz w:val="32"/>
          <w:szCs w:val="32"/>
          <w:highlight w:val="none"/>
          <w:lang w:val="zh-CN" w:eastAsia="zh-CN" w:bidi="ar-SA"/>
        </w:rPr>
        <w:t>202</w:t>
      </w:r>
      <w:r>
        <w:rPr>
          <w:rFonts w:hint="eastAsia" w:ascii="Times New Roman" w:hAnsi="Times New Roman" w:eastAsia="仿宋_GB2312" w:cs="Times New Roman"/>
          <w:color w:val="auto"/>
          <w:kern w:val="2"/>
          <w:sz w:val="32"/>
          <w:szCs w:val="32"/>
          <w:highlight w:val="none"/>
          <w:lang w:val="en-US" w:eastAsia="zh-CN" w:bidi="ar-SA"/>
        </w:rPr>
        <w:t>4</w:t>
      </w:r>
      <w:r>
        <w:rPr>
          <w:rFonts w:hint="eastAsia" w:ascii="仿宋_GB2312" w:eastAsia="仿宋_GB2312"/>
          <w:color w:val="000000"/>
          <w:sz w:val="32"/>
          <w:szCs w:val="32"/>
          <w:highlight w:val="none"/>
        </w:rPr>
        <w:t>年</w:t>
      </w:r>
      <w:r>
        <w:rPr>
          <w:rFonts w:hint="eastAsia" w:ascii="仿宋_GB2312" w:eastAsia="仿宋_GB2312"/>
          <w:color w:val="auto"/>
          <w:sz w:val="32"/>
          <w:szCs w:val="32"/>
          <w:highlight w:val="none"/>
          <w:lang w:eastAsia="zh-CN"/>
        </w:rPr>
        <w:t>未</w:t>
      </w:r>
      <w:r>
        <w:rPr>
          <w:rFonts w:hint="eastAsia" w:ascii="仿宋_GB2312" w:eastAsia="仿宋_GB2312"/>
          <w:color w:val="auto"/>
          <w:sz w:val="32"/>
          <w:szCs w:val="32"/>
          <w:highlight w:val="none"/>
        </w:rPr>
        <w:t>安排</w:t>
      </w:r>
      <w:r>
        <w:rPr>
          <w:rFonts w:hint="eastAsia" w:ascii="仿宋_GB2312" w:hAnsi="宋体" w:eastAsia="仿宋_GB2312" w:cs="宋体"/>
          <w:color w:val="000000"/>
          <w:kern w:val="0"/>
          <w:sz w:val="32"/>
          <w:szCs w:val="32"/>
          <w:highlight w:val="none"/>
        </w:rPr>
        <w:t>公务用车购置</w:t>
      </w:r>
      <w:r>
        <w:rPr>
          <w:rFonts w:hint="eastAsia" w:ascii="仿宋_GB2312" w:eastAsia="仿宋_GB2312"/>
          <w:color w:val="000000"/>
          <w:sz w:val="32"/>
          <w:szCs w:val="32"/>
          <w:highlight w:val="none"/>
        </w:rPr>
        <w:t>费支出，与</w:t>
      </w:r>
      <w:r>
        <w:rPr>
          <w:rFonts w:hint="eastAsia" w:ascii="仿宋_GB2312" w:eastAsia="仿宋_GB2312"/>
          <w:color w:val="000000"/>
          <w:sz w:val="32"/>
          <w:szCs w:val="32"/>
          <w:highlight w:val="none"/>
          <w:lang w:val="en-US" w:eastAsia="zh-CN"/>
        </w:rPr>
        <w:t>全年预算数</w:t>
      </w:r>
      <w:r>
        <w:rPr>
          <w:rFonts w:hint="eastAsia" w:ascii="仿宋_GB2312" w:eastAsia="仿宋_GB2312"/>
          <w:color w:val="000000"/>
          <w:sz w:val="32"/>
          <w:szCs w:val="32"/>
          <w:highlight w:val="none"/>
        </w:rPr>
        <w:t>一致无变化</w:t>
      </w:r>
      <w:r>
        <w:rPr>
          <w:rFonts w:ascii="仿宋_GB2312" w:eastAsia="仿宋_GB2312"/>
          <w:b w:val="0"/>
          <w:sz w:val="32"/>
          <w:szCs w:val="32"/>
          <w:highlight w:val="none"/>
        </w:rPr>
        <w:t>。公务用车运行维护费全年预算数16.64万元，决算数16.64万元，预决算差异率0.00%，主要原因是：</w:t>
      </w:r>
      <w:r>
        <w:rPr>
          <w:rFonts w:hint="eastAsia" w:ascii="仿宋_GB2312" w:eastAsia="仿宋_GB2312"/>
          <w:color w:val="000000"/>
          <w:sz w:val="32"/>
          <w:szCs w:val="32"/>
          <w:highlight w:val="none"/>
        </w:rPr>
        <w:t>严格控制三公经费支出，与</w:t>
      </w:r>
      <w:r>
        <w:rPr>
          <w:rFonts w:hint="eastAsia" w:ascii="仿宋_GB2312" w:eastAsia="仿宋_GB2312"/>
          <w:color w:val="000000"/>
          <w:sz w:val="32"/>
          <w:szCs w:val="32"/>
          <w:highlight w:val="none"/>
          <w:lang w:val="en-US" w:eastAsia="zh-CN"/>
        </w:rPr>
        <w:t>全年预算数</w:t>
      </w:r>
      <w:r>
        <w:rPr>
          <w:rFonts w:hint="eastAsia" w:ascii="仿宋_GB2312" w:eastAsia="仿宋_GB2312"/>
          <w:color w:val="000000"/>
          <w:sz w:val="32"/>
          <w:szCs w:val="32"/>
          <w:highlight w:val="none"/>
        </w:rPr>
        <w:t>一致无变化</w:t>
      </w:r>
      <w:r>
        <w:rPr>
          <w:rFonts w:ascii="仿宋_GB2312" w:eastAsia="仿宋_GB2312"/>
          <w:b w:val="0"/>
          <w:sz w:val="32"/>
          <w:szCs w:val="32"/>
          <w:highlight w:val="none"/>
        </w:rPr>
        <w:t>。公务接待费全年预算数0.00万元，决算数0.00万元，预决算差异率0.00%，主要原因是：</w:t>
      </w:r>
      <w:r>
        <w:rPr>
          <w:rFonts w:hint="eastAsia" w:ascii="仿宋_GB2312" w:eastAsia="仿宋_GB2312"/>
          <w:color w:val="000000"/>
          <w:sz w:val="32"/>
          <w:szCs w:val="32"/>
          <w:highlight w:val="none"/>
        </w:rPr>
        <w:t>我单位</w:t>
      </w:r>
      <w:r>
        <w:rPr>
          <w:rFonts w:hint="eastAsia" w:ascii="Times New Roman" w:hAnsi="Times New Roman" w:eastAsia="仿宋_GB2312" w:cs="Times New Roman"/>
          <w:color w:val="auto"/>
          <w:kern w:val="2"/>
          <w:sz w:val="32"/>
          <w:szCs w:val="32"/>
          <w:highlight w:val="none"/>
          <w:lang w:val="zh-CN" w:eastAsia="zh-CN" w:bidi="ar-SA"/>
        </w:rPr>
        <w:t>202</w:t>
      </w:r>
      <w:r>
        <w:rPr>
          <w:rFonts w:hint="eastAsia" w:ascii="Times New Roman" w:hAnsi="Times New Roman" w:eastAsia="仿宋_GB2312" w:cs="Times New Roman"/>
          <w:color w:val="auto"/>
          <w:kern w:val="2"/>
          <w:sz w:val="32"/>
          <w:szCs w:val="32"/>
          <w:highlight w:val="none"/>
          <w:lang w:val="en-US" w:eastAsia="zh-CN" w:bidi="ar-SA"/>
        </w:rPr>
        <w:t>4</w:t>
      </w:r>
      <w:r>
        <w:rPr>
          <w:rFonts w:hint="eastAsia" w:ascii="仿宋_GB2312" w:eastAsia="仿宋_GB2312"/>
          <w:color w:val="000000"/>
          <w:sz w:val="32"/>
          <w:szCs w:val="32"/>
          <w:highlight w:val="none"/>
        </w:rPr>
        <w:t>年</w:t>
      </w:r>
      <w:r>
        <w:rPr>
          <w:rFonts w:hint="eastAsia" w:ascii="仿宋_GB2312" w:eastAsia="仿宋_GB2312"/>
          <w:color w:val="auto"/>
          <w:sz w:val="32"/>
          <w:szCs w:val="32"/>
          <w:highlight w:val="none"/>
          <w:lang w:eastAsia="zh-CN"/>
        </w:rPr>
        <w:t>未</w:t>
      </w:r>
      <w:r>
        <w:rPr>
          <w:rFonts w:hint="eastAsia" w:ascii="仿宋_GB2312" w:eastAsia="仿宋_GB2312"/>
          <w:color w:val="auto"/>
          <w:sz w:val="32"/>
          <w:szCs w:val="32"/>
          <w:highlight w:val="none"/>
        </w:rPr>
        <w:t>安</w:t>
      </w:r>
      <w:r>
        <w:rPr>
          <w:rFonts w:hint="eastAsia" w:ascii="仿宋_GB2312" w:eastAsia="仿宋_GB2312"/>
          <w:color w:val="000000"/>
          <w:sz w:val="32"/>
          <w:szCs w:val="32"/>
          <w:highlight w:val="none"/>
        </w:rPr>
        <w:t>排公务接待费支出，与</w:t>
      </w:r>
      <w:r>
        <w:rPr>
          <w:rFonts w:hint="eastAsia" w:ascii="仿宋_GB2312" w:eastAsia="仿宋_GB2312"/>
          <w:color w:val="000000"/>
          <w:sz w:val="32"/>
          <w:szCs w:val="32"/>
          <w:highlight w:val="none"/>
          <w:lang w:val="en-US" w:eastAsia="zh-CN"/>
        </w:rPr>
        <w:t>全年预算数</w:t>
      </w:r>
      <w:r>
        <w:rPr>
          <w:rFonts w:hint="eastAsia" w:ascii="仿宋_GB2312" w:eastAsia="仿宋_GB2312"/>
          <w:color w:val="000000"/>
          <w:sz w:val="32"/>
          <w:szCs w:val="32"/>
          <w:highlight w:val="none"/>
        </w:rPr>
        <w:t>一致无变化。</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highlight w:val="none"/>
        </w:rPr>
      </w:pPr>
      <w:r>
        <w:rPr>
          <w:rFonts w:ascii="仿宋_GB2312" w:eastAsia="仿宋_GB2312"/>
          <w:b/>
          <w:sz w:val="32"/>
          <w:szCs w:val="32"/>
          <w:highlight w:val="none"/>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2024年度库尔勒市城市管理综合执法局单位机关运行经费支出104.87万元，比上年增加22.15万元，增长26.78%，主要原因是：</w:t>
      </w:r>
      <w:r>
        <w:rPr>
          <w:rFonts w:hint="eastAsia" w:ascii="仿宋_GB2312" w:eastAsia="仿宋_GB2312"/>
          <w:b w:val="0"/>
          <w:sz w:val="32"/>
          <w:szCs w:val="32"/>
          <w:highlight w:val="none"/>
          <w:lang w:val="en-US" w:eastAsia="zh-CN"/>
        </w:rPr>
        <w:t>2024年我单位新招录28名公务员，办公经费开支增大</w:t>
      </w:r>
      <w:r>
        <w:rPr>
          <w:rFonts w:ascii="仿宋_GB2312" w:eastAsia="仿宋_GB2312"/>
          <w:b w:val="0"/>
          <w:sz w:val="32"/>
          <w:szCs w:val="32"/>
          <w:highlight w:val="none"/>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highlight w:val="none"/>
        </w:rPr>
      </w:pPr>
      <w:r>
        <w:rPr>
          <w:rFonts w:ascii="仿宋_GB2312" w:eastAsia="仿宋_GB2312"/>
          <w:b/>
          <w:sz w:val="32"/>
          <w:szCs w:val="32"/>
          <w:highlight w:val="none"/>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2024年度政府采购支出总额129.82万元，其中：政府采购货物支出117.94万元、政府采购工程支出0.00万元、政府采购服务支出11.88万元。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授予中小企业合同金额129.82万元，占政府采购支出总额的100.00%，其中：授予小微企业合同金额38.95万元，占政府采购支出总额的30.00%。</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highlight w:val="none"/>
        </w:rPr>
      </w:pPr>
      <w:r>
        <w:rPr>
          <w:rFonts w:ascii="仿宋_GB2312" w:eastAsia="仿宋_GB2312"/>
          <w:b/>
          <w:sz w:val="32"/>
          <w:szCs w:val="32"/>
          <w:highlight w:val="none"/>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截至2024年12月31日，房屋0.00平方米，价值0.00万元。车辆14辆，价值108.27万元，其中：副部（省）级及以上领导用车0辆、主要负责人用车0辆、机要通信用车0辆、应急保障用车0辆、执法执勤用车0辆、特种专业技术用车3辆、离退休干部服务用车0辆、其他用车11辆，其他用车主要是：</w:t>
      </w:r>
      <w:r>
        <w:rPr>
          <w:rFonts w:hint="eastAsia" w:ascii="仿宋_GB2312" w:eastAsia="仿宋_GB2312"/>
          <w:b w:val="0"/>
          <w:sz w:val="32"/>
          <w:szCs w:val="32"/>
          <w:highlight w:val="none"/>
          <w:lang w:eastAsia="zh-CN"/>
        </w:rPr>
        <w:t>一般公务用车</w:t>
      </w:r>
      <w:r>
        <w:rPr>
          <w:rFonts w:ascii="仿宋_GB2312" w:eastAsia="仿宋_GB2312"/>
          <w:b w:val="0"/>
          <w:sz w:val="32"/>
          <w:szCs w:val="32"/>
          <w:highlight w:val="none"/>
        </w:rPr>
        <w:t>;单价100万元（含）以上设备（不含车辆）0台（套）。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十一、预算绩效的情况说明</w:t>
      </w:r>
    </w:p>
    <w:p>
      <w:pPr>
        <w:ind w:firstLine="640" w:firstLineChars="200"/>
        <w:jc w:val="left"/>
        <w:rPr>
          <w:rFonts w:ascii="仿宋_GB2312" w:eastAsia="仿宋_GB2312"/>
          <w:sz w:val="32"/>
          <w:szCs w:val="32"/>
          <w:highlight w:val="none"/>
        </w:rPr>
      </w:pPr>
      <w:r>
        <w:rPr>
          <w:rFonts w:ascii="仿宋_GB2312" w:eastAsia="仿宋_GB2312"/>
          <w:b w:val="0"/>
          <w:sz w:val="32"/>
          <w:szCs w:val="32"/>
          <w:highlight w:val="none"/>
        </w:rPr>
        <w:t>根据预算绩效管理要求，本单位2024年度预算绩效管理形成整体支出绩效自评表1个，全年预算总额2,</w:t>
      </w:r>
      <w:r>
        <w:rPr>
          <w:rFonts w:hint="eastAsia" w:ascii="仿宋_GB2312" w:eastAsia="仿宋_GB2312"/>
          <w:b w:val="0"/>
          <w:sz w:val="32"/>
          <w:szCs w:val="32"/>
          <w:highlight w:val="none"/>
          <w:lang w:val="en-US" w:eastAsia="zh-CN"/>
        </w:rPr>
        <w:t>478</w:t>
      </w:r>
      <w:r>
        <w:rPr>
          <w:rFonts w:ascii="仿宋_GB2312" w:eastAsia="仿宋_GB2312"/>
          <w:b w:val="0"/>
          <w:sz w:val="32"/>
          <w:szCs w:val="32"/>
          <w:highlight w:val="none"/>
        </w:rPr>
        <w:t>.</w:t>
      </w:r>
      <w:r>
        <w:rPr>
          <w:rFonts w:hint="eastAsia" w:ascii="仿宋_GB2312" w:eastAsia="仿宋_GB2312"/>
          <w:b w:val="0"/>
          <w:sz w:val="32"/>
          <w:szCs w:val="32"/>
          <w:highlight w:val="none"/>
          <w:lang w:val="en-US" w:eastAsia="zh-CN"/>
        </w:rPr>
        <w:t>2</w:t>
      </w:r>
      <w:bookmarkStart w:id="0" w:name="_GoBack"/>
      <w:bookmarkEnd w:id="0"/>
      <w:r>
        <w:rPr>
          <w:rFonts w:ascii="仿宋_GB2312" w:eastAsia="仿宋_GB2312"/>
          <w:b w:val="0"/>
          <w:sz w:val="32"/>
          <w:szCs w:val="32"/>
          <w:highlight w:val="none"/>
        </w:rPr>
        <w:t>7万元，实际执行总额2,234.92万元；预算绩效评价项目0个，全年预算数0万元，全年执行数0万元。</w:t>
      </w:r>
      <w:r>
        <w:rPr>
          <w:rFonts w:hint="eastAsia" w:ascii="仿宋_GB2312" w:eastAsia="仿宋_GB2312"/>
          <w:sz w:val="32"/>
          <w:szCs w:val="32"/>
          <w:highlight w:val="none"/>
        </w:rPr>
        <w:t>预算绩效管理取得的成效：一是通过绩效评价分析部门整体支出对单位基本运转及单位职能履职的保障作用，总结经验做法，找出资金使用和管理中的薄弱环节，进一步加强预算管理，提高财政资金使用效益。发现的问题及原因：（1）预算绩效观念不深入。在日常绩效工作中存在着一定程度的“重分配、轻管理、重支出、轻绩效”的情况，造成该问题的主要原因是自身绩效理念较薄弱，单位绩效目标编制仍有缺失，需要进一步加强对资金绩效管理的重视程度。（2）预算绩效规范管理有盲点。财务人员面对当前绩效管理工作既没有现成的经验可供借鉴，又缺乏专业性很强的技能储备，只能是边工作、边学习、边积累，短期内部分工作只能停留在表面，难以做到程序规范、管理科学，难以满足当前绩效管理要求。下一步改进措施：一是建立健全的预算绩效管理体制，加强对预算绩效相关知识的了解和掌握，促进绩效管理工作向广度和深度延伸，切实提高部门预算收支管理水平；二是加强财务管理，严格财务审核，在费用报账支付时，按照预算规定费用项目和用途进行资金使用审核、列报支付、财务核算，杜绝超支现象发生。具体项目自评情况附绩效自评表及自评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highlight w:val="none"/>
        </w:rPr>
      </w:pPr>
      <w:r>
        <w:rPr>
          <w:rFonts w:ascii="黑体" w:eastAsia="黑体"/>
          <w:b w:val="0"/>
          <w:sz w:val="32"/>
          <w:szCs w:val="32"/>
          <w:highlight w:val="none"/>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highlight w:val="none"/>
        </w:rPr>
        <w:t>本单位无其他需说明事项。</w:t>
      </w:r>
    </w:p>
    <w:p>
      <w:pPr>
        <w:widowControl/>
        <w:rPr>
          <w:highlight w:val="none"/>
        </w:rPr>
      </w:pPr>
      <w:r>
        <w:rPr>
          <w:b w:val="0"/>
          <w:sz w:val="0"/>
          <w:szCs w:val="0"/>
          <w:highlight w:val="none"/>
        </w:rPr>
        <w:br w:type="page"/>
      </w:r>
    </w:p>
    <w:p>
      <w:pPr>
        <w:widowControl/>
        <w:spacing w:before="0" w:beforeLines="0" w:beforeAutospacing="0" w:after="0" w:afterLines="0" w:afterAutospacing="0" w:line="240" w:lineRule="auto"/>
        <w:jc w:val="center"/>
        <w:outlineLvl w:val="0"/>
        <w:rPr>
          <w:rFonts w:ascii="黑体" w:eastAsia="黑体"/>
          <w:sz w:val="32"/>
          <w:szCs w:val="32"/>
          <w:highlight w:val="none"/>
        </w:rPr>
      </w:pPr>
      <w:r>
        <w:rPr>
          <w:rFonts w:ascii="黑体" w:eastAsia="黑体"/>
          <w:b w:val="0"/>
          <w:sz w:val="32"/>
          <w:szCs w:val="32"/>
          <w:highlight w:val="none"/>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一、财政拨款收入：</w:t>
      </w:r>
      <w:r>
        <w:rPr>
          <w:rFonts w:ascii="仿宋_GB2312" w:eastAsia="仿宋_GB2312"/>
          <w:b w:val="0"/>
          <w:sz w:val="32"/>
          <w:szCs w:val="32"/>
          <w:highlight w:val="none"/>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二、上级补助收入：</w:t>
      </w:r>
      <w:r>
        <w:rPr>
          <w:rFonts w:ascii="仿宋_GB2312" w:eastAsia="仿宋_GB2312"/>
          <w:b w:val="0"/>
          <w:sz w:val="32"/>
          <w:szCs w:val="32"/>
          <w:highlight w:val="none"/>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三、事业收入：</w:t>
      </w:r>
      <w:r>
        <w:rPr>
          <w:rFonts w:ascii="仿宋_GB2312" w:eastAsia="仿宋_GB2312"/>
          <w:b w:val="0"/>
          <w:sz w:val="32"/>
          <w:szCs w:val="32"/>
          <w:highlight w:val="none"/>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四、经营收入：</w:t>
      </w:r>
      <w:r>
        <w:rPr>
          <w:rFonts w:ascii="仿宋_GB2312" w:eastAsia="仿宋_GB2312"/>
          <w:b w:val="0"/>
          <w:sz w:val="32"/>
          <w:szCs w:val="32"/>
          <w:highlight w:val="none"/>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五、附属单位上缴收入：</w:t>
      </w:r>
      <w:r>
        <w:rPr>
          <w:rFonts w:ascii="仿宋_GB2312" w:eastAsia="仿宋_GB2312"/>
          <w:b w:val="0"/>
          <w:sz w:val="32"/>
          <w:szCs w:val="32"/>
          <w:highlight w:val="none"/>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六、其他收入：</w:t>
      </w:r>
      <w:r>
        <w:rPr>
          <w:rFonts w:ascii="仿宋_GB2312" w:eastAsia="仿宋_GB2312"/>
          <w:b w:val="0"/>
          <w:sz w:val="32"/>
          <w:szCs w:val="32"/>
          <w:highlight w:val="none"/>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七、年初结转和结余：</w:t>
      </w:r>
      <w:r>
        <w:rPr>
          <w:rFonts w:ascii="仿宋_GB2312" w:eastAsia="仿宋_GB2312"/>
          <w:b w:val="0"/>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八、年末结转和结余：</w:t>
      </w:r>
      <w:r>
        <w:rPr>
          <w:rFonts w:ascii="仿宋_GB2312" w:eastAsia="仿宋_GB2312"/>
          <w:b w:val="0"/>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九、基本支出：</w:t>
      </w:r>
      <w:r>
        <w:rPr>
          <w:rFonts w:ascii="仿宋_GB2312" w:eastAsia="仿宋_GB2312"/>
          <w:b w:val="0"/>
          <w:sz w:val="32"/>
          <w:szCs w:val="32"/>
          <w:highlight w:val="none"/>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十、项目支出：</w:t>
      </w:r>
      <w:r>
        <w:rPr>
          <w:rFonts w:ascii="仿宋_GB2312" w:eastAsia="仿宋_GB2312"/>
          <w:b w:val="0"/>
          <w:sz w:val="32"/>
          <w:szCs w:val="32"/>
          <w:highlight w:val="none"/>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十一、经营支出：</w:t>
      </w:r>
      <w:r>
        <w:rPr>
          <w:rFonts w:ascii="仿宋_GB2312" w:eastAsia="仿宋_GB2312"/>
          <w:b w:val="0"/>
          <w:sz w:val="32"/>
          <w:szCs w:val="32"/>
          <w:highlight w:val="none"/>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十二、对附属单位补助支出：</w:t>
      </w:r>
      <w:r>
        <w:rPr>
          <w:rFonts w:ascii="仿宋_GB2312" w:eastAsia="仿宋_GB2312"/>
          <w:b w:val="0"/>
          <w:sz w:val="32"/>
          <w:szCs w:val="32"/>
          <w:highlight w:val="none"/>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十三、“三公”经费：</w:t>
      </w:r>
      <w:r>
        <w:rPr>
          <w:rFonts w:ascii="仿宋_GB2312" w:eastAsia="仿宋_GB2312"/>
          <w:b w:val="0"/>
          <w:sz w:val="32"/>
          <w:szCs w:val="32"/>
          <w:highlight w:val="none"/>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highlight w:val="none"/>
        </w:rPr>
      </w:pPr>
      <w:r>
        <w:rPr>
          <w:rFonts w:ascii="仿宋_GB2312" w:eastAsia="仿宋_GB2312"/>
          <w:b/>
          <w:sz w:val="32"/>
          <w:szCs w:val="32"/>
          <w:highlight w:val="none"/>
        </w:rPr>
        <w:t>十四、机关运行经费：</w:t>
      </w:r>
      <w:r>
        <w:rPr>
          <w:rFonts w:ascii="仿宋_GB2312" w:eastAsia="仿宋_GB2312"/>
          <w:b w:val="0"/>
          <w:sz w:val="32"/>
          <w:szCs w:val="32"/>
          <w:highlight w:val="none"/>
        </w:rPr>
        <w:t>行政单位和参照公务员法管理的事业单位财政拨款基本支出中的公用经费支出。</w:t>
      </w:r>
    </w:p>
    <w:p>
      <w:pPr>
        <w:widowControl/>
        <w:rPr>
          <w:highlight w:val="none"/>
        </w:rPr>
      </w:pPr>
      <w:r>
        <w:rPr>
          <w:b w:val="0"/>
          <w:sz w:val="0"/>
          <w:szCs w:val="0"/>
          <w:highlight w:val="none"/>
        </w:rPr>
        <w:br w:type="page"/>
      </w:r>
    </w:p>
    <w:p>
      <w:pPr>
        <w:widowControl/>
        <w:spacing w:before="0" w:beforeLines="0" w:beforeAutospacing="0" w:after="0" w:afterLines="0" w:afterAutospacing="0" w:line="240" w:lineRule="auto"/>
        <w:jc w:val="center"/>
        <w:outlineLvl w:val="0"/>
        <w:rPr>
          <w:rFonts w:ascii="黑体" w:eastAsia="黑体"/>
          <w:sz w:val="32"/>
          <w:szCs w:val="32"/>
          <w:highlight w:val="none"/>
        </w:rPr>
      </w:pPr>
      <w:r>
        <w:rPr>
          <w:rFonts w:ascii="黑体" w:eastAsia="黑体"/>
          <w:b w:val="0"/>
          <w:sz w:val="32"/>
          <w:szCs w:val="32"/>
          <w:highlight w:val="none"/>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highlight w:val="none"/>
        </w:rPr>
      </w:pPr>
      <w:r>
        <w:rPr>
          <w:rFonts w:ascii="仿宋_GB2312" w:eastAsia="仿宋_GB2312"/>
          <w:b w:val="0"/>
          <w:sz w:val="32"/>
          <w:szCs w:val="32"/>
          <w:highlight w:val="none"/>
        </w:rPr>
        <w:t>七、《政府性基金预算财政拨款收入支出决算表》</w:t>
      </w:r>
    </w:p>
    <w:p>
      <w:pPr>
        <w:widowControl/>
        <w:spacing w:before="0" w:beforeLines="0" w:beforeAutospacing="0" w:after="0" w:afterLines="0" w:afterAutospacing="0" w:line="240" w:lineRule="auto"/>
        <w:ind w:firstLine="608" w:firstLineChars="200"/>
        <w:jc w:val="left"/>
        <w:outlineLvl w:val="1"/>
        <w:rPr>
          <w:rFonts w:hint="default" w:ascii="仿宋_GB2312" w:eastAsia="仿宋_GB2312"/>
          <w:w w:val="95"/>
          <w:sz w:val="32"/>
          <w:szCs w:val="32"/>
          <w:highlight w:val="none"/>
          <w:lang w:val="en-US" w:eastAsia="zh-CN"/>
        </w:rPr>
      </w:pPr>
      <w:r>
        <w:rPr>
          <w:rFonts w:ascii="仿宋_GB2312" w:eastAsia="仿宋_GB2312"/>
          <w:b w:val="0"/>
          <w:w w:val="95"/>
          <w:sz w:val="32"/>
          <w:szCs w:val="32"/>
          <w:highlight w:val="none"/>
        </w:rPr>
        <w:t>八、《国有资本经营预算财政拨款收入支出决算表》</w:t>
      </w:r>
      <w:r>
        <w:rPr>
          <w:rFonts w:hint="eastAsia" w:ascii="仿宋_GB2312" w:eastAsia="仿宋_GB2312"/>
          <w:b w:val="0"/>
          <w:w w:val="95"/>
          <w:sz w:val="32"/>
          <w:szCs w:val="32"/>
          <w:highlight w:val="none"/>
          <w:lang w:val="en-US" w:eastAsia="zh-CN"/>
        </w:rPr>
        <w:t>(空表)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highlight w:val="none"/>
        </w:rPr>
      </w:pPr>
      <w:r>
        <w:rPr>
          <w:rFonts w:ascii="仿宋_GB2312" w:eastAsia="仿宋_GB2312"/>
          <w:b w:val="0"/>
          <w:sz w:val="32"/>
          <w:szCs w:val="32"/>
          <w:highlight w:val="none"/>
        </w:rPr>
        <w:t>九、《财政拨款“三公”经费支出决算表》</w:t>
      </w:r>
    </w:p>
    <w:p>
      <w:pPr>
        <w:pStyle w:val="2"/>
        <w:rPr>
          <w:rFonts w:ascii="仿宋_GB2312" w:eastAsia="仿宋_GB2312"/>
          <w:b w:val="0"/>
          <w:sz w:val="32"/>
          <w:szCs w:val="32"/>
          <w:highlight w:val="none"/>
        </w:rPr>
      </w:pPr>
    </w:p>
    <w:p>
      <w:pPr>
        <w:rPr>
          <w:rFonts w:ascii="仿宋_GB2312" w:eastAsia="仿宋_GB2312"/>
          <w:b w:val="0"/>
          <w:sz w:val="32"/>
          <w:szCs w:val="32"/>
          <w:highlight w:val="none"/>
        </w:rPr>
      </w:pPr>
    </w:p>
    <w:p>
      <w:pPr>
        <w:pStyle w:val="2"/>
        <w:rPr>
          <w:rFonts w:ascii="仿宋_GB2312" w:eastAsia="仿宋_GB2312"/>
          <w:b w:val="0"/>
          <w:sz w:val="32"/>
          <w:szCs w:val="32"/>
          <w:highlight w:val="none"/>
        </w:rPr>
      </w:pPr>
    </w:p>
    <w:p>
      <w:pPr>
        <w:rPr>
          <w:rFonts w:ascii="仿宋_GB2312" w:eastAsia="仿宋_GB2312"/>
          <w:b w:val="0"/>
          <w:sz w:val="32"/>
          <w:szCs w:val="32"/>
          <w:highlight w:val="none"/>
        </w:rPr>
      </w:pPr>
    </w:p>
    <w:p>
      <w:pPr>
        <w:pStyle w:val="2"/>
        <w:rPr>
          <w:rFonts w:ascii="仿宋_GB2312" w:eastAsia="仿宋_GB2312"/>
          <w:b w:val="0"/>
          <w:sz w:val="32"/>
          <w:szCs w:val="32"/>
          <w:highlight w:val="none"/>
        </w:rPr>
      </w:pPr>
    </w:p>
    <w:p>
      <w:pPr>
        <w:rPr>
          <w:rFonts w:ascii="仿宋_GB2312" w:eastAsia="仿宋_GB2312"/>
          <w:b w:val="0"/>
          <w:sz w:val="32"/>
          <w:szCs w:val="32"/>
          <w:highlight w:val="none"/>
        </w:rPr>
      </w:pPr>
    </w:p>
    <w:p>
      <w:pPr>
        <w:pStyle w:val="2"/>
        <w:rPr>
          <w:rFonts w:ascii="仿宋_GB2312" w:eastAsia="仿宋_GB2312"/>
          <w:b w:val="0"/>
          <w:sz w:val="32"/>
          <w:szCs w:val="32"/>
          <w:highlight w:val="none"/>
        </w:rPr>
      </w:pPr>
    </w:p>
    <w:p>
      <w:pPr>
        <w:rPr>
          <w:rFonts w:ascii="仿宋_GB2312" w:eastAsia="仿宋_GB2312"/>
          <w:b w:val="0"/>
          <w:sz w:val="32"/>
          <w:szCs w:val="32"/>
          <w:highlight w:val="none"/>
        </w:rPr>
      </w:pPr>
    </w:p>
    <w:p>
      <w:pPr>
        <w:pStyle w:val="2"/>
        <w:rPr>
          <w:rFonts w:ascii="仿宋_GB2312" w:eastAsia="仿宋_GB2312"/>
          <w:b w:val="0"/>
          <w:sz w:val="32"/>
          <w:szCs w:val="32"/>
          <w:highlight w:val="none"/>
        </w:rPr>
      </w:pPr>
    </w:p>
    <w:p>
      <w:pPr>
        <w:rPr>
          <w:rFonts w:ascii="仿宋_GB2312" w:eastAsia="仿宋_GB2312"/>
          <w:b w:val="0"/>
          <w:sz w:val="32"/>
          <w:szCs w:val="32"/>
          <w:highlight w:val="none"/>
        </w:rPr>
      </w:pPr>
    </w:p>
    <w:p>
      <w:pPr>
        <w:pStyle w:val="2"/>
        <w:rPr>
          <w:rFonts w:ascii="仿宋_GB2312" w:eastAsia="仿宋_GB2312"/>
          <w:b w:val="0"/>
          <w:sz w:val="32"/>
          <w:szCs w:val="32"/>
          <w:highlight w:val="none"/>
        </w:rPr>
      </w:pPr>
    </w:p>
    <w:p>
      <w:pPr>
        <w:rPr>
          <w:rFonts w:ascii="仿宋_GB2312" w:eastAsia="仿宋_GB2312"/>
          <w:b w:val="0"/>
          <w:sz w:val="32"/>
          <w:szCs w:val="32"/>
          <w:highlight w:val="none"/>
        </w:rPr>
      </w:pPr>
    </w:p>
    <w:p>
      <w:pPr>
        <w:pStyle w:val="2"/>
        <w:rPr>
          <w:rFonts w:ascii="仿宋_GB2312" w:eastAsia="仿宋_GB2312"/>
          <w:b w:val="0"/>
          <w:sz w:val="32"/>
          <w:szCs w:val="32"/>
          <w:highlight w:val="none"/>
        </w:rPr>
      </w:pPr>
    </w:p>
    <w:p>
      <w:pPr>
        <w:rPr>
          <w:rFonts w:ascii="仿宋_GB2312" w:eastAsia="仿宋_GB2312"/>
          <w:b w:val="0"/>
          <w:sz w:val="32"/>
          <w:szCs w:val="32"/>
          <w:highlight w:val="none"/>
        </w:rPr>
      </w:pPr>
    </w:p>
    <w:p>
      <w:pPr>
        <w:pStyle w:val="2"/>
        <w:rPr>
          <w:rFonts w:ascii="仿宋_GB2312" w:eastAsia="仿宋_GB2312"/>
          <w:b w:val="0"/>
          <w:sz w:val="32"/>
          <w:szCs w:val="32"/>
          <w:highlight w:val="none"/>
        </w:rPr>
      </w:pPr>
    </w:p>
    <w:p>
      <w:pPr>
        <w:rPr>
          <w:rFonts w:ascii="仿宋_GB2312" w:eastAsia="仿宋_GB2312"/>
          <w:b w:val="0"/>
          <w:sz w:val="32"/>
          <w:szCs w:val="32"/>
          <w:highlight w:val="none"/>
        </w:rPr>
      </w:pPr>
    </w:p>
    <w:p>
      <w:pPr>
        <w:pStyle w:val="2"/>
        <w:rPr>
          <w:rFonts w:ascii="仿宋_GB2312" w:eastAsia="仿宋_GB2312"/>
          <w:b w:val="0"/>
          <w:sz w:val="32"/>
          <w:szCs w:val="32"/>
          <w:highlight w:val="none"/>
        </w:rPr>
      </w:pPr>
    </w:p>
    <w:p>
      <w:pPr>
        <w:rPr>
          <w:rFonts w:ascii="仿宋_GB2312" w:eastAsia="仿宋_GB2312"/>
          <w:b w:val="0"/>
          <w:sz w:val="32"/>
          <w:szCs w:val="32"/>
          <w:highlight w:val="none"/>
        </w:rPr>
      </w:pPr>
    </w:p>
    <w:p>
      <w:pPr>
        <w:pStyle w:val="2"/>
        <w:spacing w:line="240" w:lineRule="auto"/>
        <w:rPr>
          <w:highlight w:val="none"/>
        </w:rPr>
      </w:pPr>
      <w:r>
        <w:rPr>
          <w:highlight w:val="none"/>
        </w:rPr>
        <w:drawing>
          <wp:inline distT="0" distB="0" distL="114300" distR="114300">
            <wp:extent cx="5482590" cy="6296025"/>
            <wp:effectExtent l="0" t="0" r="381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4"/>
                    <a:stretch>
                      <a:fillRect/>
                    </a:stretch>
                  </pic:blipFill>
                  <pic:spPr>
                    <a:xfrm>
                      <a:off x="0" y="0"/>
                      <a:ext cx="5482590" cy="6296025"/>
                    </a:xfrm>
                    <a:prstGeom prst="rect">
                      <a:avLst/>
                    </a:prstGeom>
                    <a:noFill/>
                    <a:ln>
                      <a:noFill/>
                    </a:ln>
                  </pic:spPr>
                </pic:pic>
              </a:graphicData>
            </a:graphic>
          </wp:inline>
        </w:drawing>
      </w: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spacing w:line="240" w:lineRule="auto"/>
        <w:rPr>
          <w:highlight w:val="none"/>
        </w:rPr>
      </w:pPr>
      <w:r>
        <w:rPr>
          <w:highlight w:val="none"/>
        </w:rPr>
        <w:drawing>
          <wp:inline distT="0" distB="0" distL="114300" distR="114300">
            <wp:extent cx="5481320" cy="8069580"/>
            <wp:effectExtent l="0" t="0" r="508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5"/>
                    <a:stretch>
                      <a:fillRect/>
                    </a:stretch>
                  </pic:blipFill>
                  <pic:spPr>
                    <a:xfrm>
                      <a:off x="0" y="0"/>
                      <a:ext cx="5481320" cy="8069580"/>
                    </a:xfrm>
                    <a:prstGeom prst="rect">
                      <a:avLst/>
                    </a:prstGeom>
                    <a:noFill/>
                    <a:ln>
                      <a:noFill/>
                    </a:ln>
                  </pic:spPr>
                </pic:pic>
              </a:graphicData>
            </a:graphic>
          </wp:inline>
        </w:drawing>
      </w:r>
    </w:p>
    <w:p>
      <w:pPr>
        <w:rPr>
          <w:highlight w:val="none"/>
        </w:rPr>
      </w:pPr>
      <w:r>
        <w:rPr>
          <w:highlight w:val="none"/>
        </w:rPr>
        <w:drawing>
          <wp:inline distT="0" distB="0" distL="114300" distR="114300">
            <wp:extent cx="5485130" cy="6656705"/>
            <wp:effectExtent l="0" t="0" r="1270" b="1079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6"/>
                    <a:stretch>
                      <a:fillRect/>
                    </a:stretch>
                  </pic:blipFill>
                  <pic:spPr>
                    <a:xfrm>
                      <a:off x="0" y="0"/>
                      <a:ext cx="5485130" cy="6656705"/>
                    </a:xfrm>
                    <a:prstGeom prst="rect">
                      <a:avLst/>
                    </a:prstGeom>
                    <a:noFill/>
                    <a:ln>
                      <a:noFill/>
                    </a:ln>
                  </pic:spPr>
                </pic:pic>
              </a:graphicData>
            </a:graphic>
          </wp:inline>
        </w:drawing>
      </w: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spacing w:line="240" w:lineRule="auto"/>
        <w:rPr>
          <w:highlight w:val="none"/>
        </w:rPr>
      </w:pPr>
      <w:r>
        <w:rPr>
          <w:highlight w:val="none"/>
        </w:rPr>
        <w:drawing>
          <wp:inline distT="0" distB="0" distL="114300" distR="114300">
            <wp:extent cx="5480050" cy="6917690"/>
            <wp:effectExtent l="0" t="0" r="6350" b="1651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7"/>
                    <a:stretch>
                      <a:fillRect/>
                    </a:stretch>
                  </pic:blipFill>
                  <pic:spPr>
                    <a:xfrm>
                      <a:off x="0" y="0"/>
                      <a:ext cx="5480050" cy="6917690"/>
                    </a:xfrm>
                    <a:prstGeom prst="rect">
                      <a:avLst/>
                    </a:prstGeom>
                    <a:noFill/>
                    <a:ln>
                      <a:noFill/>
                    </a:ln>
                  </pic:spPr>
                </pic:pic>
              </a:graphicData>
            </a:graphic>
          </wp:inline>
        </w:drawing>
      </w: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spacing w:line="240" w:lineRule="auto"/>
        <w:rPr>
          <w:highlight w:val="none"/>
        </w:rPr>
      </w:pPr>
      <w:r>
        <w:rPr>
          <w:highlight w:val="none"/>
        </w:rPr>
        <w:drawing>
          <wp:inline distT="0" distB="0" distL="114300" distR="114300">
            <wp:extent cx="5482590" cy="6246495"/>
            <wp:effectExtent l="0" t="0" r="3810" b="190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8"/>
                    <a:stretch>
                      <a:fillRect/>
                    </a:stretch>
                  </pic:blipFill>
                  <pic:spPr>
                    <a:xfrm>
                      <a:off x="0" y="0"/>
                      <a:ext cx="5482590" cy="6246495"/>
                    </a:xfrm>
                    <a:prstGeom prst="rect">
                      <a:avLst/>
                    </a:prstGeom>
                    <a:noFill/>
                    <a:ln>
                      <a:noFill/>
                    </a:ln>
                  </pic:spPr>
                </pic:pic>
              </a:graphicData>
            </a:graphic>
          </wp:inline>
        </w:drawing>
      </w: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spacing w:line="240" w:lineRule="auto"/>
        <w:rPr>
          <w:highlight w:val="none"/>
        </w:rPr>
      </w:pPr>
      <w:r>
        <w:rPr>
          <w:highlight w:val="none"/>
        </w:rPr>
        <w:drawing>
          <wp:inline distT="0" distB="0" distL="114300" distR="114300">
            <wp:extent cx="5480685" cy="5266690"/>
            <wp:effectExtent l="0" t="0" r="5715" b="1016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9"/>
                    <a:stretch>
                      <a:fillRect/>
                    </a:stretch>
                  </pic:blipFill>
                  <pic:spPr>
                    <a:xfrm>
                      <a:off x="0" y="0"/>
                      <a:ext cx="5480685" cy="5266690"/>
                    </a:xfrm>
                    <a:prstGeom prst="rect">
                      <a:avLst/>
                    </a:prstGeom>
                    <a:noFill/>
                    <a:ln>
                      <a:noFill/>
                    </a:ln>
                  </pic:spPr>
                </pic:pic>
              </a:graphicData>
            </a:graphic>
          </wp:inline>
        </w:drawing>
      </w: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spacing w:line="240" w:lineRule="auto"/>
        <w:rPr>
          <w:highlight w:val="none"/>
        </w:rPr>
      </w:pPr>
      <w:r>
        <w:rPr>
          <w:highlight w:val="none"/>
        </w:rPr>
        <w:drawing>
          <wp:inline distT="0" distB="0" distL="114300" distR="114300">
            <wp:extent cx="5477510" cy="1816735"/>
            <wp:effectExtent l="0" t="0" r="8890" b="1206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0"/>
                    <a:stretch>
                      <a:fillRect/>
                    </a:stretch>
                  </pic:blipFill>
                  <pic:spPr>
                    <a:xfrm>
                      <a:off x="0" y="0"/>
                      <a:ext cx="5477510" cy="1816735"/>
                    </a:xfrm>
                    <a:prstGeom prst="rect">
                      <a:avLst/>
                    </a:prstGeom>
                    <a:noFill/>
                    <a:ln>
                      <a:noFill/>
                    </a:ln>
                  </pic:spPr>
                </pic:pic>
              </a:graphicData>
            </a:graphic>
          </wp:inline>
        </w:drawing>
      </w: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spacing w:line="240" w:lineRule="auto"/>
        <w:rPr>
          <w:highlight w:val="none"/>
        </w:rPr>
      </w:pPr>
      <w:r>
        <w:rPr>
          <w:highlight w:val="none"/>
        </w:rPr>
        <w:drawing>
          <wp:inline distT="0" distB="0" distL="114300" distR="114300">
            <wp:extent cx="5482590" cy="2671445"/>
            <wp:effectExtent l="0" t="0" r="3810" b="1460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1"/>
                    <a:stretch>
                      <a:fillRect/>
                    </a:stretch>
                  </pic:blipFill>
                  <pic:spPr>
                    <a:xfrm>
                      <a:off x="0" y="0"/>
                      <a:ext cx="5482590" cy="2671445"/>
                    </a:xfrm>
                    <a:prstGeom prst="rect">
                      <a:avLst/>
                    </a:prstGeom>
                    <a:noFill/>
                    <a:ln>
                      <a:noFill/>
                    </a:ln>
                  </pic:spPr>
                </pic:pic>
              </a:graphicData>
            </a:graphic>
          </wp:inline>
        </w:drawing>
      </w: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spacing w:line="240" w:lineRule="auto"/>
        <w:rPr>
          <w:highlight w:val="none"/>
        </w:rPr>
      </w:pPr>
      <w:r>
        <w:rPr>
          <w:highlight w:val="none"/>
        </w:rPr>
        <w:drawing>
          <wp:inline distT="0" distB="0" distL="114300" distR="114300">
            <wp:extent cx="5485130" cy="2196465"/>
            <wp:effectExtent l="0" t="0" r="1270" b="1333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2"/>
                    <a:stretch>
                      <a:fillRect/>
                    </a:stretch>
                  </pic:blipFill>
                  <pic:spPr>
                    <a:xfrm>
                      <a:off x="0" y="0"/>
                      <a:ext cx="5485130" cy="2196465"/>
                    </a:xfrm>
                    <a:prstGeom prst="rect">
                      <a:avLst/>
                    </a:prstGeom>
                    <a:noFill/>
                    <a:ln>
                      <a:noFill/>
                    </a:ln>
                  </pic:spPr>
                </pic:pic>
              </a:graphicData>
            </a:graphic>
          </wp:inline>
        </w:drawing>
      </w:r>
    </w:p>
    <w:p>
      <w:pPr>
        <w:rPr>
          <w:highlight w:val="none"/>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Pr>
        <w:rPr>
          <w:highlight w:val="none"/>
        </w:rPr>
      </w:pPr>
    </w:p>
    <w:sectPr>
      <w:pgSz w:w="12240" w:h="15840"/>
      <w:pgMar w:top="1440" w:right="1800" w:bottom="1440" w:left="180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D5032A4"/>
    <w:multiLevelType w:val="singleLevel"/>
    <w:tmpl w:val="ED5032A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CD2F3C"/>
    <w:rsid w:val="01116D11"/>
    <w:rsid w:val="01800F0A"/>
    <w:rsid w:val="04047BD5"/>
    <w:rsid w:val="089939FC"/>
    <w:rsid w:val="0A323181"/>
    <w:rsid w:val="0B620CC1"/>
    <w:rsid w:val="0DB00852"/>
    <w:rsid w:val="0E8F460B"/>
    <w:rsid w:val="10117B40"/>
    <w:rsid w:val="11E07A79"/>
    <w:rsid w:val="144A63F1"/>
    <w:rsid w:val="16E61095"/>
    <w:rsid w:val="17486D97"/>
    <w:rsid w:val="18257046"/>
    <w:rsid w:val="18550095"/>
    <w:rsid w:val="193C1037"/>
    <w:rsid w:val="19AD6386"/>
    <w:rsid w:val="1BB17D76"/>
    <w:rsid w:val="1BCE2C9A"/>
    <w:rsid w:val="1BCF06AF"/>
    <w:rsid w:val="1CA60801"/>
    <w:rsid w:val="1CC73E71"/>
    <w:rsid w:val="1DBC1C64"/>
    <w:rsid w:val="1DCC290B"/>
    <w:rsid w:val="1E03246D"/>
    <w:rsid w:val="1E94378E"/>
    <w:rsid w:val="202D3C39"/>
    <w:rsid w:val="20C5102A"/>
    <w:rsid w:val="21206230"/>
    <w:rsid w:val="22A55563"/>
    <w:rsid w:val="24E30A1E"/>
    <w:rsid w:val="25CB3869"/>
    <w:rsid w:val="26B844F8"/>
    <w:rsid w:val="27D56532"/>
    <w:rsid w:val="27FF52B4"/>
    <w:rsid w:val="29065DAE"/>
    <w:rsid w:val="29081377"/>
    <w:rsid w:val="2945360D"/>
    <w:rsid w:val="2A822B6B"/>
    <w:rsid w:val="2E640344"/>
    <w:rsid w:val="2EF57F78"/>
    <w:rsid w:val="2FB7332C"/>
    <w:rsid w:val="30143532"/>
    <w:rsid w:val="306902FB"/>
    <w:rsid w:val="35B547C0"/>
    <w:rsid w:val="35EA5DEC"/>
    <w:rsid w:val="39446319"/>
    <w:rsid w:val="395F69EC"/>
    <w:rsid w:val="39EF6591"/>
    <w:rsid w:val="3BA20C1F"/>
    <w:rsid w:val="3C697FD2"/>
    <w:rsid w:val="3CA81FA9"/>
    <w:rsid w:val="3FA80BCB"/>
    <w:rsid w:val="411662BC"/>
    <w:rsid w:val="421853D1"/>
    <w:rsid w:val="42BA743D"/>
    <w:rsid w:val="43F45137"/>
    <w:rsid w:val="45392E5C"/>
    <w:rsid w:val="45934C96"/>
    <w:rsid w:val="494A1ED3"/>
    <w:rsid w:val="4B863FE2"/>
    <w:rsid w:val="4BDE751B"/>
    <w:rsid w:val="4E176F41"/>
    <w:rsid w:val="50F136A5"/>
    <w:rsid w:val="51F37FBF"/>
    <w:rsid w:val="528A0F5D"/>
    <w:rsid w:val="52E7032C"/>
    <w:rsid w:val="55EF5ED0"/>
    <w:rsid w:val="58CF73B7"/>
    <w:rsid w:val="59A40F74"/>
    <w:rsid w:val="59B76D62"/>
    <w:rsid w:val="5A1227FA"/>
    <w:rsid w:val="5A187E5D"/>
    <w:rsid w:val="5CF4550E"/>
    <w:rsid w:val="5DBA1B46"/>
    <w:rsid w:val="5E295DEF"/>
    <w:rsid w:val="5E390862"/>
    <w:rsid w:val="5FD51134"/>
    <w:rsid w:val="61965EEC"/>
    <w:rsid w:val="62315B63"/>
    <w:rsid w:val="62946EC2"/>
    <w:rsid w:val="62DC7C9C"/>
    <w:rsid w:val="6385286D"/>
    <w:rsid w:val="645360B2"/>
    <w:rsid w:val="64CF672E"/>
    <w:rsid w:val="65660500"/>
    <w:rsid w:val="666A11B3"/>
    <w:rsid w:val="666F6942"/>
    <w:rsid w:val="69C94F4A"/>
    <w:rsid w:val="6BAB1B0D"/>
    <w:rsid w:val="6CBF5072"/>
    <w:rsid w:val="6F5A64DF"/>
    <w:rsid w:val="6F6E5106"/>
    <w:rsid w:val="70553FBE"/>
    <w:rsid w:val="71EA139B"/>
    <w:rsid w:val="72C135BD"/>
    <w:rsid w:val="73411119"/>
    <w:rsid w:val="74002AFD"/>
    <w:rsid w:val="74683F3D"/>
    <w:rsid w:val="74686009"/>
    <w:rsid w:val="76DA5A82"/>
    <w:rsid w:val="771E361E"/>
    <w:rsid w:val="775C2030"/>
    <w:rsid w:val="77CE2D2B"/>
    <w:rsid w:val="77EE666C"/>
    <w:rsid w:val="7A7E731D"/>
    <w:rsid w:val="7DF33CF0"/>
    <w:rsid w:val="7EC0483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2">
    <w:name w:val="heading 3"/>
    <w:basedOn w:val="1"/>
    <w:next w:val="1"/>
    <w:unhideWhenUsed/>
    <w:qFormat/>
    <w:uiPriority w:val="0"/>
    <w:pPr>
      <w:keepNext/>
      <w:keepLines/>
      <w:spacing w:line="560" w:lineRule="exact"/>
      <w:outlineLvl w:val="2"/>
    </w:pPr>
    <w:rPr>
      <w:b/>
      <w:bCs/>
      <w:sz w:val="32"/>
      <w:szCs w:val="32"/>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customStyle="1" w:styleId="5">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Office_11.1.0.8527_F1E327BC-269C-435d-A152-05C5408002CA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2025-08-14T02:38:00Z</dcterms:created>
  <dc:creator>Administrator</dc:creator>
  <cp:lastModifiedBy>Administrator</cp:lastModifiedBy>
  <dcterms:modified xsi:type="dcterms:W3CDTF">2025-10-18T10:57:12Z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