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color w:val="auto"/>
          <w:sz w:val="32"/>
          <w:szCs w:val="32"/>
        </w:rPr>
      </w:pPr>
    </w:p>
    <w:p>
      <w:pPr>
        <w:widowControl/>
        <w:spacing w:before="0" w:beforeLines="0" w:beforeAutospacing="0" w:after="0" w:afterLines="0" w:afterAutospacing="0" w:line="240" w:lineRule="auto"/>
        <w:jc w:val="left"/>
        <w:rPr>
          <w:rFonts w:ascii="宋体" w:eastAsia="宋体"/>
          <w:color w:val="auto"/>
          <w:sz w:val="44"/>
          <w:szCs w:val="44"/>
        </w:rPr>
      </w:pPr>
    </w:p>
    <w:p>
      <w:pPr>
        <w:widowControl/>
        <w:spacing w:before="0" w:beforeLines="0" w:beforeAutospacing="0" w:after="0" w:afterLines="0" w:afterAutospacing="0" w:line="240" w:lineRule="auto"/>
        <w:jc w:val="left"/>
        <w:rPr>
          <w:rFonts w:ascii="宋体" w:eastAsia="宋体"/>
          <w:color w:val="auto"/>
          <w:sz w:val="44"/>
          <w:szCs w:val="44"/>
        </w:rPr>
      </w:pPr>
    </w:p>
    <w:p>
      <w:pPr>
        <w:widowControl/>
        <w:spacing w:before="0" w:beforeLines="0" w:beforeAutospacing="0" w:after="0" w:afterLines="0" w:afterAutospacing="0" w:line="240" w:lineRule="auto"/>
        <w:jc w:val="left"/>
        <w:rPr>
          <w:rFonts w:ascii="宋体" w:eastAsia="宋体"/>
          <w:color w:val="auto"/>
          <w:sz w:val="44"/>
          <w:szCs w:val="44"/>
        </w:rPr>
      </w:pPr>
    </w:p>
    <w:p>
      <w:pPr>
        <w:widowControl/>
        <w:spacing w:before="0" w:beforeLines="0" w:beforeAutospacing="0" w:after="0" w:afterLines="0" w:afterAutospacing="0" w:line="240" w:lineRule="auto"/>
        <w:jc w:val="center"/>
        <w:outlineLvl w:val="0"/>
        <w:rPr>
          <w:rFonts w:ascii="宋体" w:eastAsia="黑体"/>
          <w:color w:val="auto"/>
          <w:sz w:val="44"/>
          <w:szCs w:val="44"/>
        </w:rPr>
      </w:pPr>
      <w:r>
        <w:rPr>
          <w:rFonts w:ascii="宋体" w:eastAsia="黑体"/>
          <w:b w:val="0"/>
          <w:color w:val="auto"/>
          <w:sz w:val="44"/>
          <w:szCs w:val="44"/>
        </w:rPr>
        <w:t>库尔勒市住房和城乡建设局</w:t>
      </w:r>
    </w:p>
    <w:p>
      <w:pPr>
        <w:widowControl/>
        <w:spacing w:before="0" w:beforeLines="0" w:beforeAutospacing="0" w:after="0" w:afterLines="0" w:afterAutospacing="0" w:line="240" w:lineRule="auto"/>
        <w:jc w:val="center"/>
        <w:outlineLvl w:val="0"/>
        <w:rPr>
          <w:rFonts w:ascii="黑体" w:eastAsia="黑体"/>
          <w:color w:val="auto"/>
          <w:sz w:val="44"/>
          <w:szCs w:val="44"/>
        </w:rPr>
      </w:pPr>
      <w:r>
        <w:rPr>
          <w:rFonts w:ascii="黑体" w:eastAsia="黑体"/>
          <w:b w:val="0"/>
          <w:color w:val="auto"/>
          <w:sz w:val="44"/>
          <w:szCs w:val="44"/>
        </w:rPr>
        <w:t>2024年度部门决算公开说明</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rPr>
          <w:rFonts w:ascii="黑体" w:eastAsia="黑体"/>
          <w:color w:val="auto"/>
          <w:sz w:val="32"/>
          <w:szCs w:val="32"/>
        </w:rPr>
      </w:pPr>
      <w:r>
        <w:rPr>
          <w:rFonts w:ascii="黑体" w:eastAsia="黑体"/>
          <w:b/>
          <w:color w:val="auto"/>
          <w:sz w:val="32"/>
          <w:szCs w:val="32"/>
        </w:rPr>
        <w:t>目录</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第一部分单位概况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一、主要职能</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二、机构设置及人员情况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（二）政府采购情况</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十二、其他需说明的事项</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第三部分专业名词解释</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九、《财政拨款“三公”经费支出决算表》</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第一部分单位概况</w:t>
      </w:r>
    </w:p>
    <w:p>
      <w:pPr>
        <w:widowControl/>
        <w:numPr>
          <w:ilvl w:val="0"/>
          <w:numId w:val="1"/>
        </w:numPr>
        <w:spacing w:before="0" w:beforeLines="0" w:beforeAutospacing="0" w:after="0" w:afterLines="0" w:afterAutospacing="0" w:line="240" w:lineRule="auto"/>
        <w:ind w:firstLine="640" w:firstLineChars="200"/>
        <w:jc w:val="left"/>
        <w:outlineLvl w:val="1"/>
        <w:rPr>
          <w:rFonts w:ascii="黑体" w:eastAsia="黑体"/>
          <w:b w:val="0"/>
          <w:color w:val="auto"/>
          <w:sz w:val="32"/>
          <w:szCs w:val="32"/>
        </w:rPr>
      </w:pPr>
      <w:r>
        <w:rPr>
          <w:rFonts w:ascii="黑体" w:eastAsia="黑体"/>
          <w:b w:val="0"/>
          <w:color w:val="auto"/>
          <w:sz w:val="32"/>
          <w:szCs w:val="32"/>
        </w:rPr>
        <w:t>主要职能</w:t>
      </w:r>
    </w:p>
    <w:p>
      <w:pPr>
        <w:widowControl/>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hint="eastAsia" w:ascii="仿宋_GB2312" w:eastAsia="仿宋_GB2312"/>
          <w:b w:val="0"/>
          <w:color w:val="auto"/>
          <w:sz w:val="32"/>
          <w:szCs w:val="32"/>
          <w:lang w:val="en-US" w:eastAsia="zh-CN"/>
        </w:rPr>
        <w:t>执行国家、自治区、自治州关于住房和城乡建设的法律、 法规、方针、政策，拟订库尔勒市住房和城乡建设事业、人防发展的政策及中长期规划并指导实施，对全市住房和城乡建设事业、人防进行监督管理。参与城市管理相关工作，监督管理住建系统各单位、各部门履行主体责任，会同市属相关部门认真落实城市管理责任；检查指导城市建设档案管理。指导监督城市园林绿化、供水、排水（生活污水）、库尔勒市市区节水、燃气、供热、城市景观照明、城市亮化、市政道路桥梁设施、城市市容环境卫生等行业；指导城市管理综合执法工作。指导库尔勒市城镇保障性安居工程、农村富民安居工程、农村危旧房改造和农村住房建设、农村生活垃圾专项治理。负责库尔勒市建筑业、建筑市场管理工作；制定勘察、设计、招投标、施工质量和安全、监理和相关中介服务管理的规章并监督实施。指导全市住宅建设和城镇住房制度改革工作。负责全市住宅和房地产行业、物业管理活动的监督管理，指导全市住宅建设和房地产开发；承担规范房地产市场秩序、监督管理房地产市场的责任。指导监督城市建成区房屋征收补偿工作。依法对城市和重要经济目标的人民防空建设进行监督检查；参与编制库尔勒市人民防空工程建设总体规划；负责库尔勒市人民防空工程建设与管理；配合有关部门人口疏散计划和疏散地域建设（基地）规划，会同有关部门建设疏散地域。参与人民防空组织指挥、通信、 警报、信息化建设与管理，参与编制库尔勒市防空袭预案并组织实施专项演习（练），指导和监督全市重要经济目标防护和人民防空平战结合工作。参与编制城乡抗震减灾、市政设施安全管理规划并监督实施；监督各类房屋建筑及其附属设施、城市市政工程的抗震设计规范的实施；参与震后重建工作；参与城市地下空间的开发利用。参与库尔勒市房屋建筑、市政设施突发公共事件应急处置工作。组织实施工程建设实施阶段的国家标准、全国统一定额和行业标准；指导并监督各类工程建设标准定额的实施；贯彻执行建筑节能法律、法规及规章制度。指导管理市住房和城乡建设行业宣传教育工作。指导市住房和城乡建设行业的干部职工培训及继续教育工作。指导市住房和城乡建设行业各类协会的业务工作。组织起草市住房和城乡建设行业改革方案并协调实施。完成市党委、市人民政府交办的其他任务。与市自然资源局有关职责分工：市住房和城乡建设局负责新建商品房期楼盘表、新建商品房销售、房屋租赁、房屋面积等管理工作；负责新建商品房屋交易与信息平台、服务窗口建设工作。新建商品房网上签约、合同备案、预售资金监管；在建工程合同网签备案。</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库尔勒市住房和城乡建设局2024年度，实有人数103人，其中：在职人员21人，减少7人；离休人员0人，较上年无变化；退休人员82人，增加6人。</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库尔勒市住房和城乡建设局无下属预算单位，下设</w:t>
      </w:r>
      <w:r>
        <w:rPr>
          <w:rFonts w:hint="eastAsia" w:ascii="仿宋_GB2312" w:eastAsia="仿宋_GB2312"/>
          <w:b w:val="0"/>
          <w:color w:val="auto"/>
          <w:sz w:val="32"/>
          <w:szCs w:val="32"/>
          <w:lang w:val="en-US" w:eastAsia="zh-CN"/>
        </w:rPr>
        <w:t>6</w:t>
      </w:r>
      <w:r>
        <w:rPr>
          <w:rFonts w:ascii="仿宋_GB2312" w:eastAsia="仿宋_GB2312"/>
          <w:b w:val="0"/>
          <w:color w:val="auto"/>
          <w:sz w:val="32"/>
          <w:szCs w:val="32"/>
        </w:rPr>
        <w:t>个</w:t>
      </w:r>
      <w:r>
        <w:rPr>
          <w:rFonts w:hint="eastAsia" w:ascii="仿宋_GB2312" w:eastAsia="仿宋_GB2312"/>
          <w:b w:val="0"/>
          <w:color w:val="auto"/>
          <w:sz w:val="32"/>
          <w:szCs w:val="32"/>
          <w:lang w:eastAsia="zh-CN"/>
        </w:rPr>
        <w:t>科室</w:t>
      </w:r>
      <w:r>
        <w:rPr>
          <w:rFonts w:ascii="仿宋_GB2312" w:eastAsia="仿宋_GB2312"/>
          <w:b w:val="0"/>
          <w:color w:val="auto"/>
          <w:sz w:val="32"/>
          <w:szCs w:val="32"/>
        </w:rPr>
        <w:t>，分别是：</w:t>
      </w:r>
      <w:r>
        <w:rPr>
          <w:rFonts w:hint="eastAsia" w:ascii="仿宋_GB2312" w:eastAsia="仿宋_GB2312"/>
          <w:color w:val="auto"/>
          <w:sz w:val="32"/>
          <w:szCs w:val="32"/>
          <w:highlight w:val="none"/>
          <w:lang w:val="en-US" w:eastAsia="zh-CN"/>
        </w:rPr>
        <w:t>办公室（党建办公室）、城市建设管理股、城乡住房保障股、建筑人防抗震股、公用事业与物业管理股、信访执法监督股</w:t>
      </w:r>
      <w:r>
        <w:rPr>
          <w:rFonts w:ascii="仿宋_GB2312" w:eastAsia="仿宋_GB2312"/>
          <w:b w:val="0"/>
          <w:color w:val="auto"/>
          <w:sz w:val="32"/>
          <w:szCs w:val="32"/>
        </w:rPr>
        <w:t>。</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2024年度收入总计133,980.91万元，其中：本年收入合计133,980.91万元，使用非财政拨款结余（含专用结余）0.00万元，年初结转和结余0.00万元。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2024年度支出总计133,980.91万元，其中：本年支出合计133,980.91万元，结余分配0.00万元，年末结转和结余0.00万元。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收入支出总体与上年相比，减少221,831.41万元，下降62.35%，主要原因是：</w:t>
      </w:r>
      <w:r>
        <w:rPr>
          <w:rFonts w:hint="eastAsia" w:ascii="仿宋_GB2312" w:hAnsi="宋体" w:eastAsia="仿宋_GB2312" w:cs="仿宋_GB2312"/>
          <w:color w:val="auto"/>
          <w:kern w:val="16"/>
          <w:sz w:val="32"/>
          <w:szCs w:val="32"/>
          <w:highlight w:val="none"/>
          <w:lang w:val="en-US" w:eastAsia="zh-CN" w:bidi="ar-SA"/>
        </w:rPr>
        <w:t>本年度新建项目及续建项目减少，并且老旧小区改造、棚户区改造任务逐年递减</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收入133,980.91万元，其中：财政拨款收入133,914.91万元,占99.95%；上级补助收入0.00万元,占0.00%；事业收入0.00万元，占0.00%；经营收入0.00万元,占0.00%；附属单位上缴收入0.00万元，占0.00%；其他收入66.00万元，占0.05%。</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本年支出133,980.91万元，其中：基本支出2,734.96万元，占2.04%；项目支出131,245.95万元，占97.96%；上缴上级支出0.00万元，占0.00%；经营支出0.00万元，占0.00%；对附属单位补助支出0.00万元，占0.00%。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财政拨款收入总计133,914.91万元，其中：年初财政拨款结转和结余0.00万元，本年财政拨款收入133,914.91万元。财政拨款支出总计133,914.91万元，其中：年末财政拨款结转和结余0.00万元，本年财政拨款支出133,914.91万元。</w:t>
      </w:r>
    </w:p>
    <w:p>
      <w:pPr>
        <w:widowControl/>
        <w:spacing w:before="0" w:beforeLines="0" w:beforeAutospacing="0" w:after="0" w:afterLines="0" w:afterAutospacing="0" w:line="240" w:lineRule="auto"/>
        <w:ind w:firstLine="640" w:firstLineChars="200"/>
        <w:jc w:val="both"/>
        <w:rPr>
          <w:rFonts w:hint="eastAsia" w:ascii="仿宋_GB2312" w:hAnsi="宋体" w:eastAsia="仿宋_GB2312" w:cs="仿宋_GB2312"/>
          <w:color w:val="auto"/>
          <w:kern w:val="16"/>
          <w:sz w:val="32"/>
          <w:szCs w:val="32"/>
          <w:highlight w:val="none"/>
          <w:lang w:val="en-US" w:eastAsia="zh-CN" w:bidi="ar-SA"/>
        </w:rPr>
      </w:pPr>
      <w:r>
        <w:rPr>
          <w:rFonts w:ascii="仿宋_GB2312" w:eastAsia="仿宋_GB2312"/>
          <w:b w:val="0"/>
          <w:color w:val="auto"/>
          <w:sz w:val="32"/>
          <w:szCs w:val="32"/>
        </w:rPr>
        <w:t>财政拨款收入支出总体与上年相比，减少219,076.47万元，下降62.06%，主要原因是：</w:t>
      </w:r>
      <w:r>
        <w:rPr>
          <w:rFonts w:hint="eastAsia" w:ascii="仿宋_GB2312" w:hAnsi="宋体" w:eastAsia="仿宋_GB2312" w:cs="仿宋_GB2312"/>
          <w:color w:val="auto"/>
          <w:kern w:val="16"/>
          <w:sz w:val="32"/>
          <w:szCs w:val="32"/>
          <w:highlight w:val="none"/>
          <w:lang w:val="en-US" w:eastAsia="zh-CN" w:bidi="ar-SA"/>
        </w:rPr>
        <w:t>本年度新建项目及续建项目减少，并且老旧小区改造、棚户区改造任务逐年递减。与年初预算相比，年初预算数55,914.16万元，决算数133,914.91万元，预决算差异率139.50%，主要原因是：年中债券项目资金到位。</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（一）一般公共预算财政拨款支出决算总体情况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2024年度一般公共预算财政拨款支出56,787.91万元，占本年支出合计的42.39%。与上年相比，增加32,988.52万元，增长138.61%，主要原因是：</w:t>
      </w:r>
      <w:r>
        <w:rPr>
          <w:rFonts w:hint="eastAsia" w:ascii="仿宋_GB2312" w:eastAsia="仿宋_GB2312"/>
          <w:b w:val="0"/>
          <w:color w:val="auto"/>
          <w:sz w:val="32"/>
          <w:szCs w:val="32"/>
          <w:lang w:val="en-US" w:eastAsia="zh-CN"/>
        </w:rPr>
        <w:t>本年消化暂付款（公租房维护管理资金）、</w:t>
      </w:r>
      <w:r>
        <w:rPr>
          <w:rFonts w:hint="eastAsia" w:ascii="仿宋_GB2312" w:eastAsia="仿宋_GB2312"/>
          <w:b w:val="0"/>
          <w:color w:val="auto"/>
          <w:sz w:val="32"/>
          <w:szCs w:val="32"/>
          <w:lang w:eastAsia="zh-CN"/>
        </w:rPr>
        <w:t>西城区热力管网建设、西城区基础设施提升改造项目及打通断头路项目建设、</w:t>
      </w:r>
      <w:r>
        <w:rPr>
          <w:rFonts w:hint="eastAsia" w:ascii="仿宋_GB2312" w:eastAsia="仿宋_GB2312"/>
          <w:b w:val="0"/>
          <w:color w:val="auto"/>
          <w:sz w:val="32"/>
          <w:szCs w:val="32"/>
          <w:lang w:val="en-US" w:eastAsia="zh-CN"/>
        </w:rPr>
        <w:t>2022-2024年度</w:t>
      </w:r>
      <w:r>
        <w:rPr>
          <w:rFonts w:hint="eastAsia" w:ascii="仿宋_GB2312" w:eastAsia="仿宋_GB2312"/>
          <w:b w:val="0"/>
          <w:color w:val="auto"/>
          <w:sz w:val="32"/>
          <w:szCs w:val="32"/>
          <w:lang w:eastAsia="zh-CN"/>
        </w:rPr>
        <w:t>煤改电项目改造资金及前期费用增加；</w:t>
      </w:r>
      <w:r>
        <w:rPr>
          <w:rFonts w:hint="eastAsia" w:ascii="仿宋_GB2312" w:eastAsia="仿宋_GB2312"/>
          <w:b w:val="0"/>
          <w:color w:val="auto"/>
          <w:sz w:val="32"/>
          <w:szCs w:val="32"/>
          <w:lang w:val="en-US" w:eastAsia="zh-CN"/>
        </w:rPr>
        <w:t>2022-2023年部分棚户区（西城区三期、铁克其乡棚户区城中村）改造项目资金、拆迁安置资金、2022-2023年老旧小区改造项目配套资金及管网改造费用、</w:t>
      </w:r>
      <w:r>
        <w:rPr>
          <w:rFonts w:hint="eastAsia" w:ascii="仿宋_GB2312" w:eastAsia="仿宋_GB2312"/>
          <w:b w:val="0"/>
          <w:color w:val="auto"/>
          <w:sz w:val="32"/>
          <w:szCs w:val="32"/>
          <w:lang w:eastAsia="zh-CN"/>
        </w:rPr>
        <w:t>三馆</w:t>
      </w:r>
      <w:r>
        <w:rPr>
          <w:rFonts w:hint="eastAsia" w:ascii="仿宋_GB2312" w:eastAsia="仿宋_GB2312"/>
          <w:b w:val="0"/>
          <w:color w:val="auto"/>
          <w:sz w:val="32"/>
          <w:szCs w:val="32"/>
          <w:lang w:val="en-US" w:eastAsia="zh-CN"/>
        </w:rPr>
        <w:t>PPP项目财政支出项目、巴州城市基础设施更新改造项目建设资金、2023年度燃气管道更新改造项目、2020年棚户区改造内配套项目资金；以前年度项目达到支付条件，本年度完成支付。</w:t>
      </w:r>
      <w:r>
        <w:rPr>
          <w:rFonts w:ascii="仿宋_GB2312" w:eastAsia="仿宋_GB2312"/>
          <w:b w:val="0"/>
          <w:color w:val="auto"/>
          <w:sz w:val="32"/>
          <w:szCs w:val="32"/>
        </w:rPr>
        <w:t>与年初预算相比，年初预算数21,882.02万元，决算数56,787.91万元，预决算差异率159.52%，主要原因是：</w:t>
      </w:r>
      <w:r>
        <w:rPr>
          <w:rFonts w:hint="eastAsia" w:ascii="仿宋_GB2312" w:eastAsia="仿宋_GB2312"/>
          <w:b w:val="0"/>
          <w:color w:val="auto"/>
          <w:sz w:val="32"/>
          <w:szCs w:val="32"/>
          <w:lang w:eastAsia="zh-CN"/>
        </w:rPr>
        <w:t>年中到位上级专项资金，</w:t>
      </w:r>
      <w:r>
        <w:rPr>
          <w:rFonts w:hint="eastAsia" w:ascii="仿宋_GB2312" w:eastAsia="仿宋_GB2312"/>
          <w:b w:val="0"/>
          <w:color w:val="auto"/>
          <w:sz w:val="32"/>
          <w:szCs w:val="32"/>
          <w:lang w:val="en-US" w:eastAsia="zh-CN"/>
        </w:rPr>
        <w:t>自治州城市基础设施更新改造项目、</w:t>
      </w:r>
      <w:r>
        <w:rPr>
          <w:rFonts w:hint="eastAsia" w:ascii="仿宋_GB2312" w:eastAsia="仿宋_GB2312"/>
          <w:b w:val="0"/>
          <w:color w:val="auto"/>
          <w:sz w:val="32"/>
          <w:szCs w:val="32"/>
          <w:lang w:eastAsia="zh-CN"/>
        </w:rPr>
        <w:t>西城区热力管网建设、西城区基础设施提升改造项目及打通断头路项目建设、</w:t>
      </w:r>
      <w:r>
        <w:rPr>
          <w:rFonts w:hint="eastAsia" w:ascii="仿宋_GB2312" w:eastAsia="仿宋_GB2312"/>
          <w:b w:val="0"/>
          <w:color w:val="auto"/>
          <w:sz w:val="32"/>
          <w:szCs w:val="32"/>
          <w:lang w:val="en-US" w:eastAsia="zh-CN"/>
        </w:rPr>
        <w:t>巴州城市基础设施更新改造项目建设资金、部分道路燃气管道更新改造项目等</w:t>
      </w:r>
      <w:r>
        <w:rPr>
          <w:rFonts w:hint="eastAsia" w:ascii="仿宋_GB2312" w:eastAsia="仿宋_GB2312"/>
          <w:b w:val="0"/>
          <w:color w:val="auto"/>
          <w:sz w:val="32"/>
          <w:szCs w:val="32"/>
          <w:lang w:eastAsia="zh-CN"/>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一般公共服务支出（类）5.80万元，占0.01%。</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教育支出（类）0.67万元，占0.00%。</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科学技术支出（类）9,740.75万元，占17.15%。</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社会保障和就业支出（类）150.98万元，占0.27%。</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卫生健康支出（类）26.76万元，占0.05%。</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节能环保支出（类）3,650.88万元，占6.43%。</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城乡社区支出（类）29,734.70万元，占52.36%。</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住房保障支出（类）13,397.38万元，占23.59%。</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其他支出（类）80.00万元，占0.14%。</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一般公共服务支出（类）组织事务（款）其他组织事务支出（项）：支出决算数为5.80万元，比上年决算增加5.80万元，增长100.00%，主要原因是：</w:t>
      </w:r>
      <w:r>
        <w:rPr>
          <w:rFonts w:hint="eastAsia" w:ascii="仿宋_GB2312" w:eastAsia="仿宋_GB2312"/>
          <w:b w:val="0"/>
          <w:color w:val="auto"/>
          <w:sz w:val="32"/>
          <w:szCs w:val="32"/>
          <w:lang w:val="en-US" w:eastAsia="zh-CN"/>
        </w:rPr>
        <w:t>2024年支付华源社区开展“访惠聚”工作经费；</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教育支出（类）进修及培训（款）培训支出（项）：支出决算数为0.67万元，比上年决算减少0.67万元，下降50.00%，主要原因是：</w:t>
      </w:r>
      <w:r>
        <w:rPr>
          <w:rFonts w:hint="eastAsia" w:ascii="仿宋_GB2312" w:eastAsia="仿宋_GB2312"/>
          <w:b w:val="0"/>
          <w:color w:val="auto"/>
          <w:sz w:val="32"/>
          <w:szCs w:val="32"/>
          <w:lang w:eastAsia="zh-CN"/>
        </w:rPr>
        <w:t>培训人次较上年减少；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科学技术支出（类）技术研究与开发（款）科技成果转化与扩散（项）：支出决算数为9,740.75万元，比上年决算增加9,740.75万元，增长100.00%，主要原因是：</w:t>
      </w:r>
      <w:r>
        <w:rPr>
          <w:rFonts w:hint="eastAsia" w:ascii="仿宋_GB2312" w:eastAsia="仿宋_GB2312"/>
          <w:b w:val="0"/>
          <w:color w:val="auto"/>
          <w:sz w:val="32"/>
          <w:szCs w:val="32"/>
          <w:lang w:val="en-US" w:eastAsia="zh-CN"/>
        </w:rPr>
        <w:t>1、消化暂付款（公租房维护管理资金）2329.75万元；2、新增自治州城市基础设施更新改造项目支出7411万元；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color w:val="auto"/>
          <w:sz w:val="32"/>
          <w:szCs w:val="32"/>
          <w:lang w:val="en-US" w:eastAsia="zh-CN"/>
        </w:rPr>
      </w:pPr>
      <w:r>
        <w:rPr>
          <w:rFonts w:ascii="仿宋_GB2312" w:eastAsia="仿宋_GB2312"/>
          <w:b w:val="0"/>
          <w:color w:val="auto"/>
          <w:sz w:val="32"/>
          <w:szCs w:val="32"/>
        </w:rPr>
        <w:t>社会保障和就业支出（类）行政事业单位养老支出（款）行政单位离退休（项）：支出决算数为60.80万元，比上年决算增加14.03万元，增长30.00%，主要原因是：</w:t>
      </w:r>
      <w:r>
        <w:rPr>
          <w:rFonts w:hint="eastAsia" w:ascii="仿宋_GB2312" w:eastAsia="仿宋_GB2312"/>
          <w:b w:val="0"/>
          <w:color w:val="auto"/>
          <w:sz w:val="32"/>
          <w:szCs w:val="32"/>
          <w:lang w:eastAsia="zh-CN"/>
        </w:rPr>
        <w:t>在职人员转退休</w:t>
      </w:r>
      <w:r>
        <w:rPr>
          <w:rFonts w:hint="eastAsia" w:ascii="仿宋_GB2312" w:eastAsia="仿宋_GB2312"/>
          <w:b w:val="0"/>
          <w:color w:val="auto"/>
          <w:sz w:val="32"/>
          <w:szCs w:val="32"/>
          <w:lang w:val="en-US" w:eastAsia="zh-CN"/>
        </w:rPr>
        <w:t>6人；</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社会保障和就业支出（类）行政事业单位养老支出（款）机关事业单位基本养老保险缴费支出（项）：支出决算数为42.81万元，比上年决算减少1.22万元，下降2.77%，主要原因是：</w:t>
      </w:r>
      <w:r>
        <w:rPr>
          <w:rFonts w:hint="eastAsia" w:ascii="仿宋_GB2312" w:eastAsia="仿宋_GB2312"/>
          <w:b w:val="0"/>
          <w:color w:val="auto"/>
          <w:sz w:val="32"/>
          <w:szCs w:val="32"/>
          <w:lang w:eastAsia="zh-CN"/>
        </w:rPr>
        <w:t>在职人员转退休</w:t>
      </w:r>
      <w:r>
        <w:rPr>
          <w:rFonts w:hint="eastAsia" w:ascii="仿宋_GB2312" w:eastAsia="仿宋_GB2312"/>
          <w:b w:val="0"/>
          <w:color w:val="auto"/>
          <w:sz w:val="32"/>
          <w:szCs w:val="32"/>
          <w:lang w:val="en-US" w:eastAsia="zh-CN"/>
        </w:rPr>
        <w:t>6人；</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社会保障和就业支出（类）行政事业单位养老支出（款）机关事业单位职业年金缴费支出（项）：支出决算数为47.37万元，比上年决算增加13.81万元，增长41.15%，主要原因是</w:t>
      </w:r>
      <w:r>
        <w:rPr>
          <w:rFonts w:hint="eastAsia" w:ascii="仿宋_GB2312" w:eastAsia="仿宋_GB2312"/>
          <w:b w:val="0"/>
          <w:color w:val="auto"/>
          <w:sz w:val="32"/>
          <w:szCs w:val="32"/>
          <w:lang w:eastAsia="zh-CN"/>
        </w:rPr>
        <w:t>在职人员转退休</w:t>
      </w:r>
      <w:r>
        <w:rPr>
          <w:rFonts w:hint="eastAsia" w:ascii="仿宋_GB2312" w:eastAsia="仿宋_GB2312"/>
          <w:b w:val="0"/>
          <w:color w:val="auto"/>
          <w:sz w:val="32"/>
          <w:szCs w:val="32"/>
          <w:lang w:val="en-US" w:eastAsia="zh-CN"/>
        </w:rPr>
        <w:t>6人,缴纳职业年金较上年增加</w:t>
      </w:r>
      <w:r>
        <w:rPr>
          <w:rFonts w:hint="eastAsia" w:ascii="仿宋_GB2312" w:eastAsia="仿宋_GB2312"/>
          <w:b w:val="0"/>
          <w:color w:val="auto"/>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社会保障和就业支出（类）就业补助（款）公益性岗位补贴（项）：支出决算数为0.00万元，比上年决算减少1.21万元，下降100.00%，主要原因是：</w:t>
      </w:r>
      <w:r>
        <w:rPr>
          <w:rFonts w:hint="eastAsia" w:ascii="仿宋_GB2312" w:eastAsia="仿宋_GB2312"/>
          <w:b w:val="0"/>
          <w:color w:val="auto"/>
          <w:sz w:val="32"/>
          <w:szCs w:val="32"/>
          <w:lang w:eastAsia="zh-CN"/>
        </w:rPr>
        <w:t>本年度，我单位无公益性岗位人员；</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卫生健康支出（类）公共卫生（款）突发公共卫生事件应急处置（项）：支出决算数为0.00万元，比上年决算减少204.67万元，下降100.00%，主要原因是：</w:t>
      </w:r>
      <w:r>
        <w:rPr>
          <w:rFonts w:hint="eastAsia" w:ascii="仿宋_GB2312" w:eastAsia="仿宋_GB2312"/>
          <w:b w:val="0"/>
          <w:color w:val="auto"/>
          <w:sz w:val="32"/>
          <w:szCs w:val="32"/>
          <w:lang w:eastAsia="zh-CN"/>
        </w:rPr>
        <w:t>上年度本科目支出疫情期间困难群众补助，本年度无相关业务支出；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卫生健康支出（类）行政事业单位医疗（款）行政单位医疗（项）：支出决算数为20.15万元，比上年决算减少7.42万元，下降26.91%，主要原因是：</w:t>
      </w:r>
      <w:r>
        <w:rPr>
          <w:rFonts w:hint="eastAsia" w:ascii="仿宋_GB2312" w:hAnsi="仿宋_GB2312" w:eastAsia="仿宋_GB2312" w:cs="仿宋_GB2312"/>
          <w:bCs/>
          <w:color w:val="auto"/>
          <w:kern w:val="0"/>
          <w:sz w:val="32"/>
          <w:szCs w:val="32"/>
          <w:lang w:val="en-US" w:eastAsia="zh-CN" w:bidi="ar-SA"/>
        </w:rPr>
        <w:t>本年在职转退休6人，导致基本医疗缴费减少</w:t>
      </w:r>
      <w:r>
        <w:rPr>
          <w:rFonts w:hint="eastAsia" w:ascii="仿宋_GB2312" w:eastAsia="仿宋_GB2312"/>
          <w:b w:val="0"/>
          <w:color w:val="auto"/>
          <w:sz w:val="32"/>
          <w:szCs w:val="32"/>
          <w:lang w:val="en-US"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卫生健康支出（类）行政事业单位医疗（款）公务员医疗补助（项）：支出决算数为6.61万元，比上年决算增加0.41万元，增长6.61%，主要原因是：</w:t>
      </w:r>
      <w:r>
        <w:rPr>
          <w:rFonts w:hint="eastAsia" w:ascii="仿宋_GB2312" w:eastAsia="仿宋_GB2312"/>
          <w:b w:val="0"/>
          <w:color w:val="auto"/>
          <w:sz w:val="32"/>
          <w:szCs w:val="32"/>
          <w:lang w:eastAsia="zh-CN"/>
        </w:rPr>
        <w:t>本年度</w:t>
      </w:r>
      <w:r>
        <w:rPr>
          <w:rFonts w:hint="eastAsia" w:ascii="仿宋_GB2312" w:hAnsi="仿宋_GB2312" w:eastAsia="仿宋_GB2312" w:cs="仿宋_GB2312"/>
          <w:bCs/>
          <w:color w:val="auto"/>
          <w:kern w:val="0"/>
          <w:sz w:val="32"/>
          <w:szCs w:val="32"/>
          <w:lang w:val="en-US" w:eastAsia="zh-CN" w:bidi="ar-SA"/>
        </w:rPr>
        <w:t>公务员医疗补助</w:t>
      </w:r>
      <w:r>
        <w:rPr>
          <w:rFonts w:hint="eastAsia" w:ascii="仿宋_GB2312" w:eastAsia="仿宋_GB2312"/>
          <w:b w:val="0"/>
          <w:color w:val="auto"/>
          <w:sz w:val="32"/>
          <w:szCs w:val="32"/>
          <w:lang w:eastAsia="zh-CN"/>
        </w:rPr>
        <w:t>基数调整；</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节能环保支出（类）污染防治（款）水体（项）：支出决算数为2,112.62万元，比上年决算增加1,612.62万元，增长322.52%，主要原因是：</w:t>
      </w:r>
      <w:r>
        <w:rPr>
          <w:rFonts w:hint="eastAsia" w:ascii="仿宋_GB2312" w:eastAsia="仿宋_GB2312"/>
          <w:b w:val="0"/>
          <w:color w:val="auto"/>
          <w:sz w:val="32"/>
          <w:szCs w:val="32"/>
          <w:lang w:eastAsia="zh-CN"/>
        </w:rPr>
        <w:t>本年度支付第一水源地项目资金</w:t>
      </w:r>
      <w:r>
        <w:rPr>
          <w:rFonts w:hint="eastAsia" w:ascii="仿宋_GB2312" w:eastAsia="仿宋_GB2312"/>
          <w:b w:val="0"/>
          <w:color w:val="auto"/>
          <w:sz w:val="32"/>
          <w:szCs w:val="32"/>
          <w:lang w:val="en-US" w:eastAsia="zh-CN"/>
        </w:rPr>
        <w:t>200万；</w:t>
      </w:r>
      <w:r>
        <w:rPr>
          <w:rFonts w:hint="eastAsia" w:ascii="仿宋_GB2312" w:hAnsi="仿宋_GB2312" w:eastAsia="仿宋_GB2312" w:cs="仿宋_GB2312"/>
          <w:bCs/>
          <w:color w:val="auto"/>
          <w:kern w:val="0"/>
          <w:sz w:val="32"/>
          <w:szCs w:val="32"/>
          <w:lang w:val="en-US" w:eastAsia="zh-CN" w:bidi="ar-SA"/>
        </w:rPr>
        <w:t>南市区污水处理厂PPP项目2023年在污水处理费安排的支出科目列支，本年在水体科目列支</w:t>
      </w:r>
      <w:r>
        <w:rPr>
          <w:rFonts w:hint="eastAsia" w:ascii="仿宋_GB2312" w:eastAsia="仿宋_GB2312"/>
          <w:b w:val="0"/>
          <w:color w:val="auto"/>
          <w:sz w:val="32"/>
          <w:szCs w:val="32"/>
          <w:lang w:val="en-US" w:eastAsia="zh-CN"/>
        </w:rPr>
        <w:t>1912.62万元；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节能环保支出（类）能源节约利用（款）能源节约利用（项）：支出决算数为1,538.26万元，比上年决算增加1,053.26万元，增长217.17%，主要原因是：</w:t>
      </w:r>
      <w:r>
        <w:rPr>
          <w:rFonts w:hint="eastAsia" w:ascii="仿宋_GB2312" w:eastAsia="仿宋_GB2312"/>
          <w:b w:val="0"/>
          <w:color w:val="auto"/>
          <w:sz w:val="32"/>
          <w:szCs w:val="32"/>
          <w:lang w:eastAsia="zh-CN"/>
        </w:rPr>
        <w:t>本年度支付</w:t>
      </w:r>
      <w:r>
        <w:rPr>
          <w:rFonts w:hint="eastAsia" w:ascii="仿宋_GB2312" w:eastAsia="仿宋_GB2312"/>
          <w:b w:val="0"/>
          <w:color w:val="auto"/>
          <w:sz w:val="32"/>
          <w:szCs w:val="32"/>
          <w:lang w:val="en-US" w:eastAsia="zh-CN"/>
        </w:rPr>
        <w:t>2022-2024年度</w:t>
      </w:r>
      <w:r>
        <w:rPr>
          <w:rFonts w:hint="eastAsia" w:ascii="仿宋_GB2312" w:eastAsia="仿宋_GB2312"/>
          <w:b w:val="0"/>
          <w:color w:val="auto"/>
          <w:sz w:val="32"/>
          <w:szCs w:val="32"/>
          <w:lang w:eastAsia="zh-CN"/>
        </w:rPr>
        <w:t>煤改电项目改造资金及前期费用增加；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城乡社区支出（类）城乡社区管理事务（款）行政运行（项）：支出决算数为349.11万元，比上年决算减少220.72万元，下降38.73%，主要原因是：</w:t>
      </w:r>
      <w:r>
        <w:rPr>
          <w:rFonts w:hint="eastAsia" w:ascii="仿宋_GB2312" w:eastAsia="仿宋_GB2312"/>
          <w:b w:val="0"/>
          <w:color w:val="auto"/>
          <w:sz w:val="32"/>
          <w:szCs w:val="32"/>
          <w:lang w:eastAsia="zh-CN"/>
        </w:rPr>
        <w:t>本年该科目下核算机关办公经费及人员类费用等相关支出：本年度新增退休</w:t>
      </w:r>
      <w:r>
        <w:rPr>
          <w:rFonts w:hint="eastAsia" w:ascii="仿宋_GB2312" w:eastAsia="仿宋_GB2312"/>
          <w:b w:val="0"/>
          <w:color w:val="auto"/>
          <w:sz w:val="32"/>
          <w:szCs w:val="32"/>
          <w:lang w:val="en-US" w:eastAsia="zh-CN"/>
        </w:rPr>
        <w:t>6人减少了工资福利支出；取消职工食堂，减少了食堂的相关费用支出；办公大楼电费2023年度我局代缴，本年度调整为大楼6家单位共同分摊，相关费用减少</w:t>
      </w:r>
      <w:r>
        <w:rPr>
          <w:rFonts w:hint="eastAsia" w:ascii="仿宋_GB2312" w:eastAsia="仿宋_GB2312"/>
          <w:b w:val="0"/>
          <w:color w:val="auto"/>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城乡社区支出（类）城乡社区管理事务（款）其他城乡社区管理事务支出（项）：支出决算数为5,428.58万元，比上年决算增加3,237.77万元，增长147.79%，主要原因是：</w:t>
      </w:r>
      <w:r>
        <w:rPr>
          <w:rFonts w:hint="eastAsia" w:ascii="仿宋_GB2312" w:eastAsia="仿宋_GB2312"/>
          <w:b w:val="0"/>
          <w:color w:val="auto"/>
          <w:sz w:val="32"/>
          <w:szCs w:val="32"/>
          <w:lang w:val="en-US" w:eastAsia="zh-CN"/>
        </w:rPr>
        <w:t>本年度该科目下核算相关道路土地划拨费、道路项目资金及办公经费等支出；2.消化暂付款4400万元；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城乡社区支出（类）城乡社区规划与管理（款）城乡社区规划与管理（项）：支出决算数为552.66万元，比上年决算增加552.66万元，增长100.00%，主要原因是：</w:t>
      </w:r>
      <w:r>
        <w:rPr>
          <w:rFonts w:hint="eastAsia" w:ascii="仿宋_GB2312" w:eastAsia="仿宋_GB2312"/>
          <w:b w:val="0"/>
          <w:color w:val="auto"/>
          <w:sz w:val="32"/>
          <w:szCs w:val="32"/>
          <w:lang w:eastAsia="zh-CN"/>
        </w:rPr>
        <w:t>本年度该科目下核算排水管网项目资金、道路建设勘察费等前期费用；</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val="en-US" w:eastAsia="zh-CN"/>
        </w:rPr>
      </w:pPr>
      <w:r>
        <w:rPr>
          <w:rFonts w:ascii="仿宋_GB2312" w:eastAsia="仿宋_GB2312"/>
          <w:b w:val="0"/>
          <w:color w:val="auto"/>
          <w:sz w:val="32"/>
          <w:szCs w:val="32"/>
        </w:rPr>
        <w:t>城乡社区支出（类）城乡社区公共设施（款）小城镇基础设施建设（项）：支出决算数为4,187.79万元，比上年决算增加4,187.79万元，增长100.00%，主要原因是：</w:t>
      </w:r>
      <w:r>
        <w:rPr>
          <w:rFonts w:hint="eastAsia" w:ascii="仿宋_GB2312" w:eastAsia="仿宋_GB2312"/>
          <w:b w:val="0"/>
          <w:color w:val="auto"/>
          <w:sz w:val="32"/>
          <w:szCs w:val="32"/>
          <w:lang w:eastAsia="zh-CN"/>
        </w:rPr>
        <w:t>本年度该科目下核算西城区热力管网建设、西城区基础设施提升改造项目及打通断头路项目建设资金；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城乡社区支出（类）城乡社区公共设施（款）其他城乡社区公共设施支出（项）：支出决算数为13,425.85万元，比上年决算增加7,036.35万元，增长110.12%，主要原因是：</w:t>
      </w:r>
      <w:r>
        <w:rPr>
          <w:rFonts w:hint="eastAsia" w:ascii="仿宋_GB2312" w:eastAsia="仿宋_GB2312"/>
          <w:b w:val="0"/>
          <w:color w:val="auto"/>
          <w:sz w:val="32"/>
          <w:szCs w:val="32"/>
          <w:lang w:eastAsia="zh-CN"/>
        </w:rPr>
        <w:t>本年度该科目下核算三馆</w:t>
      </w:r>
      <w:r>
        <w:rPr>
          <w:rFonts w:hint="eastAsia" w:ascii="仿宋_GB2312" w:eastAsia="仿宋_GB2312"/>
          <w:b w:val="0"/>
          <w:color w:val="auto"/>
          <w:sz w:val="32"/>
          <w:szCs w:val="32"/>
          <w:lang w:val="en-US" w:eastAsia="zh-CN"/>
        </w:rPr>
        <w:t>PPP项目财政支出项目、巴州城市基础设施更新改造项目建设资金；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城乡社区支出（类）其他城乡社区支出（款）其他城乡社区支出（项）：支出决算数为5,790.73万元，比上年决算减少2,209.27万元，下降27.62%，主要原因是：</w:t>
      </w:r>
      <w:r>
        <w:rPr>
          <w:rFonts w:hint="eastAsia" w:ascii="仿宋_GB2312" w:eastAsia="仿宋_GB2312"/>
          <w:b w:val="0"/>
          <w:color w:val="auto"/>
          <w:sz w:val="32"/>
          <w:szCs w:val="32"/>
          <w:lang w:eastAsia="zh-CN"/>
        </w:rPr>
        <w:t>本年度政府购买服务较上年减少；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住房保障支出（类）保障性安居工程支出（款）棚户区改造（项）：支出决算数为5,729.56万元，比上年决算增加4,629.56万元，增长420.87%，主要原因是：</w:t>
      </w:r>
      <w:r>
        <w:rPr>
          <w:rFonts w:hint="eastAsia" w:ascii="仿宋_GB2312" w:eastAsia="仿宋_GB2312"/>
          <w:b w:val="0"/>
          <w:color w:val="auto"/>
          <w:sz w:val="32"/>
          <w:szCs w:val="32"/>
          <w:lang w:eastAsia="zh-CN"/>
        </w:rPr>
        <w:t>本年度支付</w:t>
      </w:r>
      <w:r>
        <w:rPr>
          <w:rFonts w:hint="eastAsia" w:ascii="仿宋_GB2312" w:eastAsia="仿宋_GB2312"/>
          <w:b w:val="0"/>
          <w:color w:val="auto"/>
          <w:sz w:val="32"/>
          <w:szCs w:val="32"/>
          <w:lang w:val="en-US" w:eastAsia="zh-CN"/>
        </w:rPr>
        <w:t>2022-2023年部分棚户区（西城区三期、铁克其乡棚户区城中村）改造项目资金、拆迁安置资金；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住房保障支出（类）保障性安居工程支出（款）农村危房改造（项）：支出决算数为3.70万元，比上年决算增加3.70万元，增长100.00%，主要原因是：</w:t>
      </w:r>
      <w:r>
        <w:rPr>
          <w:rFonts w:hint="eastAsia" w:ascii="仿宋_GB2312" w:eastAsia="仿宋_GB2312"/>
          <w:b w:val="0"/>
          <w:color w:val="auto"/>
          <w:sz w:val="32"/>
          <w:szCs w:val="32"/>
          <w:lang w:eastAsia="zh-CN"/>
        </w:rPr>
        <w:t>本年度支付</w:t>
      </w:r>
      <w:r>
        <w:rPr>
          <w:rFonts w:hint="eastAsia" w:ascii="仿宋_GB2312" w:eastAsia="仿宋_GB2312"/>
          <w:b w:val="0"/>
          <w:color w:val="auto"/>
          <w:sz w:val="32"/>
          <w:szCs w:val="32"/>
          <w:lang w:val="en-US" w:eastAsia="zh-CN"/>
        </w:rPr>
        <w:t>2人危房改造补助资金；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住房保障支出（类）保障性安居工程支出（款）公共租赁住房（项）：支出决算数为2.92万元，比上年决算增加2.92万元，增长100.00%，主要原因是：</w:t>
      </w:r>
      <w:r>
        <w:rPr>
          <w:rFonts w:hint="eastAsia" w:ascii="仿宋_GB2312" w:eastAsia="仿宋_GB2312"/>
          <w:b w:val="0"/>
          <w:color w:val="auto"/>
          <w:sz w:val="32"/>
          <w:szCs w:val="32"/>
          <w:lang w:eastAsia="zh-CN"/>
        </w:rPr>
        <w:t>本年度支付了</w:t>
      </w:r>
      <w:r>
        <w:rPr>
          <w:rFonts w:hint="eastAsia" w:ascii="仿宋_GB2312" w:eastAsia="仿宋_GB2312"/>
          <w:b w:val="0"/>
          <w:color w:val="auto"/>
          <w:sz w:val="32"/>
          <w:szCs w:val="32"/>
          <w:lang w:val="en-US" w:eastAsia="zh-CN"/>
        </w:rPr>
        <w:t>2020年公租房运维管理资金；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住房保障支出（类）保障性安居工程支出（款）老旧小区改造（项）：支出决算数为5,978.39万元，比上年决算增加2,535.39万元，增长73.64%，主要原因是：</w:t>
      </w:r>
      <w:r>
        <w:rPr>
          <w:rFonts w:hint="eastAsia" w:ascii="仿宋_GB2312" w:eastAsia="仿宋_GB2312"/>
          <w:b w:val="0"/>
          <w:color w:val="auto"/>
          <w:sz w:val="32"/>
          <w:szCs w:val="32"/>
          <w:lang w:eastAsia="zh-CN"/>
        </w:rPr>
        <w:t>本年度支付</w:t>
      </w:r>
      <w:r>
        <w:rPr>
          <w:rFonts w:hint="eastAsia" w:ascii="仿宋_GB2312" w:eastAsia="仿宋_GB2312"/>
          <w:b w:val="0"/>
          <w:color w:val="auto"/>
          <w:sz w:val="32"/>
          <w:szCs w:val="32"/>
          <w:lang w:val="en-US" w:eastAsia="zh-CN"/>
        </w:rPr>
        <w:t>2022-2023年老旧小区改造项目配套资金及管网改造费用；</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住房保障支出（类）保障性安居工程支出（款）保障性租赁住房（项）：支出决算数为553.00万元，比上年决算增加296.00万元，增长115.18%，主要原因是：</w:t>
      </w:r>
      <w:r>
        <w:rPr>
          <w:rFonts w:hint="eastAsia" w:ascii="仿宋_GB2312" w:eastAsia="仿宋_GB2312"/>
          <w:b w:val="0"/>
          <w:color w:val="auto"/>
          <w:sz w:val="32"/>
          <w:szCs w:val="32"/>
          <w:lang w:eastAsia="zh-CN"/>
        </w:rPr>
        <w:t>本年度支付了</w:t>
      </w:r>
      <w:r>
        <w:rPr>
          <w:rFonts w:hint="eastAsia" w:ascii="仿宋_GB2312" w:eastAsia="仿宋_GB2312"/>
          <w:b w:val="0"/>
          <w:color w:val="auto"/>
          <w:sz w:val="32"/>
          <w:szCs w:val="32"/>
          <w:lang w:val="en-US" w:eastAsia="zh-CN"/>
        </w:rPr>
        <w:t>2022年度保障性租赁住房项目资金；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住房保障支出（类）保障性安居工程支出（款）其他保障性安居工程支出（项）：支出决算数为1,097.00万元，比上年决算增加1,097.00万元，增长100.00%，主要原因是：</w:t>
      </w:r>
      <w:r>
        <w:rPr>
          <w:rFonts w:hint="eastAsia" w:ascii="仿宋_GB2312" w:eastAsia="仿宋_GB2312"/>
          <w:b w:val="0"/>
          <w:color w:val="auto"/>
          <w:sz w:val="32"/>
          <w:szCs w:val="32"/>
          <w:lang w:eastAsia="zh-CN"/>
        </w:rPr>
        <w:t>本年度支付</w:t>
      </w:r>
      <w:r>
        <w:rPr>
          <w:rFonts w:hint="eastAsia" w:ascii="仿宋_GB2312" w:eastAsia="仿宋_GB2312"/>
          <w:b w:val="0"/>
          <w:color w:val="auto"/>
          <w:sz w:val="32"/>
          <w:szCs w:val="32"/>
          <w:lang w:val="en-US" w:eastAsia="zh-CN"/>
        </w:rPr>
        <w:t>2023年度燃气管道更新改造项目、2020年棚户区改造内配套项目资金；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住房保障支出（类）住房改革支出（款）住房公积金（项）：支出决算数为32.81万元，比上年决算减少6.37万元，下降16.26%，主要原因是：</w:t>
      </w:r>
      <w:r>
        <w:rPr>
          <w:rFonts w:hint="eastAsia" w:ascii="仿宋_GB2312" w:eastAsia="仿宋_GB2312"/>
          <w:b w:val="0"/>
          <w:color w:val="auto"/>
          <w:sz w:val="32"/>
          <w:szCs w:val="32"/>
          <w:lang w:eastAsia="zh-CN"/>
        </w:rPr>
        <w:t>本年度在职转退休</w:t>
      </w:r>
      <w:r>
        <w:rPr>
          <w:rFonts w:hint="eastAsia" w:ascii="仿宋_GB2312" w:eastAsia="仿宋_GB2312"/>
          <w:b w:val="0"/>
          <w:color w:val="auto"/>
          <w:sz w:val="32"/>
          <w:szCs w:val="32"/>
          <w:lang w:val="en-US" w:eastAsia="zh-CN"/>
        </w:rPr>
        <w:t>6人；</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其他支出（类）其他支出（款）其他支出（项）：支出决算数为80.00万元，比上年决算减少379.72万元，下降82.60%，主要原因是：</w:t>
      </w:r>
      <w:r>
        <w:rPr>
          <w:rFonts w:hint="eastAsia" w:ascii="仿宋_GB2312" w:eastAsia="仿宋_GB2312"/>
          <w:b w:val="0"/>
          <w:color w:val="auto"/>
          <w:sz w:val="32"/>
          <w:szCs w:val="32"/>
          <w:lang w:eastAsia="zh-CN"/>
        </w:rPr>
        <w:t>本年度该科目支付自治州高层次紧缺人才购房补贴资金</w:t>
      </w:r>
      <w:r>
        <w:rPr>
          <w:rFonts w:hint="eastAsia" w:ascii="仿宋_GB2312" w:eastAsia="仿宋_GB2312"/>
          <w:b w:val="0"/>
          <w:color w:val="auto"/>
          <w:sz w:val="32"/>
          <w:szCs w:val="32"/>
          <w:lang w:val="en-US" w:eastAsia="zh-CN"/>
        </w:rPr>
        <w:t>80万</w:t>
      </w: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lang w:val="en-US" w:eastAsia="zh-CN"/>
        </w:rPr>
        <w:t>2023年度本科支付的是疫情期间困难群众暖气及物业费补助资金459.72万，本年度无相关疫情期间补贴业务支出，故其他支出科目减少。</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一般公共预算财政拨款基本支出675.83万元，其中：人员经费525.46万元，包括：基本工资、津贴补贴、奖金、机关事业单位基本养老保险缴费、职业年金缴费、职工基本医疗保险缴费、公务员医疗补助缴费、其他社会保障缴费、住房公积金、其他工资福利支出、退休费和生活补助。</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公用经费150.37万元，包括：办公费、水费、电费、邮电费、取暖费、差旅费、培训费、工会经费、福利费、公务用车运行维护费和其他商品和服务支出。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政府性基金预算财政拨款收入总计77,127.00万元，其中：年初结转和结余0.00万元，本年收入77,127.00万元。政府性基金预算财政拨款支出总计77,127.00万元，其中：年末结转和结余0.00万元，本年支出77,127.00万元。</w:t>
      </w:r>
    </w:p>
    <w:p>
      <w:pPr>
        <w:widowControl/>
        <w:spacing w:before="0" w:beforeLines="0" w:beforeAutospacing="0" w:after="0" w:afterLines="0" w:afterAutospacing="0" w:line="240" w:lineRule="auto"/>
        <w:ind w:firstLine="640" w:firstLineChars="200"/>
        <w:jc w:val="both"/>
        <w:rPr>
          <w:rFonts w:ascii="仿宋_GB2312" w:eastAsia="仿宋_GB2312"/>
          <w:b w:val="0"/>
          <w:color w:val="auto"/>
          <w:sz w:val="32"/>
          <w:szCs w:val="32"/>
        </w:rPr>
      </w:pPr>
      <w:r>
        <w:rPr>
          <w:rFonts w:ascii="仿宋_GB2312" w:eastAsia="仿宋_GB2312"/>
          <w:b w:val="0"/>
          <w:color w:val="auto"/>
          <w:sz w:val="32"/>
          <w:szCs w:val="32"/>
        </w:rPr>
        <w:t>政府性基金预算财政拨款收入支出总体与上年相比，减少252,064.99万元，下降76.57%，主要原因是：</w:t>
      </w:r>
      <w:r>
        <w:rPr>
          <w:rFonts w:hint="eastAsia" w:ascii="仿宋_GB2312" w:eastAsia="仿宋_GB2312"/>
          <w:b w:val="0"/>
          <w:color w:val="auto"/>
          <w:sz w:val="32"/>
          <w:szCs w:val="32"/>
          <w:lang w:val="en-US" w:eastAsia="zh-CN"/>
        </w:rPr>
        <w:t>本年度新建项目及续建项目减少，并且老旧小区改造、棚户区改造任务逐年递减，本年无债务支出</w:t>
      </w:r>
      <w:r>
        <w:rPr>
          <w:rFonts w:ascii="仿宋_GB2312" w:eastAsia="仿宋_GB2312"/>
          <w:b w:val="0"/>
          <w:color w:val="auto"/>
          <w:sz w:val="32"/>
          <w:szCs w:val="32"/>
        </w:rPr>
        <w:t>。与年初预算相比，年初预算数34,032.14万元，决算数77,127.00万元，预决算差异率126.63%，主要原因是：</w:t>
      </w:r>
      <w:r>
        <w:rPr>
          <w:rFonts w:hint="eastAsia" w:ascii="仿宋_GB2312" w:eastAsia="仿宋_GB2312"/>
          <w:b w:val="0"/>
          <w:color w:val="auto"/>
          <w:sz w:val="32"/>
          <w:szCs w:val="32"/>
          <w:lang w:eastAsia="zh-CN"/>
        </w:rPr>
        <w:t>年中债券项目资金到位</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政府性基金预算财政拨款支出77,127.00万元。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b w:val="0"/>
          <w:bCs w:val="0"/>
          <w:color w:val="auto"/>
          <w:sz w:val="32"/>
          <w:szCs w:val="32"/>
          <w:lang w:eastAsia="zh-CN"/>
        </w:rPr>
      </w:pPr>
      <w:r>
        <w:rPr>
          <w:rFonts w:ascii="仿宋_GB2312" w:eastAsia="仿宋_GB2312"/>
          <w:b w:val="0"/>
          <w:color w:val="auto"/>
          <w:sz w:val="32"/>
          <w:szCs w:val="32"/>
        </w:rPr>
        <w:t>城乡社区支出（类）国有土地使用权出让收入安排的支出（款）征地和拆迁补偿支出（项）：支出决算数为3,095.68万元，比上年决算减少30,512.33万元，下降90.79%，主要原因是：</w:t>
      </w:r>
      <w:r>
        <w:rPr>
          <w:rFonts w:hint="eastAsia" w:ascii="仿宋_GB2312" w:eastAsia="仿宋_GB2312"/>
          <w:b w:val="0"/>
          <w:color w:val="auto"/>
          <w:sz w:val="32"/>
          <w:szCs w:val="32"/>
          <w:lang w:eastAsia="zh-CN"/>
        </w:rPr>
        <w:t>征收补偿费用大部分支付完成。</w:t>
      </w:r>
      <w:r>
        <w:rPr>
          <w:rFonts w:hint="eastAsia" w:ascii="仿宋_GB2312" w:hAnsi="仿宋_GB2312" w:eastAsia="仿宋_GB2312" w:cs="仿宋_GB2312"/>
          <w:bCs/>
          <w:color w:val="auto"/>
          <w:kern w:val="0"/>
          <w:sz w:val="32"/>
          <w:szCs w:val="32"/>
          <w:lang w:val="en-US" w:eastAsia="zh-CN" w:bidi="ar-SA"/>
        </w:rPr>
        <w:t>龙腾建设投资公司及保障性住房公司购买服务、博斯坦房地产开发公司拆迁安置补偿项目经费2023年在该科目列支；</w:t>
      </w:r>
      <w:r>
        <w:rPr>
          <w:rFonts w:hint="eastAsia" w:ascii="仿宋_GB2312" w:eastAsia="仿宋_GB2312"/>
          <w:b w:val="0"/>
          <w:bCs w:val="0"/>
          <w:color w:val="auto"/>
          <w:sz w:val="32"/>
          <w:szCs w:val="32"/>
          <w:lang w:eastAsia="zh-CN"/>
        </w:rPr>
        <w:t>本年度该科目支付格库铁路扩能改造项目永久占地征收补偿费；</w:t>
      </w:r>
      <w:r>
        <w:rPr>
          <w:rFonts w:hint="eastAsia" w:ascii="仿宋_GB2312" w:eastAsia="仿宋_GB2312"/>
          <w:b w:val="0"/>
          <w:bCs w:val="0"/>
          <w:color w:val="auto"/>
          <w:sz w:val="32"/>
          <w:szCs w:val="32"/>
          <w:lang w:val="en-US" w:eastAsia="zh-CN"/>
        </w:rPr>
        <w:t>27#梨晟大关项目、131号建业新筑项目征收拆迁款、预期未回迁安置费用；支付鸿雁公司及保障性住房投资管理公司征收拆迁补偿费等费用，</w:t>
      </w:r>
      <w:r>
        <w:rPr>
          <w:rFonts w:hint="eastAsia" w:ascii="仿宋_GB2312" w:eastAsia="仿宋_GB2312"/>
          <w:b w:val="0"/>
          <w:bCs w:val="0"/>
          <w:color w:val="auto"/>
          <w:sz w:val="32"/>
          <w:szCs w:val="32"/>
          <w:lang w:eastAsia="zh-CN"/>
        </w:rPr>
        <w:t>故</w:t>
      </w:r>
      <w:r>
        <w:rPr>
          <w:rFonts w:ascii="仿宋_GB2312" w:eastAsia="仿宋_GB2312"/>
          <w:b w:val="0"/>
          <w:bCs w:val="0"/>
          <w:color w:val="auto"/>
          <w:sz w:val="32"/>
          <w:szCs w:val="32"/>
        </w:rPr>
        <w:t>征地和拆迁补偿支出</w:t>
      </w:r>
      <w:r>
        <w:rPr>
          <w:rFonts w:hint="eastAsia" w:ascii="仿宋_GB2312" w:eastAsia="仿宋_GB2312"/>
          <w:b w:val="0"/>
          <w:bCs w:val="0"/>
          <w:color w:val="auto"/>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城乡社区支出（类）国有土地使用权出让收入安排的支出（款）棚户区改造支出（项）：支出决算数为0.00万元，比上年决算减少233.80万元，下降100.00%，主要原因是：</w:t>
      </w:r>
      <w:r>
        <w:rPr>
          <w:rFonts w:hint="eastAsia" w:ascii="仿宋_GB2312" w:hAnsi="仿宋_GB2312" w:eastAsia="仿宋_GB2312" w:cs="仿宋_GB2312"/>
          <w:bCs/>
          <w:color w:val="auto"/>
          <w:kern w:val="0"/>
          <w:sz w:val="32"/>
          <w:szCs w:val="32"/>
          <w:lang w:val="en-US" w:eastAsia="zh-CN" w:bidi="ar-SA"/>
        </w:rPr>
        <w:t>本年功能科目调整，棚户区改造项目经费上年在该科目列支，本年在住房保障安居工程科目列支，</w:t>
      </w:r>
      <w:r>
        <w:rPr>
          <w:rFonts w:hint="eastAsia" w:ascii="仿宋_GB2312" w:eastAsia="仿宋_GB2312"/>
          <w:b w:val="0"/>
          <w:color w:val="auto"/>
          <w:sz w:val="32"/>
          <w:szCs w:val="32"/>
          <w:lang w:eastAsia="zh-CN"/>
        </w:rPr>
        <w:t>故</w:t>
      </w:r>
      <w:r>
        <w:rPr>
          <w:rFonts w:ascii="仿宋_GB2312" w:eastAsia="仿宋_GB2312"/>
          <w:b w:val="0"/>
          <w:color w:val="auto"/>
          <w:sz w:val="32"/>
          <w:szCs w:val="32"/>
        </w:rPr>
        <w:t>棚户区改造支出</w:t>
      </w:r>
      <w:r>
        <w:rPr>
          <w:rFonts w:hint="eastAsia" w:ascii="仿宋_GB2312" w:eastAsia="仿宋_GB2312"/>
          <w:b w:val="0"/>
          <w:color w:val="auto"/>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城乡社区支出（类）国有土地使用权出让收入安排的支出（款）农业农村生态环境支出（项）：支出决算数为0.00万元，比上年决算减少2,232.96万元，下降100.00%，主要原因是：</w:t>
      </w:r>
      <w:r>
        <w:rPr>
          <w:rFonts w:hint="eastAsia" w:ascii="仿宋_GB2312" w:hAnsi="仿宋_GB2312" w:eastAsia="仿宋_GB2312" w:cs="仿宋_GB2312"/>
          <w:bCs/>
          <w:color w:val="auto"/>
          <w:kern w:val="0"/>
          <w:sz w:val="32"/>
          <w:szCs w:val="32"/>
          <w:lang w:val="en-US" w:eastAsia="zh-CN" w:bidi="ar-SA"/>
        </w:rPr>
        <w:t>本年功能科目调整，库尔勒市农村生活污水治理项目、南市区污水处理厂及污水再生利用项目经费2023年在该科目列支，本年该科目下没有库尔勒市农村生活污水治理项目资金列支，南市区污水处理厂及污水再生利用项目调整至污水处理费安排的支出科目下核算，</w:t>
      </w:r>
      <w:r>
        <w:rPr>
          <w:rFonts w:hint="eastAsia" w:ascii="仿宋_GB2312" w:eastAsia="仿宋_GB2312"/>
          <w:b w:val="0"/>
          <w:color w:val="auto"/>
          <w:sz w:val="32"/>
          <w:szCs w:val="32"/>
          <w:lang w:eastAsia="zh-CN"/>
        </w:rPr>
        <w:t>故</w:t>
      </w:r>
      <w:r>
        <w:rPr>
          <w:rFonts w:ascii="仿宋_GB2312" w:eastAsia="仿宋_GB2312"/>
          <w:b w:val="0"/>
          <w:color w:val="auto"/>
          <w:sz w:val="32"/>
          <w:szCs w:val="32"/>
        </w:rPr>
        <w:t>农业农村生态环境支出</w:t>
      </w:r>
      <w:r>
        <w:rPr>
          <w:rFonts w:hint="eastAsia" w:ascii="仿宋_GB2312" w:eastAsia="仿宋_GB2312"/>
          <w:b w:val="0"/>
          <w:color w:val="auto"/>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城乡社区支出（类）国有土地使用权出让收入安排的支出（款）其他国有土地使用权出让收入安排的支出（项）：支出决算数为66,049.12万元，比上年决算增加51,059.74万元，增长340.64%，主要原因是：</w:t>
      </w:r>
      <w:r>
        <w:rPr>
          <w:rFonts w:hint="eastAsia" w:ascii="仿宋_GB2312" w:eastAsia="仿宋_GB2312"/>
          <w:b w:val="0"/>
          <w:color w:val="auto"/>
          <w:sz w:val="32"/>
          <w:szCs w:val="32"/>
          <w:lang w:eastAsia="zh-CN"/>
        </w:rPr>
        <w:t>新疆煤改电二期项目、隐性债务工程款、春节前农民工资</w:t>
      </w:r>
      <w:r>
        <w:rPr>
          <w:rFonts w:hint="eastAsia" w:ascii="仿宋_GB2312" w:hAnsi="仿宋_GB2312" w:eastAsia="仿宋_GB2312" w:cs="仿宋_GB2312"/>
          <w:bCs/>
          <w:color w:val="auto"/>
          <w:kern w:val="0"/>
          <w:sz w:val="32"/>
          <w:szCs w:val="32"/>
          <w:lang w:val="en-US" w:eastAsia="zh-CN" w:bidi="ar-SA"/>
        </w:rPr>
        <w:t>项目经费2023年在该科目列支，本年在未安排新疆煤改电项目资金，隐性债务化解已经完成；</w:t>
      </w:r>
      <w:r>
        <w:rPr>
          <w:rFonts w:hint="eastAsia" w:ascii="仿宋_GB2312" w:eastAsia="仿宋_GB2312"/>
          <w:b w:val="0"/>
          <w:color w:val="auto"/>
          <w:sz w:val="32"/>
          <w:szCs w:val="32"/>
          <w:lang w:eastAsia="zh-CN"/>
        </w:rPr>
        <w:t>本年度春节前农民工资指标、排水防涝工程、购买服务、第一及第二水源地项目、化解中小企业欠款、人防异地建设费等资金支付在该科目下核算，故</w:t>
      </w:r>
      <w:r>
        <w:rPr>
          <w:rFonts w:ascii="仿宋_GB2312" w:eastAsia="仿宋_GB2312"/>
          <w:b w:val="0"/>
          <w:color w:val="auto"/>
          <w:sz w:val="32"/>
          <w:szCs w:val="32"/>
        </w:rPr>
        <w:t>其他国有土地使用权出让收入安排的支出</w:t>
      </w:r>
      <w:r>
        <w:rPr>
          <w:rFonts w:hint="eastAsia" w:ascii="仿宋_GB2312" w:eastAsia="仿宋_GB2312"/>
          <w:b w:val="0"/>
          <w:color w:val="auto"/>
          <w:sz w:val="32"/>
          <w:szCs w:val="32"/>
          <w:lang w:eastAsia="zh-CN"/>
        </w:rPr>
        <w:t>增加；</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城乡社区支出（类）污水处理费安排的支出（款）污水处理设施建设和运营（项）：支出决算数为2,982.20万元，比上年决算减少2,145.63万元，下降41.84%，主要原因是：</w:t>
      </w:r>
      <w:r>
        <w:rPr>
          <w:rFonts w:hint="eastAsia" w:ascii="仿宋_GB2312" w:hAnsi="仿宋_GB2312" w:eastAsia="仿宋_GB2312" w:cs="仿宋_GB2312"/>
          <w:bCs/>
          <w:color w:val="auto"/>
          <w:kern w:val="0"/>
          <w:sz w:val="32"/>
          <w:szCs w:val="32"/>
          <w:lang w:val="en-US" w:eastAsia="zh-CN" w:bidi="ar-SA"/>
        </w:rPr>
        <w:t>本年功能科目调整：污水处理厂运营管理费、库尔勒市南市区污水处理厂及污水再生利用工程项目经费上年在该科目列支，本年在南市区污水处理厂及污水再生利用工程项目二期经费在水体科目列支，</w:t>
      </w:r>
      <w:r>
        <w:rPr>
          <w:rFonts w:hint="eastAsia" w:ascii="仿宋_GB2312" w:eastAsia="仿宋_GB2312"/>
          <w:b w:val="0"/>
          <w:color w:val="auto"/>
          <w:sz w:val="32"/>
          <w:szCs w:val="32"/>
          <w:lang w:eastAsia="zh-CN"/>
        </w:rPr>
        <w:t>故</w:t>
      </w:r>
      <w:r>
        <w:rPr>
          <w:rFonts w:ascii="仿宋_GB2312" w:eastAsia="仿宋_GB2312"/>
          <w:b w:val="0"/>
          <w:color w:val="auto"/>
          <w:sz w:val="32"/>
          <w:szCs w:val="32"/>
        </w:rPr>
        <w:t>污水处理设施建设和运营</w:t>
      </w:r>
      <w:r>
        <w:rPr>
          <w:rFonts w:hint="eastAsia" w:ascii="仿宋_GB2312" w:eastAsia="仿宋_GB2312"/>
          <w:b w:val="0"/>
          <w:color w:val="auto"/>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城乡社区支出（类）棚户区改造专项债券收入安排的支出（款）征地和拆迁补偿支出（项）：支出决算数为0.00万元，比上年决算减少10,000.00万元，下降100.00%，主要原因是：</w:t>
      </w:r>
      <w:r>
        <w:rPr>
          <w:rFonts w:hint="eastAsia" w:ascii="仿宋_GB2312" w:hAnsi="仿宋_GB2312" w:eastAsia="仿宋_GB2312" w:cs="仿宋_GB2312"/>
          <w:bCs/>
          <w:color w:val="auto"/>
          <w:kern w:val="0"/>
          <w:sz w:val="32"/>
          <w:szCs w:val="32"/>
          <w:lang w:val="en-US" w:eastAsia="zh-CN" w:bidi="ar-SA"/>
        </w:rPr>
        <w:t>铁克其乡（城中村）棚改二期项目经费2023年在该科目列支，</w:t>
      </w:r>
      <w:r>
        <w:rPr>
          <w:rFonts w:hint="eastAsia" w:ascii="仿宋_GB2312" w:eastAsia="仿宋_GB2312"/>
          <w:b w:val="0"/>
          <w:color w:val="auto"/>
          <w:sz w:val="32"/>
          <w:szCs w:val="32"/>
          <w:lang w:eastAsia="zh-CN"/>
        </w:rPr>
        <w:t>本年</w:t>
      </w:r>
      <w:r>
        <w:rPr>
          <w:rFonts w:hint="eastAsia" w:ascii="Times New Roman" w:hAnsi="Times New Roman" w:eastAsia="仿宋_GB2312" w:cs="Times New Roman"/>
          <w:color w:val="auto"/>
          <w:sz w:val="32"/>
          <w:szCs w:val="32"/>
          <w:highlight w:val="none"/>
          <w:lang w:val="zh-CN"/>
        </w:rPr>
        <w:t>库尔勒市铁克其乡城中村棚户区改造二期项目</w:t>
      </w:r>
      <w:r>
        <w:rPr>
          <w:rFonts w:hint="eastAsia" w:eastAsia="仿宋_GB2312" w:cs="Times New Roman"/>
          <w:color w:val="auto"/>
          <w:sz w:val="32"/>
          <w:szCs w:val="32"/>
          <w:highlight w:val="none"/>
          <w:lang w:val="en-US" w:eastAsia="zh-CN"/>
        </w:rPr>
        <w:t>资金</w:t>
      </w:r>
      <w:r>
        <w:rPr>
          <w:rFonts w:hint="eastAsia" w:ascii="仿宋_GB2312" w:eastAsia="仿宋_GB2312"/>
          <w:b w:val="0"/>
          <w:color w:val="auto"/>
          <w:sz w:val="32"/>
          <w:szCs w:val="32"/>
          <w:lang w:eastAsia="zh-CN"/>
        </w:rPr>
        <w:t>未安排支付，</w:t>
      </w:r>
      <w:r>
        <w:rPr>
          <w:rFonts w:hint="eastAsia" w:eastAsia="仿宋_GB2312" w:cs="Times New Roman"/>
          <w:color w:val="auto"/>
          <w:sz w:val="32"/>
          <w:szCs w:val="32"/>
          <w:highlight w:val="none"/>
          <w:lang w:val="en-US" w:eastAsia="zh-CN"/>
        </w:rPr>
        <w:t>故</w:t>
      </w:r>
      <w:r>
        <w:rPr>
          <w:rFonts w:ascii="仿宋_GB2312" w:eastAsia="仿宋_GB2312"/>
          <w:b w:val="0"/>
          <w:color w:val="auto"/>
          <w:sz w:val="32"/>
          <w:szCs w:val="32"/>
        </w:rPr>
        <w:t>征地和拆迁补偿支出</w:t>
      </w:r>
      <w:r>
        <w:rPr>
          <w:rFonts w:hint="eastAsia" w:ascii="仿宋_GB2312" w:eastAsia="仿宋_GB2312"/>
          <w:b w:val="0"/>
          <w:color w:val="auto"/>
          <w:sz w:val="32"/>
          <w:szCs w:val="32"/>
          <w:lang w:eastAsia="zh-CN"/>
        </w:rPr>
        <w:t>减少；</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olor w:val="auto"/>
          <w:sz w:val="32"/>
          <w:szCs w:val="32"/>
          <w:lang w:eastAsia="zh-CN"/>
        </w:rPr>
      </w:pPr>
      <w:r>
        <w:rPr>
          <w:rFonts w:ascii="仿宋_GB2312" w:eastAsia="仿宋_GB2312"/>
          <w:b w:val="0"/>
          <w:color w:val="auto"/>
          <w:sz w:val="32"/>
          <w:szCs w:val="32"/>
        </w:rPr>
        <w:t>城乡社区支出（类）棚户区改造专项债券收入安排的支出（款）其他棚户区改造专项债券收入安排的支出（项）：支出决算数为0.00万元，比上年决算减少15,400.00万元，下降100.00%，主要原因是：</w:t>
      </w:r>
      <w:r>
        <w:rPr>
          <w:rFonts w:hint="eastAsia" w:ascii="仿宋_GB2312" w:hAnsi="仿宋_GB2312" w:eastAsia="仿宋_GB2312" w:cs="仿宋_GB2312"/>
          <w:bCs/>
          <w:color w:val="auto"/>
          <w:kern w:val="0"/>
          <w:sz w:val="32"/>
          <w:szCs w:val="32"/>
          <w:lang w:val="en-US" w:eastAsia="zh-CN" w:bidi="ar-SA"/>
        </w:rPr>
        <w:t>铁克其乡（城中村）棚改二期项目经费2023年在该科目列支，</w:t>
      </w:r>
      <w:r>
        <w:rPr>
          <w:rFonts w:hint="eastAsia" w:ascii="仿宋_GB2312" w:eastAsia="仿宋_GB2312"/>
          <w:b w:val="0"/>
          <w:color w:val="auto"/>
          <w:sz w:val="32"/>
          <w:szCs w:val="32"/>
          <w:lang w:eastAsia="zh-CN"/>
        </w:rPr>
        <w:t>本年</w:t>
      </w:r>
      <w:r>
        <w:rPr>
          <w:rFonts w:hint="eastAsia" w:ascii="Times New Roman" w:hAnsi="Times New Roman" w:eastAsia="仿宋_GB2312" w:cs="Times New Roman"/>
          <w:color w:val="auto"/>
          <w:sz w:val="32"/>
          <w:szCs w:val="32"/>
          <w:highlight w:val="none"/>
          <w:lang w:val="zh-CN"/>
        </w:rPr>
        <w:t>库尔勒市铁克其乡城中村棚户区改造二期项目</w:t>
      </w:r>
      <w:r>
        <w:rPr>
          <w:rFonts w:hint="eastAsia" w:eastAsia="仿宋_GB2312" w:cs="Times New Roman"/>
          <w:color w:val="auto"/>
          <w:sz w:val="32"/>
          <w:szCs w:val="32"/>
          <w:highlight w:val="none"/>
          <w:lang w:val="en-US" w:eastAsia="zh-CN"/>
        </w:rPr>
        <w:t>资金</w:t>
      </w:r>
      <w:r>
        <w:rPr>
          <w:rFonts w:hint="eastAsia" w:ascii="仿宋_GB2312" w:eastAsia="仿宋_GB2312"/>
          <w:b w:val="0"/>
          <w:color w:val="auto"/>
          <w:sz w:val="32"/>
          <w:szCs w:val="32"/>
          <w:lang w:eastAsia="zh-CN"/>
        </w:rPr>
        <w:t>未安排支付，</w:t>
      </w:r>
      <w:r>
        <w:rPr>
          <w:rFonts w:hint="eastAsia" w:eastAsia="仿宋_GB2312" w:cs="Times New Roman"/>
          <w:color w:val="auto"/>
          <w:sz w:val="32"/>
          <w:szCs w:val="32"/>
          <w:highlight w:val="none"/>
          <w:lang w:val="en-US" w:eastAsia="zh-CN"/>
        </w:rPr>
        <w:t>故</w:t>
      </w:r>
      <w:r>
        <w:rPr>
          <w:rFonts w:hint="eastAsia" w:ascii="Times New Roman" w:hAnsi="Times New Roman" w:eastAsia="仿宋_GB2312" w:cs="Times New Roman"/>
          <w:color w:val="auto"/>
          <w:sz w:val="32"/>
          <w:szCs w:val="32"/>
          <w:highlight w:val="none"/>
          <w:lang w:val="zh-CN"/>
        </w:rPr>
        <w:t>其他棚户区改造专项债券收入安排的支出</w:t>
      </w:r>
      <w:r>
        <w:rPr>
          <w:rFonts w:hint="eastAsia" w:eastAsia="仿宋_GB2312" w:cs="Times New Roman"/>
          <w:color w:val="auto"/>
          <w:sz w:val="32"/>
          <w:szCs w:val="32"/>
          <w:highlight w:val="none"/>
          <w:lang w:val="zh-CN"/>
        </w:rPr>
        <w:t>减少</w:t>
      </w:r>
      <w:r>
        <w:rPr>
          <w:rFonts w:hint="eastAsia" w:ascii="仿宋_GB2312" w:eastAsia="仿宋_GB2312"/>
          <w:b w:val="0"/>
          <w:color w:val="auto"/>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城乡社区支出（类）国有土地使用权出让收入对应专项债务收入安排的支出（款）棚户区改造支出（项）：支出决算数为0.00万元，比上年决算减少232,600.00万元，下降100.00%，主要原因是：</w:t>
      </w:r>
      <w:r>
        <w:rPr>
          <w:rFonts w:hint="eastAsia" w:ascii="仿宋_GB2312" w:eastAsia="仿宋_GB2312"/>
          <w:b w:val="0"/>
          <w:color w:val="auto"/>
          <w:sz w:val="32"/>
          <w:szCs w:val="32"/>
          <w:lang w:eastAsia="zh-CN"/>
        </w:rPr>
        <w:t>本年该科目未安排相关项目的支付，</w:t>
      </w:r>
      <w:r>
        <w:rPr>
          <w:rFonts w:hint="eastAsia" w:ascii="仿宋_GB2312" w:hAnsi="仿宋_GB2312" w:eastAsia="仿宋_GB2312" w:cs="仿宋_GB2312"/>
          <w:bCs/>
          <w:color w:val="auto"/>
          <w:kern w:val="0"/>
          <w:sz w:val="32"/>
          <w:szCs w:val="32"/>
          <w:lang w:val="en-US" w:eastAsia="zh-CN" w:bidi="ar-SA"/>
        </w:rPr>
        <w:t>2015-2018年棚户区改造项目经费2023年在该科目列支，本年为安排资金，</w:t>
      </w:r>
      <w:r>
        <w:rPr>
          <w:rFonts w:hint="eastAsia" w:eastAsia="仿宋_GB2312" w:cs="Times New Roman"/>
          <w:color w:val="auto"/>
          <w:sz w:val="32"/>
          <w:szCs w:val="32"/>
          <w:highlight w:val="none"/>
          <w:lang w:val="en-US" w:eastAsia="zh-CN"/>
        </w:rPr>
        <w:t>故</w:t>
      </w:r>
      <w:r>
        <w:rPr>
          <w:rFonts w:ascii="仿宋_GB2312" w:eastAsia="仿宋_GB2312"/>
          <w:b w:val="0"/>
          <w:color w:val="auto"/>
          <w:sz w:val="32"/>
          <w:szCs w:val="32"/>
        </w:rPr>
        <w:t>棚户区改造</w:t>
      </w:r>
      <w:r>
        <w:rPr>
          <w:rFonts w:hint="eastAsia" w:ascii="Times New Roman" w:hAnsi="Times New Roman" w:eastAsia="仿宋_GB2312" w:cs="Times New Roman"/>
          <w:color w:val="auto"/>
          <w:sz w:val="32"/>
          <w:szCs w:val="32"/>
          <w:highlight w:val="none"/>
          <w:lang w:val="zh-CN"/>
        </w:rPr>
        <w:t>支出</w:t>
      </w:r>
      <w:r>
        <w:rPr>
          <w:rFonts w:hint="eastAsia" w:eastAsia="仿宋_GB2312" w:cs="Times New Roman"/>
          <w:color w:val="auto"/>
          <w:sz w:val="32"/>
          <w:szCs w:val="32"/>
          <w:highlight w:val="none"/>
          <w:lang w:val="en-US" w:eastAsia="zh-CN"/>
        </w:rPr>
        <w:t>减少</w:t>
      </w:r>
      <w:r>
        <w:rPr>
          <w:rFonts w:hint="eastAsia" w:ascii="仿宋_GB2312" w:eastAsia="仿宋_GB2312"/>
          <w:b w:val="0"/>
          <w:color w:val="auto"/>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color w:val="auto"/>
          <w:sz w:val="32"/>
          <w:szCs w:val="32"/>
          <w:lang w:val="en-US" w:eastAsia="zh-CN"/>
        </w:rPr>
      </w:pPr>
      <w:r>
        <w:rPr>
          <w:rFonts w:ascii="仿宋_GB2312" w:eastAsia="仿宋_GB2312"/>
          <w:b w:val="0"/>
          <w:color w:val="auto"/>
          <w:sz w:val="32"/>
          <w:szCs w:val="32"/>
        </w:rPr>
        <w:t>其他支出（类）其他政府性基金及对应专项债务收入安排的支出（款）其他地方自行试点项目收益专项债券收入安排的支出（项）：支出决算数为5,000.00万元，比上年决算减少10,000.00万元，下降66.67%，主要原因是：</w:t>
      </w:r>
      <w:r>
        <w:rPr>
          <w:rFonts w:hint="eastAsia" w:ascii="仿宋_GB2312" w:eastAsia="仿宋_GB2312"/>
          <w:b w:val="0"/>
          <w:color w:val="auto"/>
          <w:sz w:val="32"/>
          <w:szCs w:val="32"/>
          <w:lang w:eastAsia="zh-CN"/>
        </w:rPr>
        <w:t>本年度该科目下核算</w:t>
      </w:r>
      <w:r>
        <w:rPr>
          <w:rFonts w:hint="eastAsia" w:ascii="仿宋_GB2312" w:eastAsia="仿宋_GB2312"/>
          <w:b w:val="0"/>
          <w:color w:val="auto"/>
          <w:sz w:val="32"/>
          <w:szCs w:val="32"/>
          <w:lang w:val="en-US" w:eastAsia="zh-CN"/>
        </w:rPr>
        <w:t>2023年老旧小区专项债项目资金，</w:t>
      </w:r>
      <w:r>
        <w:rPr>
          <w:rFonts w:hint="eastAsia" w:ascii="仿宋_GB2312" w:hAnsi="仿宋_GB2312" w:eastAsia="仿宋_GB2312" w:cs="仿宋_GB2312"/>
          <w:bCs/>
          <w:color w:val="auto"/>
          <w:kern w:val="0"/>
          <w:sz w:val="32"/>
          <w:szCs w:val="32"/>
          <w:lang w:val="en-US" w:eastAsia="zh-CN" w:bidi="ar-SA"/>
        </w:rPr>
        <w:t>本年功能科目调整，康养产业园、老旧小区便民服务设施配套项目、购买服务（保障房）项目经费2023年在该科目列支，本年未安排资金列支</w:t>
      </w:r>
      <w:r>
        <w:rPr>
          <w:rFonts w:hint="eastAsia" w:eastAsia="仿宋_GB2312" w:cs="Times New Roman"/>
          <w:color w:val="auto"/>
          <w:sz w:val="32"/>
          <w:szCs w:val="32"/>
          <w:highlight w:val="none"/>
          <w:lang w:val="en-US" w:eastAsia="zh-CN"/>
        </w:rPr>
        <w:t>故</w:t>
      </w:r>
      <w:r>
        <w:rPr>
          <w:rFonts w:ascii="仿宋_GB2312" w:eastAsia="仿宋_GB2312"/>
          <w:b w:val="0"/>
          <w:color w:val="auto"/>
          <w:sz w:val="32"/>
          <w:szCs w:val="32"/>
        </w:rPr>
        <w:t>其他政府性基金及对应专项债务收入安排的</w:t>
      </w:r>
      <w:r>
        <w:rPr>
          <w:rFonts w:hint="eastAsia" w:ascii="Times New Roman" w:hAnsi="Times New Roman" w:eastAsia="仿宋_GB2312" w:cs="Times New Roman"/>
          <w:color w:val="auto"/>
          <w:sz w:val="32"/>
          <w:szCs w:val="32"/>
          <w:highlight w:val="none"/>
          <w:lang w:val="zh-CN"/>
        </w:rPr>
        <w:t>支出</w:t>
      </w:r>
      <w:r>
        <w:rPr>
          <w:rFonts w:hint="eastAsia" w:eastAsia="仿宋_GB2312" w:cs="Times New Roman"/>
          <w:color w:val="auto"/>
          <w:sz w:val="32"/>
          <w:szCs w:val="32"/>
          <w:highlight w:val="none"/>
          <w:lang w:val="en-US" w:eastAsia="zh-CN"/>
        </w:rPr>
        <w:t>减少</w:t>
      </w:r>
      <w:r>
        <w:rPr>
          <w:rFonts w:hint="eastAsia" w:ascii="仿宋_GB2312" w:eastAsia="仿宋_GB2312"/>
          <w:b w:val="0"/>
          <w:color w:val="auto"/>
          <w:sz w:val="32"/>
          <w:szCs w:val="32"/>
          <w:lang w:val="en-US"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2024年度财政拨款“三公”经费支出3.18万元，与上年相比无变化，主要原因是：</w:t>
      </w:r>
      <w:r>
        <w:rPr>
          <w:rFonts w:hint="eastAsia" w:ascii="仿宋_GB2312" w:eastAsia="仿宋_GB2312"/>
          <w:b w:val="0"/>
          <w:color w:val="auto"/>
          <w:sz w:val="32"/>
          <w:szCs w:val="32"/>
          <w:lang w:eastAsia="zh-CN"/>
        </w:rPr>
        <w:t>本年厉行节约，与上年相比无变动</w:t>
      </w:r>
      <w:r>
        <w:rPr>
          <w:rFonts w:ascii="仿宋_GB2312" w:eastAsia="仿宋_GB2312"/>
          <w:b w:val="0"/>
          <w:color w:val="auto"/>
          <w:sz w:val="32"/>
          <w:szCs w:val="32"/>
        </w:rPr>
        <w:t>。其中：因公出国（境）费支出0.00万元,占0.00%，与上年相比无变化，主要原因是：</w:t>
      </w:r>
      <w:r>
        <w:rPr>
          <w:rFonts w:hint="eastAsia" w:ascii="仿宋_GB2312" w:eastAsia="仿宋_GB2312"/>
          <w:b w:val="0"/>
          <w:color w:val="auto"/>
          <w:sz w:val="32"/>
          <w:szCs w:val="32"/>
          <w:lang w:eastAsia="zh-CN"/>
        </w:rPr>
        <w:t>本年无</w:t>
      </w:r>
      <w:r>
        <w:rPr>
          <w:rFonts w:ascii="仿宋_GB2312" w:eastAsia="仿宋_GB2312"/>
          <w:b w:val="0"/>
          <w:color w:val="auto"/>
          <w:sz w:val="32"/>
          <w:szCs w:val="32"/>
        </w:rPr>
        <w:t>因公出国（境）费</w:t>
      </w:r>
      <w:r>
        <w:rPr>
          <w:rFonts w:hint="eastAsia" w:ascii="仿宋_GB2312" w:eastAsia="仿宋_GB2312"/>
          <w:b w:val="0"/>
          <w:color w:val="auto"/>
          <w:sz w:val="32"/>
          <w:szCs w:val="32"/>
          <w:lang w:eastAsia="zh-CN"/>
        </w:rPr>
        <w:t>支出，</w:t>
      </w:r>
      <w:r>
        <w:rPr>
          <w:rFonts w:ascii="仿宋_GB2312" w:eastAsia="仿宋_GB2312"/>
          <w:b w:val="0"/>
          <w:color w:val="auto"/>
          <w:sz w:val="32"/>
          <w:szCs w:val="32"/>
        </w:rPr>
        <w:t>与上年相比无变化；公务用车购置及运行维护费支出3.18万元，占100.00%，与上年相比无变化，主要原因是：</w:t>
      </w:r>
      <w:r>
        <w:rPr>
          <w:rFonts w:hint="eastAsia" w:ascii="仿宋_GB2312" w:eastAsia="仿宋_GB2312"/>
          <w:b w:val="0"/>
          <w:color w:val="auto"/>
          <w:sz w:val="32"/>
          <w:szCs w:val="32"/>
          <w:lang w:eastAsia="zh-CN"/>
        </w:rPr>
        <w:t>本年厉行节约，与上年相比无变动</w:t>
      </w:r>
      <w:r>
        <w:rPr>
          <w:rFonts w:ascii="仿宋_GB2312" w:eastAsia="仿宋_GB2312"/>
          <w:b w:val="0"/>
          <w:color w:val="auto"/>
          <w:sz w:val="32"/>
          <w:szCs w:val="32"/>
        </w:rPr>
        <w:t>；公务接待费支出0.00万元，占0.00%，与上年相比无变化，主要原因是：</w:t>
      </w:r>
      <w:r>
        <w:rPr>
          <w:rFonts w:hint="eastAsia" w:ascii="仿宋_GB2312" w:eastAsia="仿宋_GB2312"/>
          <w:b w:val="0"/>
          <w:color w:val="auto"/>
          <w:sz w:val="32"/>
          <w:szCs w:val="32"/>
          <w:lang w:eastAsia="zh-CN"/>
        </w:rPr>
        <w:t>本年无</w:t>
      </w:r>
      <w:r>
        <w:rPr>
          <w:rFonts w:ascii="仿宋_GB2312" w:eastAsia="仿宋_GB2312"/>
          <w:b w:val="0"/>
          <w:color w:val="auto"/>
          <w:sz w:val="32"/>
          <w:szCs w:val="32"/>
        </w:rPr>
        <w:t>公务接待费</w:t>
      </w:r>
      <w:r>
        <w:rPr>
          <w:rFonts w:hint="eastAsia" w:ascii="仿宋_GB2312" w:eastAsia="仿宋_GB2312"/>
          <w:b w:val="0"/>
          <w:color w:val="auto"/>
          <w:sz w:val="32"/>
          <w:szCs w:val="32"/>
          <w:lang w:eastAsia="zh-CN"/>
        </w:rPr>
        <w:t>支出，</w:t>
      </w:r>
      <w:r>
        <w:rPr>
          <w:rFonts w:ascii="仿宋_GB2312" w:eastAsia="仿宋_GB2312"/>
          <w:b w:val="0"/>
          <w:color w:val="auto"/>
          <w:sz w:val="32"/>
          <w:szCs w:val="32"/>
        </w:rPr>
        <w:t>与上年相比无变化。</w:t>
      </w:r>
    </w:p>
    <w:p>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r>
        <w:rPr>
          <w:rFonts w:ascii="仿宋_GB2312" w:eastAsia="仿宋_GB2312"/>
          <w:b w:val="0"/>
          <w:color w:val="auto"/>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因公出国（境）费支出0.00万元，</w:t>
      </w:r>
      <w:r>
        <w:rPr>
          <w:rFonts w:hint="eastAsia" w:ascii="仿宋_GB2312" w:hAnsi="仿宋_GB2312" w:eastAsia="仿宋_GB2312" w:cs="仿宋_GB2312"/>
          <w:bCs/>
          <w:color w:val="auto"/>
          <w:kern w:val="0"/>
          <w:sz w:val="32"/>
          <w:szCs w:val="32"/>
          <w:lang w:val="en-US" w:eastAsia="zh-CN" w:bidi="ar-SA"/>
        </w:rPr>
        <w:t>开支内容包括本单位无因公出国（境）费</w:t>
      </w:r>
      <w:r>
        <w:rPr>
          <w:rFonts w:ascii="仿宋_GB2312" w:eastAsia="仿宋_GB2312"/>
          <w:b w:val="0"/>
          <w:color w:val="auto"/>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公务用车购置及运行维护费3.18万元，其中：公务用车购置费0.00万元，公务用车运行维护费3.18万元。</w:t>
      </w:r>
      <w:r>
        <w:rPr>
          <w:rFonts w:hint="eastAsia" w:ascii="仿宋_GB2312" w:eastAsia="仿宋_GB2312"/>
          <w:color w:val="auto"/>
          <w:sz w:val="32"/>
          <w:szCs w:val="32"/>
          <w:lang w:val="zh-CN"/>
        </w:rPr>
        <w:t>公务用车运行维护费开支内容包括</w:t>
      </w:r>
      <w:r>
        <w:rPr>
          <w:rFonts w:hint="eastAsia" w:ascii="仿宋_GB2312" w:eastAsia="仿宋_GB2312"/>
          <w:color w:val="auto"/>
          <w:sz w:val="32"/>
          <w:szCs w:val="32"/>
        </w:rPr>
        <w:t>车辆保险费，年检费，油费，维修费</w:t>
      </w:r>
      <w:r>
        <w:rPr>
          <w:rFonts w:hint="eastAsia" w:ascii="仿宋_GB2312" w:eastAsia="仿宋_GB2312"/>
          <w:color w:val="auto"/>
          <w:sz w:val="32"/>
          <w:szCs w:val="32"/>
          <w:lang w:val="zh-CN"/>
        </w:rPr>
        <w:t>。</w:t>
      </w:r>
      <w:r>
        <w:rPr>
          <w:rFonts w:ascii="仿宋_GB2312" w:eastAsia="仿宋_GB2312"/>
          <w:b w:val="0"/>
          <w:color w:val="auto"/>
          <w:sz w:val="32"/>
          <w:szCs w:val="32"/>
        </w:rPr>
        <w:t>公务用车购置数0辆，公务用车保有量2辆。国有资产占用情况中固定资产车辆8辆，与公务用车保有量差异原因是：</w:t>
      </w:r>
      <w:r>
        <w:rPr>
          <w:rFonts w:hint="eastAsia" w:ascii="仿宋_GB2312" w:eastAsia="仿宋_GB2312"/>
          <w:b w:val="0"/>
          <w:color w:val="auto"/>
          <w:sz w:val="32"/>
          <w:szCs w:val="32"/>
          <w:lang w:eastAsia="zh-CN"/>
        </w:rPr>
        <w:t>以前年度已报废车辆</w:t>
      </w:r>
      <w:r>
        <w:rPr>
          <w:rFonts w:hint="eastAsia" w:ascii="仿宋_GB2312" w:eastAsia="仿宋_GB2312"/>
          <w:b w:val="0"/>
          <w:color w:val="auto"/>
          <w:sz w:val="32"/>
          <w:szCs w:val="32"/>
          <w:lang w:val="en-US" w:eastAsia="zh-CN"/>
        </w:rPr>
        <w:t>5辆</w:t>
      </w:r>
      <w:r>
        <w:rPr>
          <w:rFonts w:hint="eastAsia" w:ascii="仿宋_GB2312" w:eastAsia="仿宋_GB2312"/>
          <w:b w:val="0"/>
          <w:color w:val="auto"/>
          <w:sz w:val="32"/>
          <w:szCs w:val="32"/>
          <w:lang w:eastAsia="zh-CN"/>
        </w:rPr>
        <w:t>，无批复做账面减少；</w:t>
      </w:r>
      <w:r>
        <w:rPr>
          <w:rFonts w:hint="eastAsia" w:ascii="仿宋_GB2312" w:eastAsia="仿宋_GB2312"/>
          <w:b w:val="0"/>
          <w:color w:val="auto"/>
          <w:sz w:val="32"/>
          <w:szCs w:val="32"/>
          <w:lang w:val="en-US" w:eastAsia="zh-CN"/>
        </w:rPr>
        <w:t>1辆车由机关事务管理局统一调配</w:t>
      </w:r>
      <w:r>
        <w:rPr>
          <w:rFonts w:ascii="仿宋_GB2312" w:eastAsia="仿宋_GB2312"/>
          <w:b w:val="0"/>
          <w:color w:val="auto"/>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公务接待费0.00万元，</w:t>
      </w:r>
      <w:r>
        <w:rPr>
          <w:rFonts w:hint="eastAsia" w:ascii="仿宋_GB2312" w:hAnsi="仿宋_GB2312" w:eastAsia="仿宋_GB2312" w:cs="仿宋_GB2312"/>
          <w:bCs/>
          <w:color w:val="auto"/>
          <w:kern w:val="0"/>
          <w:sz w:val="32"/>
          <w:szCs w:val="32"/>
          <w:lang w:val="en-US" w:eastAsia="zh-CN" w:bidi="ar-SA"/>
        </w:rPr>
        <w:t>开支内容包括本单位无</w:t>
      </w:r>
      <w:r>
        <w:rPr>
          <w:rFonts w:ascii="仿宋_GB2312" w:eastAsia="仿宋_GB2312"/>
          <w:b w:val="0"/>
          <w:color w:val="auto"/>
          <w:sz w:val="32"/>
          <w:szCs w:val="32"/>
        </w:rPr>
        <w:t>公务接待费。单位全年安排的国内公务接待0批次，0人次。</w:t>
      </w:r>
    </w:p>
    <w:p>
      <w:pPr>
        <w:ind w:firstLine="640" w:firstLineChars="200"/>
        <w:jc w:val="left"/>
        <w:rPr>
          <w:rFonts w:ascii="仿宋_GB2312" w:eastAsia="仿宋_GB2312"/>
          <w:color w:val="auto"/>
          <w:sz w:val="32"/>
          <w:szCs w:val="32"/>
          <w:lang w:val="zh-CN"/>
        </w:rPr>
      </w:pPr>
      <w:r>
        <w:rPr>
          <w:rFonts w:ascii="仿宋_GB2312" w:eastAsia="仿宋_GB2312"/>
          <w:b w:val="0"/>
          <w:color w:val="auto"/>
          <w:sz w:val="32"/>
          <w:szCs w:val="32"/>
        </w:rPr>
        <w:t>与全年预算相比，财政拨款“三公”经费支出全年预算数3.18万元，决算数3.18万元，预决算差异率0.00%，主要原因是：</w:t>
      </w:r>
      <w:r>
        <w:rPr>
          <w:rFonts w:hint="eastAsia" w:ascii="仿宋_GB2312" w:eastAsia="仿宋_GB2312"/>
          <w:b w:val="0"/>
          <w:color w:val="auto"/>
          <w:sz w:val="32"/>
          <w:szCs w:val="32"/>
          <w:lang w:val="en-US" w:eastAsia="zh-CN"/>
        </w:rPr>
        <w:t>严格预算执行，</w:t>
      </w:r>
      <w:r>
        <w:rPr>
          <w:rFonts w:hint="eastAsia" w:ascii="仿宋_GB2312" w:eastAsia="仿宋_GB2312"/>
          <w:color w:val="auto"/>
          <w:sz w:val="32"/>
          <w:szCs w:val="32"/>
        </w:rPr>
        <w:t>预决算无差异</w:t>
      </w:r>
      <w:r>
        <w:rPr>
          <w:rFonts w:ascii="仿宋_GB2312" w:eastAsia="仿宋_GB2312"/>
          <w:b w:val="0"/>
          <w:color w:val="auto"/>
          <w:sz w:val="32"/>
          <w:szCs w:val="32"/>
        </w:rPr>
        <w:t>。其中：因公出国（境）费全年预算数0.00万元，决算数0.00万元，预决算差异率0.00%，主要原因是：</w:t>
      </w:r>
      <w:r>
        <w:rPr>
          <w:rFonts w:hint="eastAsia" w:ascii="仿宋_GB2312" w:eastAsia="仿宋_GB2312"/>
          <w:b w:val="0"/>
          <w:color w:val="auto"/>
          <w:sz w:val="32"/>
          <w:szCs w:val="32"/>
          <w:lang w:eastAsia="zh-CN"/>
        </w:rPr>
        <w:t>本年无</w:t>
      </w:r>
      <w:r>
        <w:rPr>
          <w:rFonts w:ascii="仿宋_GB2312" w:eastAsia="仿宋_GB2312"/>
          <w:b w:val="0"/>
          <w:color w:val="auto"/>
          <w:sz w:val="32"/>
          <w:szCs w:val="32"/>
        </w:rPr>
        <w:t>因公出国（境）费</w:t>
      </w:r>
      <w:r>
        <w:rPr>
          <w:rFonts w:hint="eastAsia" w:ascii="仿宋_GB2312" w:eastAsia="仿宋_GB2312"/>
          <w:b w:val="0"/>
          <w:color w:val="auto"/>
          <w:sz w:val="32"/>
          <w:szCs w:val="32"/>
          <w:lang w:eastAsia="zh-CN"/>
        </w:rPr>
        <w:t>支出，</w:t>
      </w:r>
      <w:r>
        <w:rPr>
          <w:rFonts w:hint="eastAsia" w:ascii="仿宋_GB2312" w:eastAsia="仿宋_GB2312"/>
          <w:color w:val="auto"/>
          <w:sz w:val="32"/>
          <w:szCs w:val="32"/>
          <w:lang w:val="zh-CN"/>
        </w:rPr>
        <w:t>预决算无差异</w:t>
      </w:r>
      <w:r>
        <w:rPr>
          <w:rFonts w:ascii="仿宋_GB2312" w:eastAsia="仿宋_GB2312"/>
          <w:b w:val="0"/>
          <w:color w:val="auto"/>
          <w:sz w:val="32"/>
          <w:szCs w:val="32"/>
        </w:rPr>
        <w:t>。公务用车购置费全年预算数0.00万元，决算数0.00万元，预决算差异率0.00%，主要原因是：</w:t>
      </w:r>
      <w:r>
        <w:rPr>
          <w:rFonts w:hint="eastAsia" w:ascii="仿宋_GB2312" w:eastAsia="仿宋_GB2312"/>
          <w:color w:val="auto"/>
          <w:sz w:val="32"/>
          <w:szCs w:val="32"/>
          <w:lang w:val="zh-CN"/>
        </w:rPr>
        <w:t>本年无公务用车购置费支出，预决算无差异；</w:t>
      </w:r>
      <w:r>
        <w:rPr>
          <w:rFonts w:ascii="仿宋_GB2312" w:eastAsia="仿宋_GB2312"/>
          <w:b w:val="0"/>
          <w:color w:val="auto"/>
          <w:sz w:val="32"/>
          <w:szCs w:val="32"/>
        </w:rPr>
        <w:t>公务用车运行维护费全年预算数3.18万元，决算数3.18万元，预决算差异率0.00%，主要原因是：</w:t>
      </w:r>
      <w:r>
        <w:rPr>
          <w:rFonts w:hint="eastAsia" w:ascii="仿宋_GB2312" w:eastAsia="仿宋_GB2312"/>
          <w:b w:val="0"/>
          <w:color w:val="auto"/>
          <w:sz w:val="32"/>
          <w:szCs w:val="32"/>
          <w:lang w:val="en-US" w:eastAsia="zh-CN"/>
        </w:rPr>
        <w:t>严格预算执行，</w:t>
      </w:r>
      <w:r>
        <w:rPr>
          <w:rFonts w:hint="eastAsia" w:ascii="仿宋_GB2312" w:eastAsia="仿宋_GB2312"/>
          <w:color w:val="auto"/>
          <w:sz w:val="32"/>
          <w:szCs w:val="32"/>
        </w:rPr>
        <w:t>预决算无差异</w:t>
      </w:r>
      <w:r>
        <w:rPr>
          <w:rFonts w:ascii="仿宋_GB2312" w:eastAsia="仿宋_GB2312"/>
          <w:b w:val="0"/>
          <w:color w:val="auto"/>
          <w:sz w:val="32"/>
          <w:szCs w:val="32"/>
        </w:rPr>
        <w:t>。公务接待费全年预算数0.00万元，决算数0.00万元，预决算差异率0.00%，主要原因是：</w:t>
      </w:r>
      <w:r>
        <w:rPr>
          <w:rFonts w:hint="eastAsia" w:ascii="仿宋_GB2312" w:eastAsia="仿宋_GB2312"/>
          <w:color w:val="auto"/>
          <w:sz w:val="32"/>
          <w:szCs w:val="32"/>
          <w:lang w:val="zh-CN"/>
        </w:rPr>
        <w:t>本年无公务接待费支出，预决算无差异。</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2024年度库尔勒市住房和城乡建设局单位机关运行经费支出</w:t>
      </w:r>
      <w:r>
        <w:rPr>
          <w:rFonts w:hint="eastAsia" w:ascii="仿宋_GB2312" w:eastAsia="仿宋_GB2312"/>
          <w:b w:val="0"/>
          <w:color w:val="auto"/>
          <w:sz w:val="32"/>
          <w:szCs w:val="32"/>
          <w:lang w:val="en-US" w:eastAsia="zh-CN"/>
        </w:rPr>
        <w:t>150.37</w:t>
      </w:r>
      <w:r>
        <w:rPr>
          <w:rFonts w:ascii="仿宋_GB2312" w:eastAsia="仿宋_GB2312"/>
          <w:b w:val="0"/>
          <w:color w:val="auto"/>
          <w:sz w:val="32"/>
          <w:szCs w:val="32"/>
        </w:rPr>
        <w:t>万元，比上年增加</w:t>
      </w:r>
      <w:r>
        <w:rPr>
          <w:rFonts w:hint="eastAsia" w:ascii="仿宋_GB2312" w:eastAsia="仿宋_GB2312"/>
          <w:b w:val="0"/>
          <w:color w:val="auto"/>
          <w:sz w:val="32"/>
          <w:szCs w:val="32"/>
          <w:lang w:val="en-US" w:eastAsia="zh-CN"/>
        </w:rPr>
        <w:t>71.08</w:t>
      </w:r>
      <w:r>
        <w:rPr>
          <w:rFonts w:ascii="仿宋_GB2312" w:eastAsia="仿宋_GB2312"/>
          <w:b w:val="0"/>
          <w:color w:val="auto"/>
          <w:sz w:val="32"/>
          <w:szCs w:val="32"/>
        </w:rPr>
        <w:t>万元，增长</w:t>
      </w:r>
      <w:r>
        <w:rPr>
          <w:rFonts w:hint="eastAsia" w:ascii="仿宋_GB2312" w:eastAsia="仿宋_GB2312"/>
          <w:b w:val="0"/>
          <w:color w:val="auto"/>
          <w:sz w:val="32"/>
          <w:szCs w:val="32"/>
          <w:lang w:val="en-US" w:eastAsia="zh-CN"/>
        </w:rPr>
        <w:t>89.65</w:t>
      </w:r>
      <w:r>
        <w:rPr>
          <w:rFonts w:ascii="仿宋_GB2312" w:eastAsia="仿宋_GB2312"/>
          <w:b w:val="0"/>
          <w:color w:val="auto"/>
          <w:sz w:val="32"/>
          <w:szCs w:val="32"/>
        </w:rPr>
        <w:t>%，主要原因是：</w:t>
      </w:r>
      <w:r>
        <w:rPr>
          <w:rFonts w:hint="eastAsia" w:ascii="仿宋_GB2312" w:eastAsia="仿宋_GB2312"/>
          <w:b w:val="0"/>
          <w:color w:val="auto"/>
          <w:sz w:val="32"/>
          <w:szCs w:val="32"/>
          <w:lang w:eastAsia="zh-CN"/>
        </w:rPr>
        <w:t>偿还</w:t>
      </w:r>
      <w:r>
        <w:rPr>
          <w:rFonts w:hint="eastAsia" w:ascii="仿宋_GB2312" w:eastAsia="仿宋_GB2312"/>
          <w:b w:val="0"/>
          <w:color w:val="auto"/>
          <w:sz w:val="32"/>
          <w:szCs w:val="32"/>
          <w:lang w:val="en-US" w:eastAsia="zh-CN"/>
        </w:rPr>
        <w:t>2019-2023</w:t>
      </w:r>
      <w:r>
        <w:rPr>
          <w:rFonts w:hint="eastAsia" w:ascii="仿宋_GB2312" w:eastAsia="仿宋_GB2312"/>
          <w:b w:val="0"/>
          <w:color w:val="auto"/>
          <w:sz w:val="32"/>
          <w:szCs w:val="32"/>
          <w:lang w:eastAsia="zh-CN"/>
        </w:rPr>
        <w:t>年度食堂欠款及办公用品费用。</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2024年度政府采购支出总额1,168.23万元，其中：政府采购货物支出772.60万元、政府采购工程支出393.99万元、政府采购服务支出1.64万元。</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授予中小企业合同金额1,052.30万元，占政府采购支出总额的90.08%，其中：授予小微企业合同金额1,052.30万元，占政府采购支出总额的90.08%。</w:t>
      </w:r>
    </w:p>
    <w:p>
      <w:pPr>
        <w:widowControl/>
        <w:spacing w:before="0" w:beforeLines="0" w:beforeAutospacing="0" w:after="0" w:afterLines="0" w:afterAutospacing="0" w:line="240" w:lineRule="auto"/>
        <w:ind w:firstLine="643" w:firstLineChars="200"/>
        <w:jc w:val="left"/>
        <w:outlineLvl w:val="2"/>
        <w:rPr>
          <w:rFonts w:ascii="仿宋_GB2312" w:eastAsia="仿宋_GB2312"/>
          <w:color w:val="auto"/>
          <w:sz w:val="32"/>
          <w:szCs w:val="32"/>
        </w:rPr>
      </w:pPr>
      <w:r>
        <w:rPr>
          <w:rFonts w:ascii="仿宋_GB2312" w:eastAsia="仿宋_GB2312"/>
          <w:b/>
          <w:color w:val="auto"/>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截至2024年12月31日，房屋218,369.34平方米，价值71,380.86万元。车辆8辆，价值103.81万元，其中：副部（省）级及以上领导用车0辆、主要负责人用车0辆、机要通信用车0辆、应急保障用车0辆、执法执勤用车0辆、特种专业技术用车0辆、离退休干部服务用车0辆、其他用车8辆，其他用车主要是：</w:t>
      </w:r>
      <w:r>
        <w:rPr>
          <w:rFonts w:hint="eastAsia" w:ascii="仿宋_GB2312" w:eastAsia="仿宋_GB2312"/>
          <w:b w:val="0"/>
          <w:color w:val="auto"/>
          <w:sz w:val="32"/>
          <w:szCs w:val="32"/>
          <w:lang w:eastAsia="zh-CN"/>
        </w:rPr>
        <w:t>单位公务用车</w:t>
      </w:r>
      <w:r>
        <w:rPr>
          <w:rFonts w:ascii="仿宋_GB2312" w:eastAsia="仿宋_GB2312"/>
          <w:b w:val="0"/>
          <w:color w:val="auto"/>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十一、预算绩效的情况说明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color w:val="auto"/>
          <w:sz w:val="32"/>
          <w:szCs w:val="32"/>
        </w:rPr>
      </w:pPr>
      <w:r>
        <w:rPr>
          <w:rFonts w:ascii="仿宋_GB2312" w:eastAsia="仿宋_GB2312"/>
          <w:b w:val="0"/>
          <w:color w:val="auto"/>
          <w:sz w:val="32"/>
          <w:szCs w:val="32"/>
        </w:rPr>
        <w:t>根据预算绩效管理要求，本单位2024年度预算绩效管理形成整体支出绩效自评表1个，全年预算数</w:t>
      </w:r>
      <w:r>
        <w:rPr>
          <w:rFonts w:hint="eastAsia" w:ascii="仿宋_GB2312" w:eastAsia="仿宋_GB2312"/>
          <w:b w:val="0"/>
          <w:color w:val="auto"/>
          <w:sz w:val="32"/>
          <w:szCs w:val="32"/>
          <w:lang w:val="en-US" w:eastAsia="zh-CN"/>
        </w:rPr>
        <w:t>133980.91</w:t>
      </w:r>
      <w:r>
        <w:rPr>
          <w:rFonts w:ascii="仿宋_GB2312" w:eastAsia="仿宋_GB2312"/>
          <w:b w:val="0"/>
          <w:color w:val="auto"/>
          <w:sz w:val="32"/>
          <w:szCs w:val="32"/>
        </w:rPr>
        <w:t>万元，实际执行数</w:t>
      </w:r>
      <w:r>
        <w:rPr>
          <w:rFonts w:hint="eastAsia" w:ascii="仿宋_GB2312" w:eastAsia="仿宋_GB2312"/>
          <w:b w:val="0"/>
          <w:color w:val="auto"/>
          <w:sz w:val="32"/>
          <w:szCs w:val="32"/>
          <w:lang w:val="en-US" w:eastAsia="zh-CN"/>
        </w:rPr>
        <w:t>133980.91</w:t>
      </w:r>
      <w:r>
        <w:rPr>
          <w:rFonts w:ascii="仿宋_GB2312" w:eastAsia="仿宋_GB2312"/>
          <w:b w:val="0"/>
          <w:color w:val="auto"/>
          <w:sz w:val="32"/>
          <w:szCs w:val="32"/>
        </w:rPr>
        <w:t>万元；预算绩效评价项目</w:t>
      </w:r>
      <w:r>
        <w:rPr>
          <w:rFonts w:hint="eastAsia" w:ascii="仿宋_GB2312" w:eastAsia="仿宋_GB2312"/>
          <w:b w:val="0"/>
          <w:color w:val="auto"/>
          <w:sz w:val="32"/>
          <w:szCs w:val="32"/>
          <w:lang w:val="en-US" w:eastAsia="zh-CN"/>
        </w:rPr>
        <w:t>24</w:t>
      </w:r>
      <w:r>
        <w:rPr>
          <w:rFonts w:ascii="仿宋_GB2312" w:eastAsia="仿宋_GB2312"/>
          <w:b w:val="0"/>
          <w:color w:val="auto"/>
          <w:sz w:val="32"/>
          <w:szCs w:val="32"/>
        </w:rPr>
        <w:t>个，全年预算数</w:t>
      </w:r>
      <w:r>
        <w:rPr>
          <w:rFonts w:hint="eastAsia" w:ascii="仿宋_GB2312" w:eastAsia="仿宋_GB2312"/>
          <w:b w:val="0"/>
          <w:color w:val="auto"/>
          <w:sz w:val="32"/>
          <w:szCs w:val="32"/>
          <w:lang w:val="en-US" w:eastAsia="zh-CN"/>
        </w:rPr>
        <w:t>67472.12</w:t>
      </w:r>
      <w:r>
        <w:rPr>
          <w:rFonts w:ascii="仿宋_GB2312" w:eastAsia="仿宋_GB2312"/>
          <w:b w:val="0"/>
          <w:color w:val="auto"/>
          <w:sz w:val="32"/>
          <w:szCs w:val="32"/>
        </w:rPr>
        <w:t>万元，全年执行数</w:t>
      </w:r>
      <w:r>
        <w:rPr>
          <w:rFonts w:hint="eastAsia" w:ascii="仿宋_GB2312" w:eastAsia="仿宋_GB2312"/>
          <w:b w:val="0"/>
          <w:color w:val="auto"/>
          <w:sz w:val="32"/>
          <w:szCs w:val="32"/>
          <w:lang w:val="en-US" w:eastAsia="zh-CN"/>
        </w:rPr>
        <w:t>44151.86</w:t>
      </w:r>
      <w:bookmarkStart w:id="0" w:name="_GoBack"/>
      <w:bookmarkEnd w:id="0"/>
      <w:r>
        <w:rPr>
          <w:rFonts w:ascii="仿宋_GB2312" w:eastAsia="仿宋_GB2312"/>
          <w:b w:val="0"/>
          <w:color w:val="auto"/>
          <w:sz w:val="32"/>
          <w:szCs w:val="32"/>
        </w:rPr>
        <w:t>万元。预算绩效管理取得的成效：</w:t>
      </w:r>
      <w:r>
        <w:rPr>
          <w:rFonts w:hint="eastAsia" w:ascii="仿宋_GB2312" w:eastAsia="仿宋_GB2312"/>
          <w:b w:val="0"/>
          <w:color w:val="auto"/>
          <w:sz w:val="32"/>
          <w:szCs w:val="32"/>
          <w:lang w:eastAsia="zh-CN"/>
        </w:rPr>
        <w:t>一是提高财政资金使用效</w:t>
      </w:r>
      <w:r>
        <w:rPr>
          <w:rFonts w:hint="eastAsia" w:ascii="仿宋_GB2312" w:eastAsia="仿宋_GB2312"/>
          <w:color w:val="auto"/>
          <w:sz w:val="32"/>
          <w:szCs w:val="32"/>
          <w:highlight w:val="none"/>
          <w:lang w:eastAsia="zh-CN"/>
        </w:rPr>
        <w:t>益，确保民生工程顺利开展，对下一年此类项目预算编制提供参考，提高了项目资金使用的绩效意识；二是有利于完善预算绩效评价机制，展示支出与绩效之间内在联系，推进财政支出管理的科学化、制度化和规范化</w:t>
      </w:r>
      <w:r>
        <w:rPr>
          <w:rFonts w:ascii="仿宋_GB2312" w:eastAsia="仿宋_GB2312"/>
          <w:b w:val="0"/>
          <w:color w:val="auto"/>
          <w:sz w:val="32"/>
          <w:szCs w:val="32"/>
        </w:rPr>
        <w:t>。发现的问题及原因：</w:t>
      </w:r>
      <w:r>
        <w:rPr>
          <w:rFonts w:hint="eastAsia" w:ascii="仿宋_GB2312" w:eastAsia="仿宋_GB2312"/>
          <w:color w:val="auto"/>
          <w:sz w:val="32"/>
          <w:szCs w:val="32"/>
          <w:highlight w:val="none"/>
          <w:lang w:eastAsia="zh-CN"/>
        </w:rPr>
        <w:t>一是部门工作人员对开展绩效管理工作的相关文件学习领会有差距，对绩效管理考核工作重视不够；二是在开展重大项目、重点工作检查与党委领导要求有差距，还需努力查找差距所在，及时整改</w:t>
      </w:r>
      <w:r>
        <w:rPr>
          <w:rFonts w:ascii="仿宋_GB2312" w:eastAsia="仿宋_GB2312"/>
          <w:b w:val="0"/>
          <w:color w:val="auto"/>
          <w:sz w:val="32"/>
          <w:szCs w:val="32"/>
        </w:rPr>
        <w:t>。下一步改进措施：</w:t>
      </w:r>
      <w:r>
        <w:rPr>
          <w:rFonts w:hint="eastAsia" w:ascii="仿宋_GB2312" w:eastAsia="仿宋_GB2312"/>
          <w:color w:val="auto"/>
          <w:sz w:val="32"/>
          <w:szCs w:val="32"/>
          <w:highlight w:val="none"/>
          <w:lang w:eastAsia="zh-CN"/>
        </w:rPr>
        <w:t>一是加强绩效管理工作业务知识及强化绩效监控工作意识，进一步提升工作能力。形成绩效监控管理工作的整合，做好城市建设管理工作；二是完善财务管理体制，严格落实“三重一大”的制度，管好财力，用好资金。三是建立长效机制，为市民提供良好的生活环境，促进社会可持续健康发展。</w:t>
      </w:r>
      <w:r>
        <w:rPr>
          <w:rFonts w:ascii="仿宋_GB2312" w:eastAsia="仿宋_GB2312"/>
          <w:b w:val="0"/>
          <w:color w:val="auto"/>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十二、其他需说明的事项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eastAsia="zh-CN"/>
        </w:rPr>
        <w:t>其他需说明的事项。</w:t>
      </w:r>
    </w:p>
    <w:p>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p>
    <w:p>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一、财政拨款收入：</w:t>
      </w:r>
      <w:r>
        <w:rPr>
          <w:rFonts w:ascii="仿宋_GB2312" w:eastAsia="仿宋_GB2312"/>
          <w:b w:val="0"/>
          <w:color w:val="auto"/>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二、上级补助收入：</w:t>
      </w:r>
      <w:r>
        <w:rPr>
          <w:rFonts w:ascii="仿宋_GB2312" w:eastAsia="仿宋_GB2312"/>
          <w:b w:val="0"/>
          <w:color w:val="auto"/>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三、事业收入：</w:t>
      </w:r>
      <w:r>
        <w:rPr>
          <w:rFonts w:ascii="仿宋_GB2312" w:eastAsia="仿宋_GB2312"/>
          <w:b w:val="0"/>
          <w:color w:val="auto"/>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四、经营收入：</w:t>
      </w:r>
      <w:r>
        <w:rPr>
          <w:rFonts w:ascii="仿宋_GB2312" w:eastAsia="仿宋_GB2312"/>
          <w:b w:val="0"/>
          <w:color w:val="auto"/>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五、附属单位上缴收入：</w:t>
      </w:r>
      <w:r>
        <w:rPr>
          <w:rFonts w:ascii="仿宋_GB2312" w:eastAsia="仿宋_GB2312"/>
          <w:b w:val="0"/>
          <w:color w:val="auto"/>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六、其他收入：</w:t>
      </w:r>
      <w:r>
        <w:rPr>
          <w:rFonts w:ascii="仿宋_GB2312" w:eastAsia="仿宋_GB2312"/>
          <w:b w:val="0"/>
          <w:color w:val="auto"/>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七、年初结转和结余：</w:t>
      </w:r>
      <w:r>
        <w:rPr>
          <w:rFonts w:ascii="仿宋_GB2312" w:eastAsia="仿宋_GB2312"/>
          <w:b w:val="0"/>
          <w:color w:val="auto"/>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八、年末结转和结余：</w:t>
      </w:r>
      <w:r>
        <w:rPr>
          <w:rFonts w:ascii="仿宋_GB2312" w:eastAsia="仿宋_GB2312"/>
          <w:b w:val="0"/>
          <w:color w:val="auto"/>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九、基本支出：</w:t>
      </w:r>
      <w:r>
        <w:rPr>
          <w:rFonts w:ascii="仿宋_GB2312" w:eastAsia="仿宋_GB2312"/>
          <w:b w:val="0"/>
          <w:color w:val="auto"/>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十、项目支出：</w:t>
      </w:r>
      <w:r>
        <w:rPr>
          <w:rFonts w:ascii="仿宋_GB2312" w:eastAsia="仿宋_GB2312"/>
          <w:b w:val="0"/>
          <w:color w:val="auto"/>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十一、经营支出：</w:t>
      </w:r>
      <w:r>
        <w:rPr>
          <w:rFonts w:ascii="仿宋_GB2312" w:eastAsia="仿宋_GB2312"/>
          <w:b w:val="0"/>
          <w:color w:val="auto"/>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十二、对附属单位补助支出：</w:t>
      </w:r>
      <w:r>
        <w:rPr>
          <w:rFonts w:ascii="仿宋_GB2312" w:eastAsia="仿宋_GB2312"/>
          <w:b w:val="0"/>
          <w:color w:val="auto"/>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十三、“三公”经费：</w:t>
      </w:r>
      <w:r>
        <w:rPr>
          <w:rFonts w:ascii="仿宋_GB2312" w:eastAsia="仿宋_GB2312"/>
          <w:b w:val="0"/>
          <w:color w:val="auto"/>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十四、机关运行经费：</w:t>
      </w:r>
      <w:r>
        <w:rPr>
          <w:rFonts w:ascii="仿宋_GB2312" w:eastAsia="仿宋_GB2312"/>
          <w:b w:val="0"/>
          <w:color w:val="auto"/>
          <w:sz w:val="32"/>
          <w:szCs w:val="32"/>
        </w:rPr>
        <w:t>行政单位和参照公务员法管理的事业单位财政拨款基本支出中的公用经费支出。</w:t>
      </w:r>
    </w:p>
    <w:p>
      <w:pPr>
        <w:widowControl/>
        <w:rPr>
          <w:color w:val="auto"/>
        </w:rPr>
      </w:pPr>
      <w:r>
        <w:rPr>
          <w:b w:val="0"/>
          <w:color w:val="auto"/>
          <w:sz w:val="0"/>
          <w:szCs w:val="0"/>
        </w:rPr>
        <w:br w:type="page"/>
      </w:r>
    </w:p>
    <w:p>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r>
        <w:rPr>
          <w:rFonts w:ascii="仿宋_GB2312" w:eastAsia="仿宋_GB2312"/>
          <w:b w:val="0"/>
          <w:color w:val="auto"/>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color w:val="auto"/>
          <w:sz w:val="32"/>
          <w:szCs w:val="32"/>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r>
        <w:rPr>
          <w:color w:val="auto"/>
        </w:rPr>
        <w:drawing>
          <wp:inline distT="0" distB="0" distL="114300" distR="114300">
            <wp:extent cx="5478780" cy="5156835"/>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78780" cy="515683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r>
        <w:rPr>
          <w:color w:val="auto"/>
        </w:rPr>
        <w:drawing>
          <wp:inline distT="0" distB="0" distL="114300" distR="114300">
            <wp:extent cx="5476875" cy="6779895"/>
            <wp:effectExtent l="0" t="0" r="952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grayscl/>
                    </a:blip>
                    <a:stretch>
                      <a:fillRect/>
                    </a:stretch>
                  </pic:blipFill>
                  <pic:spPr>
                    <a:xfrm>
                      <a:off x="0" y="0"/>
                      <a:ext cx="5476875" cy="677989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r>
        <w:rPr>
          <w:color w:val="auto"/>
        </w:rPr>
        <w:drawing>
          <wp:inline distT="0" distB="0" distL="114300" distR="114300">
            <wp:extent cx="5485765" cy="7806055"/>
            <wp:effectExtent l="0" t="0" r="63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485765" cy="780605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r>
        <w:rPr>
          <w:color w:val="auto"/>
        </w:rPr>
        <w:drawing>
          <wp:inline distT="0" distB="0" distL="114300" distR="114300">
            <wp:extent cx="5476240" cy="3902710"/>
            <wp:effectExtent l="0" t="0" r="1016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76240" cy="390271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r>
        <w:rPr>
          <w:color w:val="auto"/>
        </w:rPr>
        <w:drawing>
          <wp:inline distT="0" distB="0" distL="114300" distR="114300">
            <wp:extent cx="5162550" cy="8769350"/>
            <wp:effectExtent l="0" t="0" r="0" b="1270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5162550" cy="87693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rPr>
      </w:pPr>
      <w:r>
        <w:rPr>
          <w:color w:val="auto"/>
        </w:rPr>
        <w:drawing>
          <wp:inline distT="0" distB="0" distL="114300" distR="114300">
            <wp:extent cx="5481955" cy="4699635"/>
            <wp:effectExtent l="0" t="0" r="444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81955" cy="469963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r>
        <w:rPr>
          <w:color w:val="auto"/>
        </w:rPr>
        <w:drawing>
          <wp:inline distT="0" distB="0" distL="114300" distR="114300">
            <wp:extent cx="5482590" cy="2308860"/>
            <wp:effectExtent l="0" t="0" r="3810" b="152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grayscl/>
                    </a:blip>
                    <a:stretch>
                      <a:fillRect/>
                    </a:stretch>
                  </pic:blipFill>
                  <pic:spPr>
                    <a:xfrm>
                      <a:off x="0" y="0"/>
                      <a:ext cx="5482590" cy="230886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r>
        <w:rPr>
          <w:color w:val="auto"/>
        </w:rPr>
        <w:drawing>
          <wp:inline distT="0" distB="0" distL="114300" distR="114300">
            <wp:extent cx="5482590" cy="2632710"/>
            <wp:effectExtent l="0" t="0" r="3810" b="152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82590" cy="263271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r>
        <w:rPr>
          <w:color w:val="auto"/>
        </w:rPr>
        <w:drawing>
          <wp:inline distT="0" distB="0" distL="114300" distR="114300">
            <wp:extent cx="5476240" cy="872490"/>
            <wp:effectExtent l="0" t="0" r="1016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76240" cy="87249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p>
      <w:pPr>
        <w:widowControl/>
        <w:spacing w:before="0" w:beforeLines="0" w:beforeAutospacing="0" w:after="0" w:afterLines="0" w:afterAutospacing="0" w:line="240" w:lineRule="auto"/>
        <w:jc w:val="left"/>
        <w:outlineLvl w:val="1"/>
        <w:rPr>
          <w:color w:val="auto"/>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9023DC"/>
    <w:multiLevelType w:val="singleLevel"/>
    <w:tmpl w:val="749023D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6E86"/>
    <w:rsid w:val="0146007E"/>
    <w:rsid w:val="0B1765A0"/>
    <w:rsid w:val="0DF63AFC"/>
    <w:rsid w:val="107B4ED0"/>
    <w:rsid w:val="12C31B67"/>
    <w:rsid w:val="12E6242A"/>
    <w:rsid w:val="19CD58B4"/>
    <w:rsid w:val="1D904520"/>
    <w:rsid w:val="222136BD"/>
    <w:rsid w:val="231D0853"/>
    <w:rsid w:val="24B06FDF"/>
    <w:rsid w:val="2BD57D17"/>
    <w:rsid w:val="2FE60311"/>
    <w:rsid w:val="33274C1B"/>
    <w:rsid w:val="35942932"/>
    <w:rsid w:val="382C1A17"/>
    <w:rsid w:val="398F1689"/>
    <w:rsid w:val="3B4C4096"/>
    <w:rsid w:val="50C9365E"/>
    <w:rsid w:val="533D29FC"/>
    <w:rsid w:val="56130855"/>
    <w:rsid w:val="593733D6"/>
    <w:rsid w:val="595240D1"/>
    <w:rsid w:val="65EA57CF"/>
    <w:rsid w:val="65FF00FF"/>
    <w:rsid w:val="6641602C"/>
    <w:rsid w:val="6C180C53"/>
    <w:rsid w:val="74B411F3"/>
    <w:rsid w:val="7D2646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29</Pages>
  <Words>10259</Words>
  <Characters>11721</Characters>
  <TotalTime>2</TotalTime>
  <ScaleCrop>false</ScaleCrop>
  <LinksUpToDate>false</LinksUpToDate>
  <CharactersWithSpaces>11723</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2025-08-13T08:24:00Z</dcterms:created>
  <dc:creator>Administrator</dc:creator>
  <cp:lastModifiedBy>lenovo</cp:lastModifiedBy>
  <dcterms:modified xsi:type="dcterms:W3CDTF">2025-11-18T09:39:46Z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A2CF1E19EF3D47A5BB30A50F3332628E</vt:lpwstr>
  </property>
  <property fmtid="{D5CDD505-2E9C-101B-9397-08002B2CF9AE}" pid="4" name="KSOTemplateDocerSaveRecord">
    <vt:lpwstr>eyJoZGlkIjoiYWM5MDE2NGYwMGE1YjY5YWVjYTgwN2E3N2ViNDAyMWIiLCJ1c2VySWQiOiI1MzMyNjY2NjMifQ==</vt:lpwstr>
  </property>
</Properties>
</file>