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A90BB">
      <w:pPr>
        <w:widowControl/>
        <w:spacing w:before="0" w:beforeLines="0" w:beforeAutospacing="0" w:after="0" w:afterLines="0" w:afterAutospacing="0" w:line="240" w:lineRule="auto"/>
        <w:jc w:val="left"/>
        <w:rPr>
          <w:rFonts w:ascii="宋体" w:eastAsia="宋体"/>
          <w:sz w:val="32"/>
          <w:szCs w:val="32"/>
        </w:rPr>
      </w:pPr>
    </w:p>
    <w:p w14:paraId="37F71A12">
      <w:pPr>
        <w:widowControl/>
        <w:spacing w:before="0" w:beforeLines="0" w:beforeAutospacing="0" w:after="0" w:afterLines="0" w:afterAutospacing="0" w:line="240" w:lineRule="auto"/>
        <w:jc w:val="left"/>
        <w:rPr>
          <w:rFonts w:ascii="宋体" w:eastAsia="宋体"/>
          <w:sz w:val="44"/>
          <w:szCs w:val="44"/>
        </w:rPr>
      </w:pPr>
    </w:p>
    <w:p w14:paraId="7F26FAED">
      <w:pPr>
        <w:widowControl/>
        <w:spacing w:before="0" w:beforeLines="0" w:beforeAutospacing="0" w:after="0" w:afterLines="0" w:afterAutospacing="0" w:line="240" w:lineRule="auto"/>
        <w:jc w:val="left"/>
        <w:rPr>
          <w:rFonts w:ascii="宋体" w:eastAsia="宋体"/>
          <w:sz w:val="44"/>
          <w:szCs w:val="44"/>
        </w:rPr>
      </w:pPr>
    </w:p>
    <w:p w14:paraId="616A806B">
      <w:pPr>
        <w:widowControl/>
        <w:spacing w:before="0" w:beforeLines="0" w:beforeAutospacing="0" w:after="0" w:afterLines="0" w:afterAutospacing="0" w:line="240" w:lineRule="auto"/>
        <w:jc w:val="left"/>
        <w:rPr>
          <w:rFonts w:ascii="宋体" w:eastAsia="宋体"/>
          <w:sz w:val="44"/>
          <w:szCs w:val="44"/>
        </w:rPr>
      </w:pPr>
    </w:p>
    <w:p w14:paraId="51ABD180">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库尔勒市市容环境卫生事务中心</w:t>
      </w:r>
    </w:p>
    <w:p w14:paraId="73C33765">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18FDF750">
      <w:pPr>
        <w:widowControl/>
      </w:pPr>
      <w:r>
        <w:rPr>
          <w:b w:val="0"/>
          <w:sz w:val="0"/>
          <w:szCs w:val="0"/>
        </w:rPr>
        <w:br w:type="page"/>
      </w:r>
    </w:p>
    <w:p w14:paraId="59AC4789">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1859C2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328485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480DC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153297D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50CC2ED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053EB3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0C7D90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E93B4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8686A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49BB1E2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35DF83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E1809D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35C88CC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3173B62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B61715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38C8C8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8D27D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1E2745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BA1669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6DBF3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6052C6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A4968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63157FA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398988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7616574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6AEF7A4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EAF59A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65FA452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3DB180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639359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34503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FD2425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3BCA7C7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7516612">
      <w:pPr>
        <w:widowControl/>
      </w:pPr>
      <w:r>
        <w:rPr>
          <w:b w:val="0"/>
          <w:sz w:val="0"/>
          <w:szCs w:val="0"/>
        </w:rPr>
        <w:br w:type="page"/>
      </w:r>
    </w:p>
    <w:p w14:paraId="6C4012F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7994409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32F2FB4E">
      <w:pPr>
        <w:pStyle w:val="6"/>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为维护城市环境卫生和市容美化提供管理保障。城市环境卫生设施建设，运营与维护监督作业建筑管理及建筑物外观，户外广告设置与外观，道路与广场容貌交通工具密闭运输与外观清洁，文明施工管理。组织道路机械化清扫、洒水降尘及人工保洁作业。推行垃圾分类全链条管理（收集/运输/处理）。监管公共厕所、垃圾中转站等环卫设施建设运营。</w:t>
      </w:r>
    </w:p>
    <w:p w14:paraId="33D5C518">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14:paraId="0B5F8FC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0A0D60C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库尔勒市市容环境卫生事务中心2024年度，实有人数346人，其中：在职人员193人，减少8人；离休人员0人，较上年无变化；退休人员153人，增加5人。</w:t>
      </w:r>
    </w:p>
    <w:p w14:paraId="65496967">
      <w:pPr>
        <w:pStyle w:val="6"/>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_GB2312" w:eastAsia="仿宋_GB2312" w:hAnsiTheme="minorHAnsi" w:cstheme="minorBidi"/>
          <w:b w:val="0"/>
          <w:sz w:val="32"/>
          <w:szCs w:val="32"/>
        </w:rPr>
      </w:pPr>
      <w:r>
        <w:rPr>
          <w:rFonts w:ascii="仿宋_GB2312" w:eastAsia="仿宋_GB2312" w:hAnsiTheme="minorHAnsi" w:cstheme="minorBidi"/>
          <w:b w:val="0"/>
          <w:sz w:val="32"/>
          <w:szCs w:val="32"/>
        </w:rPr>
        <w:t>库尔勒市市容环境卫生事务中心无下属预算单位，下设</w:t>
      </w:r>
      <w:r>
        <w:rPr>
          <w:rFonts w:hint="eastAsia" w:ascii="仿宋_GB2312" w:eastAsia="仿宋_GB2312" w:hAnsiTheme="minorHAnsi" w:cstheme="minorBidi"/>
          <w:b w:val="0"/>
          <w:sz w:val="32"/>
          <w:szCs w:val="32"/>
          <w:lang w:val="en-US" w:eastAsia="zh-CN"/>
        </w:rPr>
        <w:t>7</w:t>
      </w:r>
      <w:r>
        <w:rPr>
          <w:rFonts w:ascii="仿宋_GB2312" w:eastAsia="仿宋_GB2312" w:hAnsiTheme="minorHAnsi" w:cstheme="minorBidi"/>
          <w:b w:val="0"/>
          <w:sz w:val="32"/>
          <w:szCs w:val="32"/>
        </w:rPr>
        <w:t>个</w:t>
      </w:r>
      <w:r>
        <w:rPr>
          <w:rFonts w:hint="eastAsia" w:ascii="仿宋_GB2312" w:eastAsia="仿宋_GB2312" w:hAnsiTheme="minorHAnsi" w:cstheme="minorBidi"/>
          <w:b w:val="0"/>
          <w:sz w:val="32"/>
          <w:szCs w:val="32"/>
        </w:rPr>
        <w:t>科室</w:t>
      </w:r>
      <w:r>
        <w:rPr>
          <w:rFonts w:ascii="仿宋_GB2312" w:eastAsia="仿宋_GB2312" w:hAnsiTheme="minorHAnsi" w:cstheme="minorBidi"/>
          <w:b w:val="0"/>
          <w:sz w:val="32"/>
          <w:szCs w:val="32"/>
        </w:rPr>
        <w:t>，分别是：</w:t>
      </w:r>
      <w:r>
        <w:rPr>
          <w:rFonts w:hint="eastAsia" w:ascii="仿宋_GB2312" w:eastAsia="仿宋_GB2312" w:hAnsiTheme="minorHAnsi" w:cstheme="minorBidi"/>
          <w:b w:val="0"/>
          <w:sz w:val="32"/>
          <w:szCs w:val="32"/>
        </w:rPr>
        <w:t>党政综合办公室、人事劳资财务室、业务办公室、面积核定办公室、督查办公室、纪检监察办公室、法制安保办公室。</w:t>
      </w:r>
    </w:p>
    <w:p w14:paraId="3528D799">
      <w:pPr>
        <w:widowControl/>
      </w:pPr>
      <w:r>
        <w:rPr>
          <w:b w:val="0"/>
          <w:sz w:val="0"/>
          <w:szCs w:val="0"/>
        </w:rPr>
        <w:br w:type="page"/>
      </w:r>
    </w:p>
    <w:p w14:paraId="32BAF7B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5D36B48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0D54EB5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2024年度收入总计9,841.89万元，其中：本年收入合计9,841.89万元，使用非财政拨款结余（含专用结余）0.00万元，年初结转和结余0.00万元。</w:t>
      </w:r>
    </w:p>
    <w:p w14:paraId="3686EF0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2024年度支出总计9,841.89万元，其中：本年支出合计9,841.89万元，结余分配0.00万元，年末结转和结余0.00万元。</w:t>
      </w:r>
    </w:p>
    <w:p w14:paraId="2556989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收入支出总体与上年相比，减少3,892.17万元，下降28.34%，主要原因是：</w:t>
      </w:r>
      <w:r>
        <w:rPr>
          <w:rFonts w:hint="eastAsia" w:ascii="仿宋_GB2312" w:hAnsi="仿宋" w:eastAsia="仿宋_GB2312"/>
          <w:sz w:val="32"/>
          <w:szCs w:val="32"/>
          <w:lang w:eastAsia="zh-CN"/>
        </w:rPr>
        <w:t>城镇垃圾无害化处理项目</w:t>
      </w:r>
      <w:r>
        <w:rPr>
          <w:rFonts w:hint="eastAsia" w:ascii="仿宋_GB2312" w:hAnsi="仿宋" w:eastAsia="仿宋_GB2312"/>
          <w:sz w:val="32"/>
          <w:szCs w:val="32"/>
          <w:lang w:val="en-US" w:eastAsia="zh-CN"/>
        </w:rPr>
        <w:t>2023年</w:t>
      </w:r>
      <w:r>
        <w:rPr>
          <w:rFonts w:hint="eastAsia" w:ascii="仿宋_GB2312" w:hAnsi="仿宋" w:eastAsia="仿宋_GB2312"/>
          <w:sz w:val="32"/>
          <w:szCs w:val="32"/>
          <w:lang w:eastAsia="zh-CN"/>
        </w:rPr>
        <w:t>已完工，完成支付</w:t>
      </w:r>
      <w:r>
        <w:rPr>
          <w:rFonts w:hint="eastAsia" w:ascii="仿宋_GB2312" w:hAnsi="仿宋" w:eastAsia="仿宋_GB2312"/>
          <w:sz w:val="32"/>
          <w:szCs w:val="32"/>
          <w:lang w:val="en-US" w:eastAsia="zh-CN"/>
        </w:rPr>
        <w:t>3,731.25万元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2024</w:t>
      </w:r>
      <w:r>
        <w:rPr>
          <w:rFonts w:hint="eastAsia" w:ascii="仿宋_GB2312" w:hAnsi="仿宋" w:eastAsia="仿宋_GB2312"/>
          <w:sz w:val="32"/>
          <w:szCs w:val="32"/>
          <w:lang w:eastAsia="zh-CN"/>
        </w:rPr>
        <w:t>年无新项目开工</w:t>
      </w:r>
      <w:r>
        <w:rPr>
          <w:rFonts w:hint="eastAsia" w:ascii="仿宋_GB2312" w:hAnsi="仿宋" w:eastAsia="仿宋_GB2312"/>
          <w:sz w:val="32"/>
          <w:szCs w:val="32"/>
        </w:rPr>
        <w:t>。</w:t>
      </w:r>
    </w:p>
    <w:p w14:paraId="1AAC450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4BA0C6A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本年收入9,841.89万元，其中：财政拨款收入9,841.89万元,占100.00%；上级补助收入0.00万元,占0.00%；事业收入0.00万元，占0.00%；经营收入0.00万元,占0.00%；附属单位上缴收入0.00万元，占0.00%；其他收入0.00万元，占0.00%。</w:t>
      </w:r>
    </w:p>
    <w:p w14:paraId="663D204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04F45DB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本年支出9,841.89万元，其中：基本支出3,070.58万元，占31.20%；项目支出6,771.31万元，占68.80%；上缴上级支出0.00万元，占0.00%；经营支出0.00万元，占0.00%；对附属单位补助支出0.00万元，占0.00%。</w:t>
      </w:r>
    </w:p>
    <w:p w14:paraId="6305760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422A3E2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9,841.89万元，其中：年初财政拨款结转和结余0.00万元，本年财政拨款收入9,841.89万元。财政拨款支出总计9,841.89万元，其中：年末财政拨款结转和结余0.00万元，本年财政拨款支出9,841.89万元。</w:t>
      </w:r>
    </w:p>
    <w:p w14:paraId="43392CD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财政拨款收入支出总体与上年相比，增加732.47万元，增长8.04%，主要原因是：</w:t>
      </w:r>
      <w:r>
        <w:rPr>
          <w:rFonts w:hint="eastAsia" w:ascii="仿宋_GB2312" w:eastAsia="仿宋_GB2312"/>
          <w:b w:val="0"/>
          <w:sz w:val="32"/>
          <w:szCs w:val="32"/>
          <w:lang w:val="en-US" w:eastAsia="zh-CN"/>
        </w:rPr>
        <w:t>2023年政府购买服务资金纳入其他收入列支，2024年支出全部纳入一般公共预算及政府性基金收入未安排其他收入资金，导致财政拨款收入支出总体较上年增加</w:t>
      </w:r>
      <w:r>
        <w:rPr>
          <w:rFonts w:ascii="仿宋_GB2312" w:eastAsia="仿宋_GB2312"/>
          <w:b w:val="0"/>
          <w:sz w:val="32"/>
          <w:szCs w:val="32"/>
        </w:rPr>
        <w:t>。与年初预算相比，年初预算数11,464.35万元，决算数9,841.89万元，预决算差异率-14.15%，主要原因是：</w:t>
      </w:r>
      <w:r>
        <w:rPr>
          <w:rFonts w:hint="eastAsia" w:ascii="仿宋_GB2312" w:eastAsia="仿宋_GB2312"/>
          <w:b w:val="0"/>
          <w:sz w:val="32"/>
          <w:szCs w:val="32"/>
          <w:lang w:eastAsia="zh-CN"/>
        </w:rPr>
        <w:t>年初安排</w:t>
      </w:r>
      <w:r>
        <w:rPr>
          <w:rFonts w:hint="eastAsia" w:ascii="仿宋_GB2312" w:eastAsia="仿宋_GB2312"/>
          <w:b w:val="0"/>
          <w:sz w:val="32"/>
          <w:szCs w:val="32"/>
        </w:rPr>
        <w:t>PPP项目-城乡环卫一体化PPP项目</w:t>
      </w:r>
      <w:r>
        <w:rPr>
          <w:rFonts w:hint="eastAsia" w:ascii="仿宋_GB2312" w:eastAsia="仿宋_GB2312"/>
          <w:b w:val="0"/>
          <w:sz w:val="32"/>
          <w:szCs w:val="32"/>
          <w:lang w:eastAsia="zh-CN"/>
        </w:rPr>
        <w:t>未开工没有支付资金</w:t>
      </w:r>
      <w:r>
        <w:rPr>
          <w:rFonts w:ascii="仿宋_GB2312" w:eastAsia="仿宋_GB2312"/>
          <w:b w:val="0"/>
          <w:sz w:val="32"/>
          <w:szCs w:val="32"/>
        </w:rPr>
        <w:t>。</w:t>
      </w:r>
    </w:p>
    <w:p w14:paraId="2EFA376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07A37E24">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293819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2024年度一般公共预算财政拨款支出9,791.89万元，占本年支出合计的99.49%。与上年相比，增加5,891.06万元，增长151.02%，主要原因是：</w:t>
      </w:r>
      <w:r>
        <w:rPr>
          <w:rFonts w:hint="eastAsia" w:ascii="仿宋_GB2312" w:eastAsia="仿宋_GB2312"/>
          <w:b w:val="0"/>
          <w:sz w:val="32"/>
          <w:szCs w:val="32"/>
          <w:lang w:val="en-US" w:eastAsia="zh-CN"/>
        </w:rPr>
        <w:t>2023年将政府购买服务支出纳入其他收入列支，2024年将政府购买服务5030.14万元纳入</w:t>
      </w:r>
      <w:r>
        <w:rPr>
          <w:rFonts w:ascii="仿宋_GB2312" w:eastAsia="仿宋_GB2312"/>
          <w:b w:val="0"/>
          <w:sz w:val="32"/>
          <w:szCs w:val="32"/>
        </w:rPr>
        <w:t>一般公共预算财政拨款支出</w:t>
      </w:r>
      <w:r>
        <w:rPr>
          <w:rFonts w:hint="eastAsia" w:ascii="仿宋_GB2312" w:eastAsia="仿宋_GB2312"/>
          <w:b w:val="0"/>
          <w:sz w:val="32"/>
          <w:szCs w:val="32"/>
          <w:lang w:eastAsia="zh-CN"/>
        </w:rPr>
        <w:t>，导致一般公共预算财政拨款增加</w:t>
      </w:r>
      <w:r>
        <w:rPr>
          <w:rFonts w:ascii="仿宋_GB2312" w:eastAsia="仿宋_GB2312"/>
          <w:b w:val="0"/>
          <w:sz w:val="32"/>
          <w:szCs w:val="32"/>
        </w:rPr>
        <w:t>。与年初预算相比，年初预算数3,596.06万元，决算数9,791.89万元，预决算差异率172.29%，主要原因是：</w:t>
      </w:r>
      <w:r>
        <w:rPr>
          <w:rFonts w:hint="eastAsia" w:ascii="仿宋_GB2312" w:eastAsia="仿宋_GB2312"/>
          <w:b w:val="0"/>
          <w:sz w:val="32"/>
          <w:szCs w:val="32"/>
          <w:lang w:eastAsia="zh-CN"/>
        </w:rPr>
        <w:t>年初安排政府性基金预算财政拨款收入</w:t>
      </w:r>
      <w:r>
        <w:rPr>
          <w:rFonts w:hint="eastAsia" w:ascii="仿宋_GB2312" w:eastAsia="仿宋_GB2312"/>
          <w:b w:val="0"/>
          <w:sz w:val="32"/>
          <w:szCs w:val="32"/>
          <w:lang w:val="en-US" w:eastAsia="zh-CN"/>
        </w:rPr>
        <w:t>3319.04万元及</w:t>
      </w:r>
      <w:r>
        <w:rPr>
          <w:rFonts w:hint="eastAsia" w:ascii="仿宋_GB2312" w:hAnsi="仿宋" w:eastAsia="仿宋_GB2312" w:cs="Times New Roman"/>
          <w:sz w:val="32"/>
          <w:szCs w:val="32"/>
          <w:lang w:val="en-US" w:eastAsia="zh-CN"/>
        </w:rPr>
        <w:t>国有资本经营收入4549.24万元年终按填报口径全部调减并调到一般公共预算财政拨款收入，导致预决算差异率大</w:t>
      </w:r>
      <w:r>
        <w:rPr>
          <w:rFonts w:ascii="仿宋_GB2312" w:eastAsia="仿宋_GB2312"/>
          <w:b w:val="0"/>
          <w:sz w:val="32"/>
          <w:szCs w:val="32"/>
        </w:rPr>
        <w:t>。</w:t>
      </w:r>
    </w:p>
    <w:p w14:paraId="7F54DC14">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181494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社会保障和就业支出（类）473.78万元，占4.84%。</w:t>
      </w:r>
    </w:p>
    <w:p w14:paraId="24160EA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卫生健康支出（类）152.20万元，占1.55%。</w:t>
      </w:r>
    </w:p>
    <w:p w14:paraId="3D8ABE7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城乡社区支出（类）8,922.13万元，占91.12%。</w:t>
      </w:r>
    </w:p>
    <w:p w14:paraId="3540B2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住房保障支出（类）243.79万元，占2.49%。</w:t>
      </w:r>
    </w:p>
    <w:p w14:paraId="67BDAAC9">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69F8B9AD">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教育支出（类）进修及培训（款）培训支出（项）：支出决算数为0.00万元，比上年决算减少0.34万元，下降100.00%，主要原因是：</w:t>
      </w:r>
      <w:r>
        <w:rPr>
          <w:rFonts w:hint="eastAsia" w:ascii="仿宋_GB2312" w:eastAsia="仿宋_GB2312"/>
          <w:b w:val="0"/>
          <w:sz w:val="32"/>
          <w:szCs w:val="32"/>
          <w:lang w:val="en-US" w:eastAsia="zh-CN"/>
        </w:rPr>
        <w:t>2024年度我单位在职人员没有培训项目。</w:t>
      </w:r>
    </w:p>
    <w:p w14:paraId="792A4A71">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社会保障和就业支出（类）行政事业单位养老支出（款）事业单位离退休（项）：支出决算数为106.90万元，比上年决算增加30.18万元，增长39.34%，主要原因是：</w:t>
      </w:r>
      <w:r>
        <w:rPr>
          <w:rFonts w:hint="eastAsia" w:ascii="仿宋_GB2312" w:eastAsia="仿宋_GB2312"/>
          <w:b w:val="0"/>
          <w:sz w:val="32"/>
          <w:szCs w:val="32"/>
          <w:lang w:eastAsia="zh-CN"/>
        </w:rPr>
        <w:t>退休人员</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年绩效考核较上年上涨。</w:t>
      </w:r>
    </w:p>
    <w:p w14:paraId="2253A54E">
      <w:pPr>
        <w:widowControl/>
        <w:spacing w:line="560" w:lineRule="exact"/>
        <w:ind w:firstLine="640" w:firstLineChars="200"/>
        <w:rPr>
          <w:rFonts w:ascii="仿宋_GB2312" w:eastAsia="仿宋_GB2312" w:hAnsiTheme="minorHAnsi" w:cstheme="minorBidi"/>
          <w:b w:val="0"/>
          <w:sz w:val="32"/>
          <w:szCs w:val="32"/>
        </w:rPr>
      </w:pPr>
      <w:r>
        <w:rPr>
          <w:rFonts w:ascii="仿宋_GB2312" w:eastAsia="仿宋_GB2312"/>
          <w:b w:val="0"/>
          <w:sz w:val="32"/>
          <w:szCs w:val="32"/>
        </w:rPr>
        <w:t>社会保障和就业支出（类）行政事业单位养老支出（款）机关事业单位基本养老保险缴费支出（项）：支出决算数为318.88万元，比上年决算增加10.89万元，增长3.54%，主要原因是：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养老</w:t>
      </w:r>
      <w:r>
        <w:rPr>
          <w:rFonts w:hint="eastAsia" w:ascii="仿宋_GB2312" w:eastAsia="仿宋_GB2312" w:hAnsiTheme="minorHAnsi" w:cstheme="minorBidi"/>
          <w:b w:val="0"/>
          <w:sz w:val="32"/>
          <w:szCs w:val="32"/>
        </w:rPr>
        <w:t>金基数增加。</w:t>
      </w:r>
    </w:p>
    <w:p w14:paraId="4F333649">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社会保障和就业支出（类）行政事业单位养老支出（款）机关事业单位职业年金缴费支出（项）：支出决算数为48.00万元，比上年决算减少17.20万元，下降26.38%，主要原因是：</w:t>
      </w:r>
      <w:r>
        <w:rPr>
          <w:rFonts w:hint="eastAsia" w:ascii="仿宋_GB2312" w:eastAsia="仿宋_GB2312"/>
          <w:b w:val="0"/>
          <w:sz w:val="32"/>
          <w:szCs w:val="32"/>
          <w:lang w:val="en-US" w:eastAsia="zh-CN"/>
        </w:rPr>
        <w:t>2024年度退休人员较上年减少。</w:t>
      </w:r>
    </w:p>
    <w:p w14:paraId="590E9480">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社会保障和就业支出（类）就业补助（款）公益性岗位补贴（项）：支出决算数为0.00万元，比上年决算减少412.97万元，下降100.00%，主要原因是：</w:t>
      </w:r>
      <w:r>
        <w:rPr>
          <w:rFonts w:hint="eastAsia" w:ascii="仿宋_GB2312" w:eastAsia="仿宋_GB2312"/>
          <w:b w:val="0"/>
          <w:sz w:val="32"/>
          <w:szCs w:val="32"/>
          <w:lang w:val="en-US" w:eastAsia="zh-CN"/>
        </w:rPr>
        <w:t>2023年因单位改制只支付1个月工资，后期全部纳入政府购买服务中列支故2024年</w:t>
      </w:r>
      <w:r>
        <w:rPr>
          <w:rFonts w:ascii="仿宋_GB2312" w:eastAsia="仿宋_GB2312"/>
          <w:b w:val="0"/>
          <w:sz w:val="32"/>
          <w:szCs w:val="32"/>
        </w:rPr>
        <w:t>公益性岗位补贴</w:t>
      </w:r>
      <w:r>
        <w:rPr>
          <w:rFonts w:hint="eastAsia" w:ascii="仿宋_GB2312" w:eastAsia="仿宋_GB2312"/>
          <w:b w:val="0"/>
          <w:sz w:val="32"/>
          <w:szCs w:val="32"/>
          <w:lang w:val="en-US" w:eastAsia="zh-CN"/>
        </w:rPr>
        <w:t>无支出。</w:t>
      </w:r>
    </w:p>
    <w:p w14:paraId="6556D405">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卫生健康支出（类）公共卫生（款）突发公共卫生事件应急处置（项）：支出决算数为0.00万元，比上年决算减少184.99万元，下降100.00%，主要原因是：</w:t>
      </w:r>
      <w:r>
        <w:rPr>
          <w:rFonts w:hint="eastAsia" w:ascii="仿宋_GB2312" w:eastAsia="仿宋_GB2312"/>
          <w:b w:val="0"/>
          <w:sz w:val="32"/>
          <w:szCs w:val="32"/>
          <w:lang w:val="en-US" w:eastAsia="zh-CN"/>
        </w:rPr>
        <w:t>2023年支付了欠疫情期间的专业用车的运行经费。</w:t>
      </w:r>
    </w:p>
    <w:p w14:paraId="69B03236">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卫生健康支出（类）行政事业单位医疗（款）事业单位医疗（项）：支出决算数为152.20万元，比上年决算减少38.68万元，下降20.26%，主要原因是：</w:t>
      </w:r>
      <w:r>
        <w:rPr>
          <w:rFonts w:hint="eastAsia" w:ascii="仿宋_GB2312" w:eastAsia="仿宋_GB2312"/>
          <w:b w:val="0"/>
          <w:sz w:val="32"/>
          <w:szCs w:val="32"/>
          <w:lang w:eastAsia="zh-CN"/>
        </w:rPr>
        <w:t>本年度上缴国库社保退多缴纳医保金</w:t>
      </w:r>
      <w:r>
        <w:rPr>
          <w:rFonts w:hint="eastAsia" w:ascii="仿宋_GB2312" w:eastAsia="仿宋_GB2312"/>
          <w:b w:val="0"/>
          <w:sz w:val="32"/>
          <w:szCs w:val="32"/>
          <w:lang w:val="en-US" w:eastAsia="zh-CN"/>
        </w:rPr>
        <w:t>46.56万元，</w:t>
      </w:r>
      <w:r>
        <w:rPr>
          <w:rFonts w:hint="eastAsia" w:ascii="仿宋_GB2312" w:eastAsia="仿宋_GB2312"/>
          <w:b w:val="0"/>
          <w:sz w:val="32"/>
          <w:szCs w:val="32"/>
          <w:lang w:eastAsia="zh-CN"/>
        </w:rPr>
        <w:t>冲减了当年医疗支出。所以较上年减少。</w:t>
      </w:r>
    </w:p>
    <w:p w14:paraId="12D70D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rPr>
      </w:pPr>
      <w:r>
        <w:rPr>
          <w:rFonts w:ascii="仿宋_GB2312" w:eastAsia="仿宋_GB2312"/>
          <w:b w:val="0"/>
          <w:sz w:val="32"/>
          <w:szCs w:val="32"/>
        </w:rPr>
        <w:t>城乡社区支出（类）城乡社区管理事务（款）其他城乡社区管理事务支出（项）：支出决算数为0.00万元，比上年决算减少6.78万元，下降100.00%，主要原因是：</w:t>
      </w:r>
      <w:r>
        <w:rPr>
          <w:rFonts w:hint="eastAsia" w:ascii="仿宋_GB2312" w:eastAsia="仿宋_GB2312"/>
          <w:b w:val="0"/>
          <w:sz w:val="32"/>
          <w:szCs w:val="32"/>
          <w:lang w:val="en-US" w:eastAsia="zh-CN"/>
        </w:rPr>
        <w:t>2023年</w:t>
      </w:r>
      <w:r>
        <w:rPr>
          <w:rFonts w:hint="eastAsia" w:eastAsia="仿宋_GB2312" w:cs="Times New Roman"/>
          <w:color w:val="auto"/>
          <w:kern w:val="2"/>
          <w:sz w:val="32"/>
          <w:szCs w:val="32"/>
          <w:highlight w:val="none"/>
          <w:lang w:val="en-US" w:eastAsia="zh-CN" w:bidi="ar-SA"/>
        </w:rPr>
        <w:t>用于</w:t>
      </w:r>
      <w:r>
        <w:rPr>
          <w:rFonts w:hint="eastAsia" w:eastAsia="仿宋_GB2312" w:cs="Times New Roman"/>
          <w:color w:val="auto"/>
          <w:kern w:val="2"/>
          <w:sz w:val="32"/>
          <w:szCs w:val="32"/>
          <w:highlight w:val="none"/>
          <w:lang w:val="zh-CN" w:eastAsia="zh-CN" w:bidi="ar-SA"/>
        </w:rPr>
        <w:t>支付城镇垃圾再生利用项目前期勘测费用，</w:t>
      </w:r>
      <w:r>
        <w:rPr>
          <w:rFonts w:hint="eastAsia" w:eastAsia="仿宋_GB2312" w:cs="Times New Roman"/>
          <w:color w:val="auto"/>
          <w:kern w:val="2"/>
          <w:sz w:val="32"/>
          <w:szCs w:val="32"/>
          <w:highlight w:val="none"/>
          <w:lang w:val="en-US" w:eastAsia="zh-CN" w:bidi="ar-SA"/>
        </w:rPr>
        <w:t>2024年无此项目支出</w:t>
      </w:r>
      <w:r>
        <w:rPr>
          <w:rFonts w:hint="eastAsia" w:eastAsia="仿宋_GB2312" w:cs="Times New Roman"/>
          <w:color w:val="auto"/>
          <w:kern w:val="2"/>
          <w:sz w:val="32"/>
          <w:szCs w:val="32"/>
          <w:highlight w:val="none"/>
          <w:lang w:val="zh-CN" w:eastAsia="zh-CN" w:bidi="ar-SA"/>
        </w:rPr>
        <w:t>。</w:t>
      </w:r>
    </w:p>
    <w:p w14:paraId="6CD0C740">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城乡社区支出（类）城乡社区环境卫生（款）城乡社区环境卫生（项）：支出决算数为8,922.13万元，比上年决算增加6,497.46万元，增长267.97%，主要原因是：</w:t>
      </w:r>
      <w:r>
        <w:rPr>
          <w:rFonts w:hint="eastAsia" w:ascii="仿宋_GB2312" w:eastAsia="仿宋_GB2312"/>
          <w:b w:val="0"/>
          <w:sz w:val="32"/>
          <w:szCs w:val="32"/>
          <w:lang w:val="en-US" w:eastAsia="zh-CN"/>
        </w:rPr>
        <w:t>2023年将政府购买服务纳入其他收入列支，2024年纳入</w:t>
      </w:r>
      <w:r>
        <w:rPr>
          <w:rFonts w:ascii="仿宋_GB2312" w:eastAsia="仿宋_GB2312"/>
          <w:b w:val="0"/>
          <w:sz w:val="32"/>
          <w:szCs w:val="32"/>
        </w:rPr>
        <w:t>城乡社区环境卫生</w:t>
      </w:r>
      <w:r>
        <w:rPr>
          <w:rFonts w:hint="eastAsia" w:ascii="仿宋_GB2312" w:eastAsia="仿宋_GB2312"/>
          <w:b w:val="0"/>
          <w:sz w:val="32"/>
          <w:szCs w:val="32"/>
          <w:lang w:eastAsia="zh-CN"/>
        </w:rPr>
        <w:t>。</w:t>
      </w:r>
    </w:p>
    <w:p w14:paraId="47FCDA59">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ascii="仿宋_GB2312" w:eastAsia="仿宋_GB2312"/>
          <w:b w:val="0"/>
          <w:sz w:val="32"/>
          <w:szCs w:val="32"/>
        </w:rPr>
        <w:t>住房保障支出（类）住房改革支出（款）住房公积金（项）：支出决算数为243.79万元，比上年决算增加13.51万元，增长5.87%，主要原因是：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公积</w:t>
      </w:r>
      <w:r>
        <w:rPr>
          <w:rFonts w:hint="eastAsia" w:ascii="仿宋_GB2312" w:eastAsia="仿宋_GB2312" w:hAnsiTheme="minorHAnsi" w:cstheme="minorBidi"/>
          <w:b w:val="0"/>
          <w:sz w:val="32"/>
          <w:szCs w:val="32"/>
        </w:rPr>
        <w:t>金基数增加。</w:t>
      </w:r>
    </w:p>
    <w:p w14:paraId="14E8198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15B457A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3,070.58万元，其中：人员经费3,001.06万元，包括：基本工资、津贴补贴、奖金、机关事业单位基本养老保险缴费、职业年金缴费、职工基本医疗保险缴费、其他社会保障缴费、住房公积金、退休费、抚恤金、生活补助和奖励金。</w:t>
      </w:r>
    </w:p>
    <w:p w14:paraId="3129FED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公用经费69.52万元，包括：办公费、水费、电费、邮电费、取暖费、差旅费、工会经费和公务用车运行维护费。</w:t>
      </w:r>
    </w:p>
    <w:p w14:paraId="49A9F6D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170657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2024年度政府性基金预算财政拨款收入总计50.00万元，其中：年初结转和结余0.00万元，本年收入50.00万元。政府性基金预算财政拨款支出总计50.00万元，其中：年末结转和结余0.00万元，本年支出50.00万元。</w:t>
      </w:r>
    </w:p>
    <w:p w14:paraId="6ED60D82">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highlight w:val="none"/>
        </w:rPr>
      </w:pPr>
      <w:r>
        <w:rPr>
          <w:rFonts w:ascii="仿宋_GB2312" w:eastAsia="仿宋_GB2312"/>
          <w:b w:val="0"/>
          <w:sz w:val="32"/>
          <w:szCs w:val="32"/>
        </w:rPr>
        <w:t>政府性基金预算财政拨款收入支出总体与上年相比，减少5,158.59万元，下降99.04%，主要原因是：</w:t>
      </w:r>
      <w:r>
        <w:rPr>
          <w:rFonts w:hint="eastAsia" w:ascii="仿宋_GB2312" w:eastAsia="仿宋_GB2312"/>
          <w:b w:val="0"/>
          <w:sz w:val="32"/>
          <w:szCs w:val="32"/>
          <w:lang w:val="en-US" w:eastAsia="zh-CN"/>
        </w:rPr>
        <w:t>2023年</w:t>
      </w:r>
      <w:r>
        <w:rPr>
          <w:rFonts w:hint="eastAsia" w:eastAsia="仿宋_GB2312" w:cs="Times New Roman"/>
          <w:color w:val="auto"/>
          <w:kern w:val="2"/>
          <w:sz w:val="32"/>
          <w:szCs w:val="32"/>
          <w:highlight w:val="none"/>
          <w:lang w:val="zh-CN" w:eastAsia="zh-CN" w:bidi="ar-SA"/>
        </w:rPr>
        <w:t>城镇垃圾再生利用项目完工并完成支付。</w:t>
      </w:r>
      <w:r>
        <w:rPr>
          <w:rFonts w:hint="eastAsia" w:eastAsia="仿宋_GB2312" w:cs="Times New Roman"/>
          <w:color w:val="auto"/>
          <w:kern w:val="2"/>
          <w:sz w:val="32"/>
          <w:szCs w:val="32"/>
          <w:highlight w:val="none"/>
          <w:lang w:val="en-US" w:eastAsia="zh-CN" w:bidi="ar-SA"/>
        </w:rPr>
        <w:t>本年</w:t>
      </w:r>
      <w:r>
        <w:rPr>
          <w:rFonts w:hint="eastAsia" w:ascii="仿宋_GB2312" w:eastAsia="仿宋_GB2312" w:hAnsiTheme="minorHAnsi" w:cstheme="minorBidi"/>
          <w:b w:val="0"/>
          <w:sz w:val="32"/>
          <w:szCs w:val="32"/>
          <w:lang w:eastAsia="zh-CN"/>
        </w:rPr>
        <w:t>将政府性基金预算财政拨款收入调整至一般公共预算财政拨款收入</w:t>
      </w:r>
      <w:r>
        <w:rPr>
          <w:rFonts w:hint="eastAsia" w:ascii="仿宋_GB2312" w:eastAsia="仿宋_GB2312" w:cstheme="minorBidi"/>
          <w:b w:val="0"/>
          <w:sz w:val="32"/>
          <w:szCs w:val="32"/>
          <w:lang w:eastAsia="zh-CN"/>
        </w:rPr>
        <w:t>，导致减少</w:t>
      </w:r>
      <w:r>
        <w:rPr>
          <w:rFonts w:ascii="仿宋_GB2312" w:eastAsia="仿宋_GB2312"/>
          <w:b w:val="0"/>
          <w:sz w:val="32"/>
          <w:szCs w:val="32"/>
        </w:rPr>
        <w:t>。与年初预算相比，年初预算数3,319.04万元，决算数50.00万元，预决算差异率-98.49%，主要原因是：</w:t>
      </w:r>
      <w:r>
        <w:rPr>
          <w:rFonts w:hint="eastAsia" w:ascii="仿宋_GB2312" w:eastAsia="仿宋_GB2312" w:cstheme="minorBidi"/>
          <w:b w:val="0"/>
          <w:sz w:val="32"/>
          <w:szCs w:val="32"/>
          <w:highlight w:val="none"/>
          <w:lang w:val="en-US" w:eastAsia="zh-CN"/>
        </w:rPr>
        <w:t>本年将</w:t>
      </w:r>
      <w:bookmarkStart w:id="0" w:name="_GoBack"/>
      <w:bookmarkEnd w:id="0"/>
      <w:r>
        <w:rPr>
          <w:rFonts w:hint="eastAsia" w:ascii="仿宋_GB2312" w:eastAsia="仿宋_GB2312" w:hAnsiTheme="minorHAnsi" w:cstheme="minorBidi"/>
          <w:b w:val="0"/>
          <w:sz w:val="32"/>
          <w:szCs w:val="32"/>
          <w:highlight w:val="none"/>
          <w:lang w:eastAsia="zh-CN"/>
        </w:rPr>
        <w:t>将政府性基金预算财政拨款收入</w:t>
      </w:r>
      <w:r>
        <w:rPr>
          <w:rFonts w:hint="eastAsia" w:ascii="仿宋_GB2312" w:eastAsia="仿宋_GB2312" w:cstheme="minorBidi"/>
          <w:b w:val="0"/>
          <w:sz w:val="32"/>
          <w:szCs w:val="32"/>
          <w:highlight w:val="none"/>
          <w:lang w:eastAsia="zh-CN"/>
        </w:rPr>
        <w:t>中的政府性购买服务支出，</w:t>
      </w:r>
      <w:r>
        <w:rPr>
          <w:rFonts w:hint="eastAsia" w:ascii="仿宋_GB2312" w:eastAsia="仿宋_GB2312" w:hAnsiTheme="minorHAnsi" w:cstheme="minorBidi"/>
          <w:b w:val="0"/>
          <w:sz w:val="32"/>
          <w:szCs w:val="32"/>
          <w:highlight w:val="none"/>
          <w:lang w:eastAsia="zh-CN"/>
        </w:rPr>
        <w:t>调整至一般公共预算财政拨款收入</w:t>
      </w:r>
      <w:r>
        <w:rPr>
          <w:rFonts w:hint="eastAsia" w:ascii="仿宋_GB2312" w:eastAsia="仿宋_GB2312" w:cstheme="minorBidi"/>
          <w:b w:val="0"/>
          <w:sz w:val="32"/>
          <w:szCs w:val="32"/>
          <w:highlight w:val="none"/>
          <w:lang w:eastAsia="zh-CN"/>
        </w:rPr>
        <w:t>中列支，故导致预决算差异率较大</w:t>
      </w:r>
      <w:r>
        <w:rPr>
          <w:rFonts w:ascii="仿宋_GB2312" w:eastAsia="仿宋_GB2312" w:hAnsiTheme="minorHAnsi" w:cstheme="minorBidi"/>
          <w:b w:val="0"/>
          <w:sz w:val="32"/>
          <w:szCs w:val="32"/>
          <w:highlight w:val="none"/>
        </w:rPr>
        <w:t>。</w:t>
      </w:r>
    </w:p>
    <w:p w14:paraId="7F633E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政府性基金预算财政拨款支出50.00万元。</w:t>
      </w:r>
    </w:p>
    <w:p w14:paraId="1D71A17D">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cyan"/>
        </w:rPr>
      </w:pPr>
      <w:r>
        <w:rPr>
          <w:rFonts w:ascii="仿宋_GB2312" w:eastAsia="仿宋_GB2312"/>
          <w:b w:val="0"/>
          <w:sz w:val="32"/>
          <w:szCs w:val="32"/>
        </w:rPr>
        <w:t>城乡社区支出（类）国有土地使用权出让收入安排的支出（款）城市建设支出（项）：支出决算数为0.00万元，比上年决算减少870.00万元，下降100.00%，主要原因是</w:t>
      </w:r>
      <w:r>
        <w:rPr>
          <w:rFonts w:ascii="仿宋_GB2312" w:eastAsia="仿宋_GB2312"/>
          <w:b w:val="0"/>
          <w:sz w:val="32"/>
          <w:szCs w:val="32"/>
          <w:highlight w:val="none"/>
        </w:rPr>
        <w:t>：</w:t>
      </w:r>
      <w:r>
        <w:rPr>
          <w:rFonts w:hint="eastAsia" w:ascii="仿宋_GB2312" w:eastAsia="仿宋_GB2312" w:hAnsiTheme="minorHAnsi" w:cstheme="minorBidi"/>
          <w:b w:val="0"/>
          <w:sz w:val="32"/>
          <w:szCs w:val="32"/>
          <w:highlight w:val="none"/>
          <w:lang w:eastAsia="zh-CN"/>
        </w:rPr>
        <w:t>按决算填报口径将</w:t>
      </w:r>
      <w:r>
        <w:rPr>
          <w:rFonts w:ascii="仿宋_GB2312" w:eastAsia="仿宋_GB2312"/>
          <w:b w:val="0"/>
          <w:sz w:val="32"/>
          <w:szCs w:val="32"/>
          <w:highlight w:val="none"/>
        </w:rPr>
        <w:t>城市建设支出</w:t>
      </w:r>
      <w:r>
        <w:rPr>
          <w:rFonts w:hint="eastAsia" w:ascii="仿宋_GB2312" w:eastAsia="仿宋_GB2312" w:hAnsiTheme="minorHAnsi" w:cstheme="minorBidi"/>
          <w:b w:val="0"/>
          <w:sz w:val="32"/>
          <w:szCs w:val="32"/>
          <w:highlight w:val="none"/>
          <w:lang w:eastAsia="zh-CN"/>
        </w:rPr>
        <w:t>调整至一般公共预算财政拨款收入</w:t>
      </w:r>
    </w:p>
    <w:p w14:paraId="055CA778">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stheme="minorBidi"/>
          <w:b w:val="0"/>
          <w:sz w:val="32"/>
          <w:szCs w:val="32"/>
          <w:lang w:eastAsia="zh-CN"/>
        </w:rPr>
      </w:pPr>
      <w:r>
        <w:rPr>
          <w:rFonts w:ascii="仿宋_GB2312" w:eastAsia="仿宋_GB2312"/>
          <w:b w:val="0"/>
          <w:sz w:val="32"/>
          <w:szCs w:val="32"/>
        </w:rPr>
        <w:t>城乡社区支出（类）国有土地使用权出让收入安排的支出（款）农村社会事业支出（项）：支出决算数为50.00万元，比上年决算增加50.00万元，增长100.00%，主要原因是：</w:t>
      </w:r>
      <w:r>
        <w:rPr>
          <w:rFonts w:hint="eastAsia" w:ascii="仿宋_GB2312" w:eastAsia="仿宋_GB2312" w:hAnsiTheme="minorHAnsi" w:cstheme="minorBidi"/>
          <w:b w:val="0"/>
          <w:sz w:val="32"/>
          <w:szCs w:val="32"/>
          <w:lang w:eastAsia="zh-CN"/>
        </w:rPr>
        <w:t>按决算填报口径</w:t>
      </w:r>
      <w:r>
        <w:rPr>
          <w:rFonts w:hint="eastAsia" w:ascii="仿宋_GB2312" w:eastAsia="仿宋_GB2312" w:cstheme="minorBidi"/>
          <w:b w:val="0"/>
          <w:sz w:val="32"/>
          <w:szCs w:val="32"/>
          <w:lang w:eastAsia="zh-CN"/>
        </w:rPr>
        <w:t>功能科目进行调整主要用于历年欠款。</w:t>
      </w:r>
    </w:p>
    <w:p w14:paraId="215F1C4F">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stheme="minorBidi"/>
          <w:b w:val="0"/>
          <w:sz w:val="32"/>
          <w:szCs w:val="32"/>
          <w:lang w:val="en-US" w:eastAsia="zh-CN"/>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城乡社区支出（类）国有土地使用权出让收入安排的支出（款）其他国有土地使用权出让收入安排的支出（项）：支出决算数为0.00万元，比上年决算减少123.91万元，下降100.00%，主要原因是：</w:t>
      </w:r>
      <w:r>
        <w:rPr>
          <w:rFonts w:hint="eastAsia" w:ascii="仿宋_GB2312" w:eastAsia="仿宋_GB2312"/>
          <w:b w:val="0"/>
          <w:sz w:val="32"/>
          <w:szCs w:val="32"/>
          <w:lang w:val="en-US" w:eastAsia="zh-CN"/>
        </w:rPr>
        <w:t>2023年</w:t>
      </w:r>
      <w:r>
        <w:rPr>
          <w:rFonts w:ascii="仿宋_GB2312" w:eastAsia="仿宋_GB2312"/>
          <w:b w:val="0"/>
          <w:sz w:val="32"/>
          <w:szCs w:val="32"/>
        </w:rPr>
        <w:t>其他国有土地使用权出让收入安排的支出</w:t>
      </w:r>
      <w:r>
        <w:rPr>
          <w:rFonts w:hint="eastAsia" w:ascii="仿宋_GB2312" w:eastAsia="仿宋_GB2312"/>
          <w:b w:val="0"/>
          <w:sz w:val="32"/>
          <w:szCs w:val="32"/>
          <w:lang w:eastAsia="zh-CN"/>
        </w:rPr>
        <w:t>主要用于解决春节前农民工欠款，</w:t>
      </w:r>
      <w:r>
        <w:rPr>
          <w:rFonts w:hint="eastAsia" w:ascii="仿宋_GB2312" w:eastAsia="仿宋_GB2312"/>
          <w:b w:val="0"/>
          <w:sz w:val="32"/>
          <w:szCs w:val="32"/>
          <w:lang w:val="en-US" w:eastAsia="zh-CN"/>
        </w:rPr>
        <w:t>2024年未安排此项支出。</w:t>
      </w:r>
      <w:r>
        <w:rPr>
          <w:rFonts w:hint="eastAsia" w:ascii="仿宋_GB2312" w:eastAsia="仿宋_GB2312" w:cstheme="minorBidi"/>
          <w:b w:val="0"/>
          <w:sz w:val="32"/>
          <w:szCs w:val="32"/>
          <w:lang w:val="en-US" w:eastAsia="zh-CN"/>
        </w:rPr>
        <w:t xml:space="preserve">          </w:t>
      </w:r>
    </w:p>
    <w:p w14:paraId="147558E4">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城乡社区支出（类）城市基础设施配套费安排的支出（款）城市环境卫生（项）：支出决算数为0.00万元，比上年决算减少490.21万元，下降100.00%，主要原因是：</w:t>
      </w:r>
      <w:r>
        <w:rPr>
          <w:rFonts w:hint="eastAsia" w:ascii="仿宋_GB2312" w:eastAsia="仿宋_GB2312"/>
          <w:b w:val="0"/>
          <w:sz w:val="32"/>
          <w:szCs w:val="32"/>
          <w:lang w:val="en-US" w:eastAsia="zh-CN"/>
        </w:rPr>
        <w:t>2023年</w:t>
      </w:r>
      <w:r>
        <w:rPr>
          <w:rFonts w:ascii="仿宋_GB2312" w:eastAsia="仿宋_GB2312"/>
          <w:b w:val="0"/>
          <w:sz w:val="32"/>
          <w:szCs w:val="32"/>
        </w:rPr>
        <w:t>城市环境卫生安排的支出</w:t>
      </w:r>
      <w:r>
        <w:rPr>
          <w:rFonts w:hint="eastAsia" w:ascii="仿宋_GB2312" w:eastAsia="仿宋_GB2312"/>
          <w:b w:val="0"/>
          <w:sz w:val="32"/>
          <w:szCs w:val="32"/>
          <w:lang w:eastAsia="zh-CN"/>
        </w:rPr>
        <w:t>主要用于偿还历年欠款，</w:t>
      </w:r>
      <w:r>
        <w:rPr>
          <w:rFonts w:hint="eastAsia" w:ascii="仿宋_GB2312" w:eastAsia="仿宋_GB2312"/>
          <w:b w:val="0"/>
          <w:sz w:val="32"/>
          <w:szCs w:val="32"/>
          <w:lang w:val="en-US" w:eastAsia="zh-CN"/>
        </w:rPr>
        <w:t>2024年未安排此项支出。</w:t>
      </w:r>
    </w:p>
    <w:p w14:paraId="76E4C2AA">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城乡社区支出（类）城市基础设施配套费安排的支出（款）其他城市基础设施配套费安排的支出（项）：支出决算数为0.00万元，比上年决算减少13.86万元，下降100.00%，主要原因是：</w:t>
      </w:r>
      <w:r>
        <w:rPr>
          <w:rFonts w:hint="eastAsia" w:ascii="仿宋_GB2312" w:eastAsia="仿宋_GB2312"/>
          <w:b w:val="0"/>
          <w:sz w:val="32"/>
          <w:szCs w:val="32"/>
          <w:lang w:val="en-US" w:eastAsia="zh-CN"/>
        </w:rPr>
        <w:t>2023年偿还了历年欠款专业车辆维修费及改制咨询费。</w:t>
      </w:r>
    </w:p>
    <w:p w14:paraId="71ADFD69">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其他支出（类）其他政府性基金及对应专项债务收入安排的支出（款）其他地方自行试点项目收益专项债券收入安排的支出（项）：支出决算数为0.00万元，比上年决算减少3,710.60万元，下降100.00%，主要原因是：</w:t>
      </w:r>
      <w:r>
        <w:rPr>
          <w:rFonts w:hint="eastAsia" w:ascii="仿宋_GB2312" w:eastAsia="仿宋_GB2312"/>
          <w:b w:val="0"/>
          <w:sz w:val="32"/>
          <w:szCs w:val="32"/>
          <w:lang w:val="en-US" w:eastAsia="zh-CN"/>
        </w:rPr>
        <w:t>2023年支付了</w:t>
      </w:r>
      <w:r>
        <w:rPr>
          <w:rFonts w:hint="eastAsia" w:ascii="仿宋_GB2312" w:eastAsia="仿宋_GB2312"/>
          <w:b w:val="0"/>
          <w:sz w:val="32"/>
          <w:szCs w:val="32"/>
        </w:rPr>
        <w:t>PPP项目-城乡环卫一体化PPP项目</w:t>
      </w:r>
      <w:r>
        <w:rPr>
          <w:rFonts w:hint="eastAsia" w:ascii="仿宋_GB2312" w:eastAsia="仿宋_GB2312"/>
          <w:b w:val="0"/>
          <w:sz w:val="32"/>
          <w:szCs w:val="32"/>
          <w:lang w:eastAsia="zh-CN"/>
        </w:rPr>
        <w:t>资金</w:t>
      </w:r>
      <w:r>
        <w:rPr>
          <w:rFonts w:ascii="仿宋_GB2312" w:eastAsia="仿宋_GB2312"/>
          <w:b w:val="0"/>
          <w:sz w:val="32"/>
          <w:szCs w:val="32"/>
        </w:rPr>
        <w:t>。</w:t>
      </w:r>
    </w:p>
    <w:p w14:paraId="06BAED4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747C98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4F680B0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888BE85">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ascii="仿宋_GB2312" w:eastAsia="仿宋_GB2312" w:hAnsiTheme="minorHAnsi" w:cstheme="minorBidi"/>
          <w:b w:val="0"/>
          <w:sz w:val="32"/>
          <w:szCs w:val="32"/>
        </w:rPr>
      </w:pPr>
      <w:r>
        <w:rPr>
          <w:rFonts w:ascii="仿宋_GB2312" w:eastAsia="仿宋_GB2312"/>
          <w:b w:val="0"/>
          <w:sz w:val="32"/>
          <w:szCs w:val="32"/>
        </w:rPr>
        <w:t>2024年度财政拨款“三公”经费支出14.43万元，比上年增加12.33万元，增长587.14%，主要原因是：</w:t>
      </w:r>
      <w:r>
        <w:rPr>
          <w:rFonts w:hint="eastAsia" w:ascii="仿宋_GB2312" w:eastAsia="仿宋_GB2312" w:hAnsiTheme="minorHAnsi" w:cstheme="minorBidi"/>
          <w:b w:val="0"/>
          <w:sz w:val="32"/>
          <w:szCs w:val="32"/>
          <w:lang w:val="en-US" w:eastAsia="zh-CN"/>
        </w:rPr>
        <w:t>公务用车保有量按机关事务管理局编制数较上年增加7辆</w:t>
      </w:r>
      <w:r>
        <w:rPr>
          <w:rFonts w:hint="eastAsia" w:ascii="仿宋_GB2312" w:eastAsia="仿宋_GB2312" w:cstheme="minorBidi"/>
          <w:b w:val="0"/>
          <w:sz w:val="32"/>
          <w:szCs w:val="32"/>
          <w:lang w:val="en-US" w:eastAsia="zh-CN"/>
        </w:rPr>
        <w:t>，</w:t>
      </w:r>
      <w:r>
        <w:rPr>
          <w:rFonts w:hint="eastAsia" w:ascii="仿宋_GB2312" w:eastAsia="仿宋_GB2312" w:hAnsiTheme="minorHAnsi" w:cstheme="minorBidi"/>
          <w:b w:val="0"/>
          <w:sz w:val="32"/>
          <w:szCs w:val="32"/>
          <w:lang w:val="en-US" w:eastAsia="zh-CN"/>
        </w:rPr>
        <w:t>年初预算经费增加</w:t>
      </w:r>
      <w:r>
        <w:rPr>
          <w:rFonts w:hint="eastAsia" w:ascii="仿宋_GB2312" w:eastAsia="仿宋_GB2312" w:cstheme="minorBidi"/>
          <w:b w:val="0"/>
          <w:sz w:val="32"/>
          <w:szCs w:val="32"/>
          <w:lang w:val="en-US" w:eastAsia="zh-CN"/>
        </w:rPr>
        <w:t>，支出增加</w:t>
      </w:r>
      <w:r>
        <w:rPr>
          <w:rFonts w:ascii="仿宋_GB2312" w:eastAsia="仿宋_GB2312"/>
          <w:b w:val="0"/>
          <w:sz w:val="32"/>
          <w:szCs w:val="32"/>
        </w:rPr>
        <w:t>。其中：因公出国（境）费支出0.00万元,占0.00%，</w:t>
      </w:r>
      <w:r>
        <w:rPr>
          <w:rFonts w:ascii="仿宋_GB2312" w:eastAsia="仿宋_GB2312" w:hAnsiTheme="minorHAnsi" w:cstheme="minorBidi"/>
          <w:b w:val="0"/>
          <w:sz w:val="32"/>
          <w:szCs w:val="32"/>
        </w:rPr>
        <w:t>与上年相比无变化，</w:t>
      </w:r>
      <w:r>
        <w:rPr>
          <w:rFonts w:ascii="仿宋_GB2312" w:eastAsia="仿宋_GB2312"/>
          <w:b w:val="0"/>
          <w:sz w:val="32"/>
          <w:szCs w:val="32"/>
        </w:rPr>
        <w:t>主要原因是：</w:t>
      </w:r>
      <w:r>
        <w:rPr>
          <w:rFonts w:hint="eastAsia" w:ascii="仿宋_GB2312" w:eastAsia="仿宋_GB2312" w:hAnsiTheme="minorHAnsi" w:cstheme="minorBidi"/>
          <w:b w:val="0"/>
          <w:sz w:val="32"/>
          <w:szCs w:val="32"/>
        </w:rPr>
        <w:t>本年未安排</w:t>
      </w:r>
      <w:r>
        <w:rPr>
          <w:rFonts w:ascii="仿宋_GB2312" w:eastAsia="仿宋_GB2312"/>
          <w:b w:val="0"/>
          <w:sz w:val="32"/>
          <w:szCs w:val="32"/>
        </w:rPr>
        <w:t>因公出国（境）费</w:t>
      </w:r>
      <w:r>
        <w:rPr>
          <w:rFonts w:hint="eastAsia" w:ascii="仿宋_GB2312" w:eastAsia="仿宋_GB2312" w:cstheme="minorBidi"/>
          <w:b w:val="0"/>
          <w:sz w:val="32"/>
          <w:szCs w:val="32"/>
          <w:lang w:eastAsia="zh-CN"/>
        </w:rPr>
        <w:t>，</w:t>
      </w:r>
      <w:r>
        <w:rPr>
          <w:rFonts w:hint="eastAsia" w:ascii="仿宋_GB2312" w:eastAsia="仿宋_GB2312" w:hAnsiTheme="minorHAnsi" w:cstheme="minorBidi"/>
          <w:b w:val="0"/>
          <w:sz w:val="32"/>
          <w:szCs w:val="32"/>
        </w:rPr>
        <w:t>与上年相比无变动</w:t>
      </w:r>
      <w:r>
        <w:rPr>
          <w:rFonts w:ascii="仿宋_GB2312" w:eastAsia="仿宋_GB2312"/>
          <w:b w:val="0"/>
          <w:sz w:val="32"/>
          <w:szCs w:val="32"/>
        </w:rPr>
        <w:t>；公务用车购置及运行维护费支出14.43万元，占100.00%，比上年增加12.33万元，增长587.14%，</w:t>
      </w:r>
      <w:r>
        <w:rPr>
          <w:rFonts w:ascii="仿宋_GB2312" w:eastAsia="仿宋_GB2312" w:hAnsiTheme="minorHAnsi" w:cstheme="minorBidi"/>
          <w:b w:val="0"/>
          <w:sz w:val="32"/>
          <w:szCs w:val="32"/>
        </w:rPr>
        <w:t>主要原因是：</w:t>
      </w:r>
      <w:r>
        <w:rPr>
          <w:rFonts w:hint="eastAsia" w:ascii="仿宋_GB2312" w:eastAsia="仿宋_GB2312" w:hAnsiTheme="minorHAnsi" w:cstheme="minorBidi"/>
          <w:b w:val="0"/>
          <w:sz w:val="32"/>
          <w:szCs w:val="32"/>
          <w:lang w:val="en-US" w:eastAsia="zh-CN"/>
        </w:rPr>
        <w:t>公务用车保有量按机关事务管理局编制数较上年增加7辆年初预算经费增加</w:t>
      </w:r>
      <w:r>
        <w:rPr>
          <w:rFonts w:hint="eastAsia" w:ascii="仿宋_GB2312" w:eastAsia="仿宋_GB2312" w:cstheme="minorBidi"/>
          <w:b w:val="0"/>
          <w:sz w:val="32"/>
          <w:szCs w:val="32"/>
          <w:lang w:val="en-US" w:eastAsia="zh-CN"/>
        </w:rPr>
        <w:t>，支出增加</w:t>
      </w:r>
      <w:r>
        <w:rPr>
          <w:rFonts w:ascii="仿宋_GB2312" w:eastAsia="仿宋_GB2312" w:hAnsiTheme="minorHAnsi" w:cstheme="minorBidi"/>
          <w:b w:val="0"/>
          <w:sz w:val="32"/>
          <w:szCs w:val="32"/>
        </w:rPr>
        <w:t>；公务接待费支出0.00万元，占0.00%，与上年相比无变化，主要原因是：</w:t>
      </w:r>
      <w:r>
        <w:rPr>
          <w:rFonts w:hint="eastAsia" w:ascii="仿宋_GB2312" w:eastAsia="仿宋_GB2312" w:hAnsiTheme="minorHAnsi" w:cstheme="minorBidi"/>
          <w:b w:val="0"/>
          <w:sz w:val="32"/>
          <w:szCs w:val="32"/>
        </w:rPr>
        <w:t>本年未安排公务接待费，与上年相比无变动。</w:t>
      </w:r>
    </w:p>
    <w:p w14:paraId="29F4DA4F">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5945B7C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hAnsi="Times New Roman" w:eastAsia="仿宋_GB2312" w:cs="Times New Roman"/>
          <w:sz w:val="32"/>
          <w:szCs w:val="32"/>
          <w:lang w:eastAsia="zh-CN"/>
        </w:rPr>
        <w:t>本年未安排因公出国（境）费支出，无开支内容</w:t>
      </w:r>
      <w:r>
        <w:rPr>
          <w:rFonts w:ascii="仿宋_GB2312" w:eastAsia="仿宋_GB2312"/>
          <w:b w:val="0"/>
          <w:sz w:val="32"/>
          <w:szCs w:val="32"/>
        </w:rPr>
        <w:t>。单位全年安排的因公出国（境）团组0个，因公出国（境）0人次。</w:t>
      </w:r>
    </w:p>
    <w:p w14:paraId="6B41369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公务用车购置及运行维护费14.43万元，其中：公务用车购置费0.00万元，公务用车运行维护费14.43万元。公务用车运行维护费开支内容包括</w:t>
      </w:r>
      <w:r>
        <w:rPr>
          <w:rFonts w:hint="eastAsia" w:ascii="仿宋_GB2312" w:eastAsia="仿宋_GB2312"/>
          <w:b w:val="0"/>
          <w:sz w:val="32"/>
          <w:szCs w:val="32"/>
          <w:lang w:eastAsia="zh-CN"/>
        </w:rPr>
        <w:t>公务车辆日常维修、加油、保险及年检</w:t>
      </w:r>
      <w:r>
        <w:rPr>
          <w:rFonts w:ascii="仿宋_GB2312" w:eastAsia="仿宋_GB2312"/>
          <w:b w:val="0"/>
          <w:sz w:val="32"/>
          <w:szCs w:val="32"/>
        </w:rPr>
        <w:t>。公务用车购置数0辆，公务用车保有量19辆。国有资产占用情况中固定资产车辆19辆，与公务用车保有量差异原因是：</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ascii="仿宋_GB2312" w:eastAsia="仿宋_GB2312"/>
          <w:b w:val="0"/>
          <w:sz w:val="32"/>
          <w:szCs w:val="32"/>
        </w:rPr>
        <w:t>。</w:t>
      </w:r>
    </w:p>
    <w:p w14:paraId="65E9BE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hAnsi="Times New Roman" w:eastAsia="仿宋_GB2312" w:cs="Times New Roman"/>
          <w:sz w:val="32"/>
          <w:szCs w:val="32"/>
          <w:lang w:eastAsia="zh-CN"/>
        </w:rPr>
        <w:t>本年未安排公务接待费支出，无开支内容</w:t>
      </w:r>
      <w:r>
        <w:rPr>
          <w:rFonts w:ascii="仿宋_GB2312" w:eastAsia="仿宋_GB2312"/>
          <w:b w:val="0"/>
          <w:sz w:val="32"/>
          <w:szCs w:val="32"/>
        </w:rPr>
        <w:t>。单位全年安排的国内公务接待0批次，0人次。</w:t>
      </w:r>
    </w:p>
    <w:p w14:paraId="49A1083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与全年预算相比，财政拨款“三公”经费支出全年预算数14.43万元，决算数14.43万元，预决算差异率0.00%，主要原因是：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我单位本年无公务用车购置费</w:t>
      </w:r>
      <w:r>
        <w:rPr>
          <w:rFonts w:ascii="仿宋_GB2312" w:eastAsia="仿宋_GB2312"/>
          <w:b w:val="0"/>
          <w:sz w:val="32"/>
          <w:szCs w:val="32"/>
        </w:rPr>
        <w:t>。公务用车运行维护费全年预算数14.43万元，决算数14.43万元，预决算差异率0.00%，主要原因是：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我单位本年无公务接待费</w:t>
      </w:r>
      <w:r>
        <w:rPr>
          <w:rFonts w:ascii="仿宋_GB2312" w:eastAsia="仿宋_GB2312"/>
          <w:b w:val="0"/>
          <w:sz w:val="32"/>
          <w:szCs w:val="32"/>
        </w:rPr>
        <w:t>。</w:t>
      </w:r>
    </w:p>
    <w:p w14:paraId="2B7FB80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426BBD7">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253D08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2024年度公用经费支出69.52万元，比上年减少1</w:t>
      </w:r>
      <w:r>
        <w:rPr>
          <w:rFonts w:hint="eastAsia" w:ascii="仿宋_GB2312" w:eastAsia="仿宋_GB2312"/>
          <w:b w:val="0"/>
          <w:sz w:val="32"/>
          <w:szCs w:val="32"/>
          <w:lang w:val="en-US" w:eastAsia="zh-CN"/>
        </w:rPr>
        <w:t>47.07</w:t>
      </w:r>
      <w:r>
        <w:rPr>
          <w:rFonts w:ascii="仿宋_GB2312" w:eastAsia="仿宋_GB2312"/>
          <w:b w:val="0"/>
          <w:sz w:val="32"/>
          <w:szCs w:val="32"/>
        </w:rPr>
        <w:t>万元，下降</w:t>
      </w:r>
      <w:r>
        <w:rPr>
          <w:rFonts w:hint="eastAsia" w:ascii="仿宋_GB2312" w:eastAsia="仿宋_GB2312"/>
          <w:b w:val="0"/>
          <w:sz w:val="32"/>
          <w:szCs w:val="32"/>
          <w:lang w:val="en-US" w:eastAsia="zh-CN"/>
        </w:rPr>
        <w:t>67.90</w:t>
      </w:r>
      <w:r>
        <w:rPr>
          <w:rFonts w:ascii="仿宋_GB2312" w:eastAsia="仿宋_GB2312"/>
          <w:b w:val="0"/>
          <w:sz w:val="32"/>
          <w:szCs w:val="32"/>
        </w:rPr>
        <w:t>%，主要原因是：</w:t>
      </w:r>
      <w:r>
        <w:rPr>
          <w:rFonts w:hint="eastAsia" w:ascii="仿宋_GB2312" w:eastAsia="仿宋_GB2312"/>
          <w:b w:val="0"/>
          <w:sz w:val="32"/>
          <w:szCs w:val="32"/>
          <w:lang w:val="en-US" w:eastAsia="zh-CN"/>
        </w:rPr>
        <w:t>2023年支付了历年欠款专业用车运行维护费100万，公厕维修29.69万元，采暖费25.72万元</w:t>
      </w:r>
      <w:r>
        <w:rPr>
          <w:rFonts w:ascii="仿宋_GB2312" w:eastAsia="仿宋_GB2312"/>
          <w:b w:val="0"/>
          <w:sz w:val="32"/>
          <w:szCs w:val="32"/>
        </w:rPr>
        <w:t>。</w:t>
      </w:r>
    </w:p>
    <w:p w14:paraId="507FC5BC">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376726C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2024年度政府采购支出总额23.43万元，其中：政府采购货物支出17.17万元、政府采购工程支出0.00万元、政府采购服务支出6.26万元。</w:t>
      </w:r>
    </w:p>
    <w:p w14:paraId="1ABE33C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授予中小企业合同金额16.08万元，占政府采购支出总额的68.63%，其中：授予小微企业合同金额15.57万元，占政府采购支出总额的66.45%。</w:t>
      </w:r>
    </w:p>
    <w:p w14:paraId="7CCBF21D">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62F5CF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3,224.78平方米，价值307.16万元。车辆19辆，价值356.31万元，其中：副部（省）级及以上领导用车0辆、主要负责人用车0辆、机要通信用车0辆、应急保障用车0辆、执法执勤用车0辆、特种专业技术用车0辆、离退休干部服务用车0辆、其他用车1</w:t>
      </w:r>
      <w:r>
        <w:rPr>
          <w:rFonts w:hint="eastAsia" w:ascii="仿宋_GB2312" w:eastAsia="仿宋_GB2312"/>
          <w:b w:val="0"/>
          <w:sz w:val="32"/>
          <w:szCs w:val="32"/>
          <w:lang w:val="en-US" w:eastAsia="zh-CN"/>
        </w:rPr>
        <w:t>9</w:t>
      </w:r>
      <w:r>
        <w:rPr>
          <w:rFonts w:ascii="仿宋_GB2312" w:eastAsia="仿宋_GB2312"/>
          <w:b w:val="0"/>
          <w:sz w:val="32"/>
          <w:szCs w:val="32"/>
        </w:rPr>
        <w:t>辆，其他用车主要是：</w:t>
      </w:r>
      <w:r>
        <w:rPr>
          <w:rFonts w:hint="eastAsia" w:ascii="仿宋_GB2312" w:eastAsia="仿宋_GB2312"/>
          <w:b w:val="0"/>
          <w:sz w:val="32"/>
          <w:szCs w:val="32"/>
          <w:lang w:eastAsia="zh-CN"/>
        </w:rPr>
        <w:t>日常检查及公用车辆</w:t>
      </w:r>
      <w:r>
        <w:rPr>
          <w:rFonts w:hint="eastAsia" w:ascii="仿宋_GB2312" w:eastAsia="仿宋_GB2312"/>
          <w:b w:val="0"/>
          <w:sz w:val="32"/>
          <w:szCs w:val="32"/>
          <w:lang w:val="en-US" w:eastAsia="zh-CN"/>
        </w:rPr>
        <w:t>8辆，待报废车辆10辆</w:t>
      </w:r>
      <w:r>
        <w:rPr>
          <w:rFonts w:hint="eastAsia" w:ascii="仿宋_GB2312" w:eastAsia="仿宋_GB2312"/>
          <w:b w:val="0"/>
          <w:sz w:val="32"/>
          <w:szCs w:val="32"/>
          <w:lang w:eastAsia="zh-CN"/>
        </w:rPr>
        <w:t>，根据固定资产政策性文件按上级反馈整改要求，年末将</w:t>
      </w:r>
      <w:r>
        <w:rPr>
          <w:rFonts w:hint="eastAsia" w:ascii="仿宋_GB2312" w:eastAsia="仿宋_GB2312"/>
          <w:b w:val="0"/>
          <w:sz w:val="32"/>
          <w:szCs w:val="32"/>
          <w:lang w:val="en-US" w:eastAsia="zh-CN"/>
        </w:rPr>
        <w:t>1</w:t>
      </w:r>
      <w:r>
        <w:rPr>
          <w:rFonts w:hint="eastAsia" w:ascii="仿宋_GB2312" w:eastAsia="仿宋_GB2312"/>
          <w:b w:val="0"/>
          <w:sz w:val="32"/>
          <w:szCs w:val="32"/>
          <w:lang w:eastAsia="zh-CN"/>
        </w:rPr>
        <w:t>辆农喷洒车从设备类的车辆明细调整到设备类的农业和林业机械明细中。</w:t>
      </w:r>
      <w:r>
        <w:rPr>
          <w:rFonts w:ascii="仿宋_GB2312" w:eastAsia="仿宋_GB2312"/>
          <w:b w:val="0"/>
          <w:sz w:val="32"/>
          <w:szCs w:val="32"/>
        </w:rPr>
        <w:t>单价100万元（含）以上设备（不含车辆）0台（套）。</w:t>
      </w:r>
    </w:p>
    <w:p w14:paraId="39C311F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1AC79D8C">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9,841.89</w:t>
      </w:r>
      <w:r>
        <w:rPr>
          <w:rFonts w:ascii="仿宋_GB2312" w:eastAsia="仿宋_GB2312"/>
          <w:b w:val="0"/>
          <w:sz w:val="32"/>
          <w:szCs w:val="32"/>
        </w:rPr>
        <w:t>万元，实际执行总额</w:t>
      </w:r>
      <w:r>
        <w:rPr>
          <w:rFonts w:hint="eastAsia" w:ascii="仿宋_GB2312" w:eastAsia="仿宋_GB2312"/>
          <w:b w:val="0"/>
          <w:sz w:val="32"/>
          <w:szCs w:val="32"/>
          <w:lang w:val="en-US" w:eastAsia="zh-CN"/>
        </w:rPr>
        <w:t>9,841.89</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7,877.29</w:t>
      </w:r>
      <w:r>
        <w:rPr>
          <w:rFonts w:ascii="仿宋_GB2312" w:eastAsia="仿宋_GB2312"/>
          <w:b w:val="0"/>
          <w:sz w:val="32"/>
          <w:szCs w:val="32"/>
        </w:rPr>
        <w:t>万元，全年执行数</w:t>
      </w:r>
      <w:r>
        <w:rPr>
          <w:rFonts w:hint="eastAsia" w:ascii="仿宋_GB2312" w:eastAsia="仿宋_GB2312"/>
          <w:b w:val="0"/>
          <w:sz w:val="32"/>
          <w:szCs w:val="32"/>
          <w:lang w:val="en-US" w:eastAsia="zh-CN"/>
        </w:rPr>
        <w:t>6,569.14</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ascii="仿宋_GB2312" w:eastAsia="仿宋_GB2312"/>
          <w:b w:val="0"/>
          <w:sz w:val="32"/>
          <w:szCs w:val="32"/>
        </w:rPr>
        <w:t>发现的问题及原因：</w:t>
      </w:r>
      <w:r>
        <w:rPr>
          <w:rFonts w:hint="eastAsia" w:ascii="仿宋_GB2312" w:eastAsia="仿宋_GB2312"/>
          <w:b w:val="0"/>
          <w:sz w:val="32"/>
          <w:szCs w:val="32"/>
          <w:lang w:eastAsia="zh-CN"/>
        </w:rPr>
        <w:t>基层单位能力薄弱：基层单位缺乏专业的绩效管理人才，对评价方法、流程不熟悉，影响监控和评价效率</w:t>
      </w:r>
      <w:r>
        <w:rPr>
          <w:rFonts w:ascii="仿宋_GB2312" w:eastAsia="仿宋_GB2312"/>
          <w:b w:val="0"/>
          <w:sz w:val="32"/>
          <w:szCs w:val="32"/>
        </w:rPr>
        <w:t>。下一步改进措施：</w:t>
      </w:r>
      <w:r>
        <w:rPr>
          <w:rFonts w:hint="eastAsia" w:ascii="仿宋_GB2312" w:eastAsia="仿宋_GB2312"/>
          <w:b w:val="0"/>
          <w:sz w:val="32"/>
          <w:szCs w:val="32"/>
          <w:lang w:eastAsia="zh-CN"/>
        </w:rPr>
        <w:t>进一步明确核心指标（如产出数量、质量、成本、效益等）设定可量化、可考核的目标，对模糊不合理的目标进行修改完善，确保目标与单位职能、预算规模相匹配。</w:t>
      </w:r>
      <w:r>
        <w:rPr>
          <w:rFonts w:ascii="仿宋_GB2312" w:eastAsia="仿宋_GB2312"/>
          <w:b w:val="0"/>
          <w:sz w:val="32"/>
          <w:szCs w:val="32"/>
        </w:rPr>
        <w:t>具体附部门整体支出绩效自评表，项目支出绩效自评表和部门评价报告。</w:t>
      </w:r>
    </w:p>
    <w:p w14:paraId="668D9D5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40A836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41810540">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58475066">
      <w:pPr>
        <w:widowControl/>
      </w:pPr>
      <w:r>
        <w:rPr>
          <w:b w:val="0"/>
          <w:sz w:val="0"/>
          <w:szCs w:val="0"/>
        </w:rPr>
        <w:br w:type="page"/>
      </w:r>
    </w:p>
    <w:p w14:paraId="6F296A6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7E58E5E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2516928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79F3A9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5312E52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6BD192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40742E6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553D47C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5B71A92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AF73D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1543861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5B0DBA0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1A6A6EE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89F41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B0E5B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77A9BF08">
      <w:pPr>
        <w:widowControl/>
      </w:pPr>
      <w:r>
        <w:rPr>
          <w:b w:val="0"/>
          <w:sz w:val="0"/>
          <w:szCs w:val="0"/>
        </w:rPr>
        <w:br w:type="page"/>
      </w:r>
    </w:p>
    <w:p w14:paraId="313E1BB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689DB7C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173A27C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55068F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C34222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1E62A8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4A7C841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E393FF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EBC394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0842A6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14:paraId="093EEB4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943892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77EDE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EF4F1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318BED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35366F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06C6B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2AE102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013CA5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2511B2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E0BC68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BCB1D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B20291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78E929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552FF5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146B9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320AD6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E00D40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F289CD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D984D8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3F62062">
      <w:pPr>
        <w:widowControl/>
        <w:spacing w:before="0" w:beforeLines="0" w:beforeAutospacing="0" w:after="0" w:afterLines="0" w:afterAutospacing="0" w:line="240" w:lineRule="auto"/>
        <w:jc w:val="left"/>
        <w:outlineLvl w:val="1"/>
      </w:pPr>
      <w:r>
        <w:drawing>
          <wp:inline distT="0" distB="0" distL="114300" distR="114300">
            <wp:extent cx="6050280" cy="80746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050280" cy="8074660"/>
                    </a:xfrm>
                    <a:prstGeom prst="rect">
                      <a:avLst/>
                    </a:prstGeom>
                    <a:noFill/>
                    <a:ln>
                      <a:noFill/>
                    </a:ln>
                  </pic:spPr>
                </pic:pic>
              </a:graphicData>
            </a:graphic>
          </wp:inline>
        </w:drawing>
      </w:r>
    </w:p>
    <w:p w14:paraId="7A8D4F4E">
      <w:pPr>
        <w:widowControl/>
        <w:spacing w:before="0" w:beforeLines="0" w:beforeAutospacing="0" w:after="0" w:afterLines="0" w:afterAutospacing="0" w:line="240" w:lineRule="auto"/>
        <w:jc w:val="left"/>
        <w:outlineLvl w:val="1"/>
      </w:pPr>
      <w:r>
        <w:drawing>
          <wp:inline distT="0" distB="0" distL="114300" distR="114300">
            <wp:extent cx="6167120" cy="6331585"/>
            <wp:effectExtent l="0" t="0" r="508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7120" cy="6331585"/>
                    </a:xfrm>
                    <a:prstGeom prst="rect">
                      <a:avLst/>
                    </a:prstGeom>
                    <a:noFill/>
                    <a:ln>
                      <a:noFill/>
                    </a:ln>
                  </pic:spPr>
                </pic:pic>
              </a:graphicData>
            </a:graphic>
          </wp:inline>
        </w:drawing>
      </w:r>
    </w:p>
    <w:p w14:paraId="1BC7E584">
      <w:pPr>
        <w:widowControl/>
        <w:spacing w:before="0" w:beforeLines="0" w:beforeAutospacing="0" w:after="0" w:afterLines="0" w:afterAutospacing="0" w:line="240" w:lineRule="auto"/>
        <w:jc w:val="left"/>
        <w:outlineLvl w:val="1"/>
      </w:pPr>
    </w:p>
    <w:p w14:paraId="0E824DB8">
      <w:pPr>
        <w:widowControl/>
        <w:spacing w:before="0" w:beforeLines="0" w:beforeAutospacing="0" w:after="0" w:afterLines="0" w:afterAutospacing="0" w:line="240" w:lineRule="auto"/>
        <w:jc w:val="left"/>
        <w:outlineLvl w:val="1"/>
      </w:pPr>
    </w:p>
    <w:p w14:paraId="23298DCE">
      <w:pPr>
        <w:widowControl/>
        <w:spacing w:before="0" w:beforeLines="0" w:beforeAutospacing="0" w:after="0" w:afterLines="0" w:afterAutospacing="0" w:line="240" w:lineRule="auto"/>
        <w:jc w:val="left"/>
        <w:outlineLvl w:val="1"/>
      </w:pPr>
    </w:p>
    <w:p w14:paraId="4DAA6506">
      <w:pPr>
        <w:widowControl/>
        <w:spacing w:before="0" w:beforeLines="0" w:beforeAutospacing="0" w:after="0" w:afterLines="0" w:afterAutospacing="0" w:line="240" w:lineRule="auto"/>
        <w:jc w:val="left"/>
        <w:outlineLvl w:val="1"/>
      </w:pPr>
    </w:p>
    <w:p w14:paraId="01978B3C">
      <w:pPr>
        <w:widowControl/>
        <w:spacing w:before="0" w:beforeLines="0" w:beforeAutospacing="0" w:after="0" w:afterLines="0" w:afterAutospacing="0" w:line="240" w:lineRule="auto"/>
        <w:jc w:val="left"/>
        <w:outlineLvl w:val="1"/>
      </w:pPr>
    </w:p>
    <w:p w14:paraId="70C2AF80">
      <w:pPr>
        <w:widowControl/>
        <w:spacing w:before="0" w:beforeLines="0" w:beforeAutospacing="0" w:after="0" w:afterLines="0" w:afterAutospacing="0" w:line="240" w:lineRule="auto"/>
        <w:jc w:val="left"/>
        <w:outlineLvl w:val="1"/>
      </w:pPr>
    </w:p>
    <w:p w14:paraId="3217EE57">
      <w:pPr>
        <w:widowControl/>
        <w:spacing w:before="0" w:beforeLines="0" w:beforeAutospacing="0" w:after="0" w:afterLines="0" w:afterAutospacing="0" w:line="240" w:lineRule="auto"/>
        <w:jc w:val="left"/>
        <w:outlineLvl w:val="1"/>
      </w:pPr>
    </w:p>
    <w:p w14:paraId="4CD5AE3A">
      <w:pPr>
        <w:widowControl/>
        <w:spacing w:before="0" w:beforeLines="0" w:beforeAutospacing="0" w:after="0" w:afterLines="0" w:afterAutospacing="0" w:line="240" w:lineRule="auto"/>
        <w:jc w:val="left"/>
        <w:outlineLvl w:val="1"/>
      </w:pPr>
    </w:p>
    <w:p w14:paraId="4727F915">
      <w:pPr>
        <w:widowControl/>
        <w:spacing w:before="0" w:beforeLines="0" w:beforeAutospacing="0" w:after="0" w:afterLines="0" w:afterAutospacing="0" w:line="240" w:lineRule="auto"/>
        <w:jc w:val="left"/>
        <w:outlineLvl w:val="1"/>
      </w:pPr>
    </w:p>
    <w:p w14:paraId="10076C4D">
      <w:pPr>
        <w:widowControl/>
        <w:spacing w:before="0" w:beforeLines="0" w:beforeAutospacing="0" w:after="0" w:afterLines="0" w:afterAutospacing="0" w:line="240" w:lineRule="auto"/>
        <w:jc w:val="left"/>
        <w:outlineLvl w:val="1"/>
      </w:pPr>
    </w:p>
    <w:p w14:paraId="1D0E1E33">
      <w:pPr>
        <w:widowControl/>
        <w:spacing w:before="0" w:beforeLines="0" w:beforeAutospacing="0" w:after="0" w:afterLines="0" w:afterAutospacing="0" w:line="240" w:lineRule="auto"/>
        <w:jc w:val="left"/>
        <w:outlineLvl w:val="1"/>
      </w:pPr>
    </w:p>
    <w:p w14:paraId="7DBACAD4">
      <w:pPr>
        <w:widowControl/>
        <w:spacing w:before="0" w:beforeLines="0" w:beforeAutospacing="0" w:after="0" w:afterLines="0" w:afterAutospacing="0" w:line="240" w:lineRule="auto"/>
        <w:jc w:val="left"/>
        <w:outlineLvl w:val="1"/>
      </w:pPr>
    </w:p>
    <w:p w14:paraId="15245D84">
      <w:pPr>
        <w:widowControl/>
        <w:spacing w:before="0" w:beforeLines="0" w:beforeAutospacing="0" w:after="0" w:afterLines="0" w:afterAutospacing="0" w:line="240" w:lineRule="auto"/>
        <w:jc w:val="left"/>
        <w:outlineLvl w:val="1"/>
      </w:pPr>
      <w:r>
        <w:drawing>
          <wp:inline distT="0" distB="0" distL="114300" distR="114300">
            <wp:extent cx="6023610" cy="7189470"/>
            <wp:effectExtent l="0" t="0" r="1524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023610" cy="7189470"/>
                    </a:xfrm>
                    <a:prstGeom prst="rect">
                      <a:avLst/>
                    </a:prstGeom>
                    <a:noFill/>
                    <a:ln>
                      <a:noFill/>
                    </a:ln>
                  </pic:spPr>
                </pic:pic>
              </a:graphicData>
            </a:graphic>
          </wp:inline>
        </w:drawing>
      </w:r>
    </w:p>
    <w:p w14:paraId="49D03785">
      <w:pPr>
        <w:widowControl/>
        <w:spacing w:before="0" w:beforeLines="0" w:beforeAutospacing="0" w:after="0" w:afterLines="0" w:afterAutospacing="0" w:line="240" w:lineRule="auto"/>
        <w:jc w:val="left"/>
        <w:outlineLvl w:val="1"/>
      </w:pPr>
    </w:p>
    <w:p w14:paraId="58CAA5C2">
      <w:pPr>
        <w:widowControl/>
        <w:spacing w:before="0" w:beforeLines="0" w:beforeAutospacing="0" w:after="0" w:afterLines="0" w:afterAutospacing="0" w:line="240" w:lineRule="auto"/>
        <w:jc w:val="left"/>
        <w:outlineLvl w:val="1"/>
      </w:pPr>
    </w:p>
    <w:p w14:paraId="7BE341AF">
      <w:pPr>
        <w:widowControl/>
        <w:spacing w:before="0" w:beforeLines="0" w:beforeAutospacing="0" w:after="0" w:afterLines="0" w:afterAutospacing="0" w:line="240" w:lineRule="auto"/>
        <w:jc w:val="left"/>
        <w:outlineLvl w:val="1"/>
      </w:pPr>
    </w:p>
    <w:p w14:paraId="57345787">
      <w:pPr>
        <w:widowControl/>
        <w:spacing w:before="0" w:beforeLines="0" w:beforeAutospacing="0" w:after="0" w:afterLines="0" w:afterAutospacing="0" w:line="240" w:lineRule="auto"/>
        <w:jc w:val="left"/>
        <w:outlineLvl w:val="1"/>
      </w:pPr>
    </w:p>
    <w:p w14:paraId="292DDBB6">
      <w:pPr>
        <w:widowControl/>
        <w:spacing w:before="0" w:beforeLines="0" w:beforeAutospacing="0" w:after="0" w:afterLines="0" w:afterAutospacing="0" w:line="240" w:lineRule="auto"/>
        <w:jc w:val="left"/>
        <w:outlineLvl w:val="1"/>
      </w:pPr>
    </w:p>
    <w:p w14:paraId="3B32EEA6">
      <w:pPr>
        <w:widowControl/>
        <w:spacing w:before="0" w:beforeLines="0" w:beforeAutospacing="0" w:after="0" w:afterLines="0" w:afterAutospacing="0" w:line="240" w:lineRule="auto"/>
        <w:jc w:val="left"/>
        <w:outlineLvl w:val="1"/>
      </w:pPr>
      <w:r>
        <w:drawing>
          <wp:inline distT="0" distB="0" distL="114300" distR="114300">
            <wp:extent cx="6120765" cy="8208645"/>
            <wp:effectExtent l="0" t="0" r="1333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20765" cy="8208645"/>
                    </a:xfrm>
                    <a:prstGeom prst="rect">
                      <a:avLst/>
                    </a:prstGeom>
                    <a:noFill/>
                    <a:ln>
                      <a:noFill/>
                    </a:ln>
                  </pic:spPr>
                </pic:pic>
              </a:graphicData>
            </a:graphic>
          </wp:inline>
        </w:drawing>
      </w:r>
    </w:p>
    <w:p w14:paraId="118FA5D5">
      <w:pPr>
        <w:widowControl/>
        <w:spacing w:before="0" w:beforeLines="0" w:beforeAutospacing="0" w:after="0" w:afterLines="0" w:afterAutospacing="0" w:line="240" w:lineRule="auto"/>
        <w:jc w:val="left"/>
        <w:outlineLvl w:val="1"/>
      </w:pPr>
      <w:r>
        <w:drawing>
          <wp:inline distT="0" distB="0" distL="114300" distR="114300">
            <wp:extent cx="6162040" cy="6936740"/>
            <wp:effectExtent l="0" t="0" r="1016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62040" cy="6936740"/>
                    </a:xfrm>
                    <a:prstGeom prst="rect">
                      <a:avLst/>
                    </a:prstGeom>
                    <a:noFill/>
                    <a:ln>
                      <a:noFill/>
                    </a:ln>
                  </pic:spPr>
                </pic:pic>
              </a:graphicData>
            </a:graphic>
          </wp:inline>
        </w:drawing>
      </w:r>
    </w:p>
    <w:p w14:paraId="5FAD60C7">
      <w:pPr>
        <w:widowControl/>
        <w:spacing w:before="0" w:beforeLines="0" w:beforeAutospacing="0" w:after="0" w:afterLines="0" w:afterAutospacing="0" w:line="240" w:lineRule="auto"/>
        <w:jc w:val="left"/>
        <w:outlineLvl w:val="1"/>
      </w:pPr>
    </w:p>
    <w:p w14:paraId="34455061">
      <w:pPr>
        <w:widowControl/>
        <w:spacing w:before="0" w:beforeLines="0" w:beforeAutospacing="0" w:after="0" w:afterLines="0" w:afterAutospacing="0" w:line="240" w:lineRule="auto"/>
        <w:jc w:val="left"/>
        <w:outlineLvl w:val="1"/>
      </w:pPr>
    </w:p>
    <w:p w14:paraId="3B0B6E92">
      <w:pPr>
        <w:widowControl/>
        <w:spacing w:before="0" w:beforeLines="0" w:beforeAutospacing="0" w:after="0" w:afterLines="0" w:afterAutospacing="0" w:line="240" w:lineRule="auto"/>
        <w:jc w:val="left"/>
        <w:outlineLvl w:val="1"/>
      </w:pPr>
    </w:p>
    <w:p w14:paraId="79F14872">
      <w:pPr>
        <w:widowControl/>
        <w:spacing w:before="0" w:beforeLines="0" w:beforeAutospacing="0" w:after="0" w:afterLines="0" w:afterAutospacing="0" w:line="240" w:lineRule="auto"/>
        <w:jc w:val="left"/>
        <w:outlineLvl w:val="1"/>
      </w:pPr>
    </w:p>
    <w:p w14:paraId="28A5F766">
      <w:pPr>
        <w:widowControl/>
        <w:spacing w:before="0" w:beforeLines="0" w:beforeAutospacing="0" w:after="0" w:afterLines="0" w:afterAutospacing="0" w:line="240" w:lineRule="auto"/>
        <w:jc w:val="left"/>
        <w:outlineLvl w:val="1"/>
      </w:pPr>
    </w:p>
    <w:p w14:paraId="09F5844C">
      <w:pPr>
        <w:widowControl/>
        <w:spacing w:before="0" w:beforeLines="0" w:beforeAutospacing="0" w:after="0" w:afterLines="0" w:afterAutospacing="0" w:line="240" w:lineRule="auto"/>
        <w:jc w:val="left"/>
        <w:outlineLvl w:val="1"/>
      </w:pPr>
    </w:p>
    <w:p w14:paraId="057C4A3E">
      <w:pPr>
        <w:widowControl/>
        <w:spacing w:before="0" w:beforeLines="0" w:beforeAutospacing="0" w:after="0" w:afterLines="0" w:afterAutospacing="0" w:line="240" w:lineRule="auto"/>
        <w:jc w:val="left"/>
        <w:outlineLvl w:val="1"/>
      </w:pPr>
    </w:p>
    <w:p w14:paraId="2DE49C2D">
      <w:pPr>
        <w:widowControl/>
        <w:spacing w:before="0" w:beforeLines="0" w:beforeAutospacing="0" w:after="0" w:afterLines="0" w:afterAutospacing="0" w:line="240" w:lineRule="auto"/>
        <w:jc w:val="left"/>
        <w:outlineLvl w:val="1"/>
      </w:pPr>
      <w:r>
        <w:drawing>
          <wp:inline distT="0" distB="0" distL="114300" distR="114300">
            <wp:extent cx="6182995" cy="7781925"/>
            <wp:effectExtent l="0" t="0" r="825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182995" cy="7781925"/>
                    </a:xfrm>
                    <a:prstGeom prst="rect">
                      <a:avLst/>
                    </a:prstGeom>
                    <a:noFill/>
                    <a:ln>
                      <a:noFill/>
                    </a:ln>
                  </pic:spPr>
                </pic:pic>
              </a:graphicData>
            </a:graphic>
          </wp:inline>
        </w:drawing>
      </w:r>
    </w:p>
    <w:p w14:paraId="312EDE7D">
      <w:pPr>
        <w:widowControl/>
        <w:spacing w:before="0" w:beforeLines="0" w:beforeAutospacing="0" w:after="0" w:afterLines="0" w:afterAutospacing="0" w:line="240" w:lineRule="auto"/>
        <w:jc w:val="left"/>
        <w:outlineLvl w:val="1"/>
      </w:pPr>
    </w:p>
    <w:p w14:paraId="5F18EE6C">
      <w:pPr>
        <w:widowControl/>
        <w:spacing w:before="0" w:beforeLines="0" w:beforeAutospacing="0" w:after="0" w:afterLines="0" w:afterAutospacing="0" w:line="240" w:lineRule="auto"/>
        <w:jc w:val="left"/>
        <w:outlineLvl w:val="1"/>
      </w:pPr>
    </w:p>
    <w:p w14:paraId="13D6A51C">
      <w:pPr>
        <w:widowControl/>
        <w:spacing w:before="0" w:beforeLines="0" w:beforeAutospacing="0" w:after="0" w:afterLines="0" w:afterAutospacing="0" w:line="240" w:lineRule="auto"/>
        <w:jc w:val="left"/>
        <w:outlineLvl w:val="1"/>
      </w:pPr>
      <w:r>
        <w:drawing>
          <wp:inline distT="0" distB="0" distL="114300" distR="114300">
            <wp:extent cx="6116320" cy="4093845"/>
            <wp:effectExtent l="0" t="0" r="1778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116320" cy="4093845"/>
                    </a:xfrm>
                    <a:prstGeom prst="rect">
                      <a:avLst/>
                    </a:prstGeom>
                    <a:noFill/>
                    <a:ln>
                      <a:noFill/>
                    </a:ln>
                  </pic:spPr>
                </pic:pic>
              </a:graphicData>
            </a:graphic>
          </wp:inline>
        </w:drawing>
      </w:r>
    </w:p>
    <w:p w14:paraId="232339CE">
      <w:pPr>
        <w:widowControl/>
        <w:spacing w:before="0" w:beforeLines="0" w:beforeAutospacing="0" w:after="0" w:afterLines="0" w:afterAutospacing="0" w:line="240" w:lineRule="auto"/>
        <w:jc w:val="left"/>
        <w:outlineLvl w:val="1"/>
      </w:pPr>
    </w:p>
    <w:p w14:paraId="14161FD0">
      <w:pPr>
        <w:widowControl/>
        <w:spacing w:before="0" w:beforeLines="0" w:beforeAutospacing="0" w:after="0" w:afterLines="0" w:afterAutospacing="0" w:line="240" w:lineRule="auto"/>
        <w:jc w:val="left"/>
        <w:outlineLvl w:val="1"/>
      </w:pPr>
    </w:p>
    <w:p w14:paraId="5AAA8856">
      <w:pPr>
        <w:widowControl/>
        <w:spacing w:before="0" w:beforeLines="0" w:beforeAutospacing="0" w:after="0" w:afterLines="0" w:afterAutospacing="0" w:line="240" w:lineRule="auto"/>
        <w:jc w:val="left"/>
        <w:outlineLvl w:val="1"/>
      </w:pPr>
    </w:p>
    <w:p w14:paraId="02BAA504">
      <w:pPr>
        <w:widowControl/>
        <w:spacing w:before="0" w:beforeLines="0" w:beforeAutospacing="0" w:after="0" w:afterLines="0" w:afterAutospacing="0" w:line="240" w:lineRule="auto"/>
        <w:jc w:val="left"/>
        <w:outlineLvl w:val="1"/>
      </w:pPr>
    </w:p>
    <w:p w14:paraId="22455900">
      <w:pPr>
        <w:widowControl/>
        <w:spacing w:before="0" w:beforeLines="0" w:beforeAutospacing="0" w:after="0" w:afterLines="0" w:afterAutospacing="0" w:line="240" w:lineRule="auto"/>
        <w:jc w:val="left"/>
        <w:outlineLvl w:val="1"/>
      </w:pPr>
    </w:p>
    <w:p w14:paraId="54CCA0BB">
      <w:pPr>
        <w:widowControl/>
        <w:spacing w:before="0" w:beforeLines="0" w:beforeAutospacing="0" w:after="0" w:afterLines="0" w:afterAutospacing="0" w:line="240" w:lineRule="auto"/>
        <w:jc w:val="left"/>
        <w:outlineLvl w:val="1"/>
      </w:pPr>
    </w:p>
    <w:p w14:paraId="64AE3A75">
      <w:pPr>
        <w:widowControl/>
        <w:spacing w:before="0" w:beforeLines="0" w:beforeAutospacing="0" w:after="0" w:afterLines="0" w:afterAutospacing="0" w:line="240" w:lineRule="auto"/>
        <w:jc w:val="left"/>
        <w:outlineLvl w:val="1"/>
      </w:pPr>
    </w:p>
    <w:p w14:paraId="6684844B">
      <w:pPr>
        <w:widowControl/>
        <w:spacing w:before="0" w:beforeLines="0" w:beforeAutospacing="0" w:after="0" w:afterLines="0" w:afterAutospacing="0" w:line="240" w:lineRule="auto"/>
        <w:jc w:val="left"/>
        <w:outlineLvl w:val="1"/>
      </w:pPr>
    </w:p>
    <w:p w14:paraId="35D2735C">
      <w:pPr>
        <w:widowControl/>
        <w:spacing w:before="0" w:beforeLines="0" w:beforeAutospacing="0" w:after="0" w:afterLines="0" w:afterAutospacing="0" w:line="240" w:lineRule="auto"/>
        <w:jc w:val="left"/>
        <w:outlineLvl w:val="1"/>
      </w:pPr>
    </w:p>
    <w:p w14:paraId="55300205">
      <w:pPr>
        <w:widowControl/>
        <w:spacing w:before="0" w:beforeLines="0" w:beforeAutospacing="0" w:after="0" w:afterLines="0" w:afterAutospacing="0" w:line="240" w:lineRule="auto"/>
        <w:jc w:val="left"/>
        <w:outlineLvl w:val="1"/>
      </w:pPr>
    </w:p>
    <w:p w14:paraId="55C7405A">
      <w:pPr>
        <w:widowControl/>
        <w:spacing w:before="0" w:beforeLines="0" w:beforeAutospacing="0" w:after="0" w:afterLines="0" w:afterAutospacing="0" w:line="240" w:lineRule="auto"/>
        <w:jc w:val="left"/>
        <w:outlineLvl w:val="1"/>
      </w:pPr>
    </w:p>
    <w:p w14:paraId="290A3598">
      <w:pPr>
        <w:widowControl/>
        <w:spacing w:before="0" w:beforeLines="0" w:beforeAutospacing="0" w:after="0" w:afterLines="0" w:afterAutospacing="0" w:line="240" w:lineRule="auto"/>
        <w:jc w:val="left"/>
        <w:outlineLvl w:val="1"/>
      </w:pPr>
    </w:p>
    <w:p w14:paraId="5FBC1D86">
      <w:pPr>
        <w:widowControl/>
        <w:spacing w:before="0" w:beforeLines="0" w:beforeAutospacing="0" w:after="0" w:afterLines="0" w:afterAutospacing="0" w:line="240" w:lineRule="auto"/>
        <w:jc w:val="left"/>
        <w:outlineLvl w:val="1"/>
      </w:pPr>
    </w:p>
    <w:p w14:paraId="4408D269">
      <w:pPr>
        <w:widowControl/>
        <w:spacing w:before="0" w:beforeLines="0" w:beforeAutospacing="0" w:after="0" w:afterLines="0" w:afterAutospacing="0" w:line="240" w:lineRule="auto"/>
        <w:jc w:val="left"/>
        <w:outlineLvl w:val="1"/>
      </w:pPr>
    </w:p>
    <w:p w14:paraId="2EB8BE13">
      <w:pPr>
        <w:widowControl/>
        <w:spacing w:before="0" w:beforeLines="0" w:beforeAutospacing="0" w:after="0" w:afterLines="0" w:afterAutospacing="0" w:line="240" w:lineRule="auto"/>
        <w:jc w:val="left"/>
        <w:outlineLvl w:val="1"/>
      </w:pPr>
    </w:p>
    <w:p w14:paraId="60EDA543">
      <w:pPr>
        <w:widowControl/>
        <w:spacing w:before="0" w:beforeLines="0" w:beforeAutospacing="0" w:after="0" w:afterLines="0" w:afterAutospacing="0" w:line="240" w:lineRule="auto"/>
        <w:jc w:val="left"/>
        <w:outlineLvl w:val="1"/>
      </w:pPr>
    </w:p>
    <w:p w14:paraId="04E24C47">
      <w:pPr>
        <w:widowControl/>
        <w:spacing w:before="0" w:beforeLines="0" w:beforeAutospacing="0" w:after="0" w:afterLines="0" w:afterAutospacing="0" w:line="240" w:lineRule="auto"/>
        <w:jc w:val="left"/>
        <w:outlineLvl w:val="1"/>
      </w:pPr>
    </w:p>
    <w:p w14:paraId="17101FE8">
      <w:pPr>
        <w:widowControl/>
        <w:spacing w:before="0" w:beforeLines="0" w:beforeAutospacing="0" w:after="0" w:afterLines="0" w:afterAutospacing="0" w:line="240" w:lineRule="auto"/>
        <w:jc w:val="left"/>
        <w:outlineLvl w:val="1"/>
      </w:pPr>
    </w:p>
    <w:p w14:paraId="64578B17">
      <w:pPr>
        <w:widowControl/>
        <w:spacing w:before="0" w:beforeLines="0" w:beforeAutospacing="0" w:after="0" w:afterLines="0" w:afterAutospacing="0" w:line="240" w:lineRule="auto"/>
        <w:jc w:val="left"/>
        <w:outlineLvl w:val="1"/>
      </w:pPr>
    </w:p>
    <w:p w14:paraId="148CD73D">
      <w:pPr>
        <w:widowControl/>
        <w:spacing w:before="0" w:beforeLines="0" w:beforeAutospacing="0" w:after="0" w:afterLines="0" w:afterAutospacing="0" w:line="240" w:lineRule="auto"/>
        <w:jc w:val="left"/>
        <w:outlineLvl w:val="1"/>
      </w:pPr>
    </w:p>
    <w:p w14:paraId="3310C99D">
      <w:pPr>
        <w:widowControl/>
        <w:spacing w:before="0" w:beforeLines="0" w:beforeAutospacing="0" w:after="0" w:afterLines="0" w:afterAutospacing="0" w:line="240" w:lineRule="auto"/>
        <w:jc w:val="left"/>
        <w:outlineLvl w:val="1"/>
      </w:pPr>
    </w:p>
    <w:p w14:paraId="4113DC70">
      <w:pPr>
        <w:widowControl/>
        <w:spacing w:before="0" w:beforeLines="0" w:beforeAutospacing="0" w:after="0" w:afterLines="0" w:afterAutospacing="0" w:line="240" w:lineRule="auto"/>
        <w:jc w:val="left"/>
        <w:outlineLvl w:val="1"/>
      </w:pPr>
    </w:p>
    <w:p w14:paraId="74602F41">
      <w:pPr>
        <w:widowControl/>
        <w:spacing w:before="0" w:beforeLines="0" w:beforeAutospacing="0" w:after="0" w:afterLines="0" w:afterAutospacing="0" w:line="240" w:lineRule="auto"/>
        <w:jc w:val="left"/>
        <w:outlineLvl w:val="1"/>
      </w:pPr>
    </w:p>
    <w:p w14:paraId="24C6EF81">
      <w:pPr>
        <w:widowControl/>
        <w:spacing w:before="0" w:beforeLines="0" w:beforeAutospacing="0" w:after="0" w:afterLines="0" w:afterAutospacing="0" w:line="240" w:lineRule="auto"/>
        <w:jc w:val="left"/>
        <w:outlineLvl w:val="1"/>
      </w:pPr>
    </w:p>
    <w:p w14:paraId="7864B514">
      <w:pPr>
        <w:widowControl/>
        <w:spacing w:before="0" w:beforeLines="0" w:beforeAutospacing="0" w:after="0" w:afterLines="0" w:afterAutospacing="0" w:line="240" w:lineRule="auto"/>
        <w:jc w:val="left"/>
        <w:outlineLvl w:val="1"/>
      </w:pPr>
    </w:p>
    <w:p w14:paraId="2D39FC11">
      <w:pPr>
        <w:widowControl/>
        <w:spacing w:before="0" w:beforeLines="0" w:beforeAutospacing="0" w:after="0" w:afterLines="0" w:afterAutospacing="0" w:line="240" w:lineRule="auto"/>
        <w:jc w:val="left"/>
        <w:outlineLvl w:val="1"/>
      </w:pPr>
      <w:r>
        <w:drawing>
          <wp:inline distT="0" distB="0" distL="114300" distR="114300">
            <wp:extent cx="5998210" cy="439420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998210" cy="4394200"/>
                    </a:xfrm>
                    <a:prstGeom prst="rect">
                      <a:avLst/>
                    </a:prstGeom>
                    <a:noFill/>
                    <a:ln>
                      <a:noFill/>
                    </a:ln>
                  </pic:spPr>
                </pic:pic>
              </a:graphicData>
            </a:graphic>
          </wp:inline>
        </w:drawing>
      </w:r>
    </w:p>
    <w:p w14:paraId="6F845561">
      <w:pPr>
        <w:widowControl/>
        <w:spacing w:before="0" w:beforeLines="0" w:beforeAutospacing="0" w:after="0" w:afterLines="0" w:afterAutospacing="0" w:line="240" w:lineRule="auto"/>
        <w:jc w:val="left"/>
        <w:outlineLvl w:val="1"/>
      </w:pPr>
    </w:p>
    <w:p w14:paraId="28FEEB40">
      <w:pPr>
        <w:widowControl/>
        <w:spacing w:before="0" w:beforeLines="0" w:beforeAutospacing="0" w:after="0" w:afterLines="0" w:afterAutospacing="0" w:line="240" w:lineRule="auto"/>
        <w:jc w:val="left"/>
        <w:outlineLvl w:val="1"/>
      </w:pPr>
    </w:p>
    <w:p w14:paraId="3BF2F258">
      <w:pPr>
        <w:widowControl/>
        <w:spacing w:before="0" w:beforeLines="0" w:beforeAutospacing="0" w:after="0" w:afterLines="0" w:afterAutospacing="0" w:line="240" w:lineRule="auto"/>
        <w:jc w:val="left"/>
        <w:outlineLvl w:val="1"/>
      </w:pPr>
    </w:p>
    <w:p w14:paraId="2459717A">
      <w:pPr>
        <w:widowControl/>
        <w:spacing w:before="0" w:beforeLines="0" w:beforeAutospacing="0" w:after="0" w:afterLines="0" w:afterAutospacing="0" w:line="240" w:lineRule="auto"/>
        <w:jc w:val="left"/>
        <w:outlineLvl w:val="1"/>
      </w:pPr>
    </w:p>
    <w:p w14:paraId="57A27548">
      <w:pPr>
        <w:widowControl/>
        <w:spacing w:before="0" w:beforeLines="0" w:beforeAutospacing="0" w:after="0" w:afterLines="0" w:afterAutospacing="0" w:line="240" w:lineRule="auto"/>
        <w:jc w:val="left"/>
        <w:outlineLvl w:val="1"/>
      </w:pPr>
    </w:p>
    <w:p w14:paraId="39D6BC18">
      <w:pPr>
        <w:widowControl/>
        <w:spacing w:before="0" w:beforeLines="0" w:beforeAutospacing="0" w:after="0" w:afterLines="0" w:afterAutospacing="0" w:line="240" w:lineRule="auto"/>
        <w:jc w:val="left"/>
        <w:outlineLvl w:val="1"/>
      </w:pPr>
    </w:p>
    <w:p w14:paraId="55EF49BF">
      <w:pPr>
        <w:widowControl/>
        <w:spacing w:before="0" w:beforeLines="0" w:beforeAutospacing="0" w:after="0" w:afterLines="0" w:afterAutospacing="0" w:line="240" w:lineRule="auto"/>
        <w:jc w:val="left"/>
        <w:outlineLvl w:val="1"/>
      </w:pPr>
    </w:p>
    <w:p w14:paraId="2DE65E44">
      <w:pPr>
        <w:widowControl/>
        <w:spacing w:before="0" w:beforeLines="0" w:beforeAutospacing="0" w:after="0" w:afterLines="0" w:afterAutospacing="0" w:line="240" w:lineRule="auto"/>
        <w:jc w:val="left"/>
        <w:outlineLvl w:val="1"/>
      </w:pPr>
    </w:p>
    <w:p w14:paraId="108C7B12">
      <w:pPr>
        <w:widowControl/>
        <w:spacing w:before="0" w:beforeLines="0" w:beforeAutospacing="0" w:after="0" w:afterLines="0" w:afterAutospacing="0" w:line="240" w:lineRule="auto"/>
        <w:jc w:val="left"/>
        <w:outlineLvl w:val="1"/>
      </w:pPr>
    </w:p>
    <w:p w14:paraId="27CDE08F">
      <w:pPr>
        <w:widowControl/>
        <w:spacing w:before="0" w:beforeLines="0" w:beforeAutospacing="0" w:after="0" w:afterLines="0" w:afterAutospacing="0" w:line="240" w:lineRule="auto"/>
        <w:jc w:val="left"/>
        <w:outlineLvl w:val="1"/>
      </w:pPr>
    </w:p>
    <w:p w14:paraId="0A9DD974">
      <w:pPr>
        <w:widowControl/>
        <w:spacing w:before="0" w:beforeLines="0" w:beforeAutospacing="0" w:after="0" w:afterLines="0" w:afterAutospacing="0" w:line="240" w:lineRule="auto"/>
        <w:jc w:val="left"/>
        <w:outlineLvl w:val="1"/>
      </w:pPr>
    </w:p>
    <w:p w14:paraId="65B4BB35">
      <w:pPr>
        <w:widowControl/>
        <w:spacing w:before="0" w:beforeLines="0" w:beforeAutospacing="0" w:after="0" w:afterLines="0" w:afterAutospacing="0" w:line="240" w:lineRule="auto"/>
        <w:jc w:val="left"/>
        <w:outlineLvl w:val="1"/>
      </w:pPr>
    </w:p>
    <w:p w14:paraId="6667FF77">
      <w:pPr>
        <w:widowControl/>
        <w:spacing w:before="0" w:beforeLines="0" w:beforeAutospacing="0" w:after="0" w:afterLines="0" w:afterAutospacing="0" w:line="240" w:lineRule="auto"/>
        <w:jc w:val="left"/>
        <w:outlineLvl w:val="1"/>
      </w:pPr>
    </w:p>
    <w:p w14:paraId="51531EFE">
      <w:pPr>
        <w:widowControl/>
        <w:spacing w:before="0" w:beforeLines="0" w:beforeAutospacing="0" w:after="0" w:afterLines="0" w:afterAutospacing="0" w:line="240" w:lineRule="auto"/>
        <w:jc w:val="left"/>
        <w:outlineLvl w:val="1"/>
      </w:pPr>
    </w:p>
    <w:p w14:paraId="10052D19">
      <w:pPr>
        <w:widowControl/>
        <w:spacing w:before="0" w:beforeLines="0" w:beforeAutospacing="0" w:after="0" w:afterLines="0" w:afterAutospacing="0" w:line="240" w:lineRule="auto"/>
        <w:jc w:val="left"/>
        <w:outlineLvl w:val="1"/>
      </w:pPr>
    </w:p>
    <w:p w14:paraId="6C96B647">
      <w:pPr>
        <w:widowControl/>
        <w:spacing w:before="0" w:beforeLines="0" w:beforeAutospacing="0" w:after="0" w:afterLines="0" w:afterAutospacing="0" w:line="240" w:lineRule="auto"/>
        <w:jc w:val="left"/>
        <w:outlineLvl w:val="1"/>
      </w:pPr>
    </w:p>
    <w:p w14:paraId="11C4A295">
      <w:pPr>
        <w:widowControl/>
        <w:spacing w:before="0" w:beforeLines="0" w:beforeAutospacing="0" w:after="0" w:afterLines="0" w:afterAutospacing="0" w:line="240" w:lineRule="auto"/>
        <w:jc w:val="left"/>
        <w:outlineLvl w:val="1"/>
      </w:pPr>
    </w:p>
    <w:p w14:paraId="751F9AE7">
      <w:pPr>
        <w:widowControl/>
        <w:spacing w:before="0" w:beforeLines="0" w:beforeAutospacing="0" w:after="0" w:afterLines="0" w:afterAutospacing="0" w:line="240" w:lineRule="auto"/>
        <w:jc w:val="left"/>
        <w:outlineLvl w:val="1"/>
      </w:pPr>
    </w:p>
    <w:p w14:paraId="2B818697">
      <w:pPr>
        <w:widowControl/>
        <w:spacing w:before="0" w:beforeLines="0" w:beforeAutospacing="0" w:after="0" w:afterLines="0" w:afterAutospacing="0" w:line="240" w:lineRule="auto"/>
        <w:jc w:val="left"/>
        <w:outlineLvl w:val="1"/>
      </w:pPr>
    </w:p>
    <w:p w14:paraId="052F0002">
      <w:pPr>
        <w:widowControl/>
        <w:spacing w:before="0" w:beforeLines="0" w:beforeAutospacing="0" w:after="0" w:afterLines="0" w:afterAutospacing="0" w:line="240" w:lineRule="auto"/>
        <w:jc w:val="left"/>
        <w:outlineLvl w:val="1"/>
      </w:pPr>
    </w:p>
    <w:p w14:paraId="12591893">
      <w:pPr>
        <w:widowControl/>
        <w:spacing w:before="0" w:beforeLines="0" w:beforeAutospacing="0" w:after="0" w:afterLines="0" w:afterAutospacing="0" w:line="240" w:lineRule="auto"/>
        <w:jc w:val="left"/>
        <w:outlineLvl w:val="1"/>
      </w:pPr>
    </w:p>
    <w:p w14:paraId="79B5685D">
      <w:pPr>
        <w:widowControl/>
        <w:spacing w:before="0" w:beforeLines="0" w:beforeAutospacing="0" w:after="0" w:afterLines="0" w:afterAutospacing="0" w:line="240" w:lineRule="auto"/>
        <w:jc w:val="left"/>
        <w:outlineLvl w:val="1"/>
      </w:pPr>
    </w:p>
    <w:p w14:paraId="2D1DD252">
      <w:pPr>
        <w:widowControl/>
        <w:spacing w:before="0" w:beforeLines="0" w:beforeAutospacing="0" w:after="0" w:afterLines="0" w:afterAutospacing="0" w:line="240" w:lineRule="auto"/>
        <w:jc w:val="left"/>
        <w:outlineLvl w:val="1"/>
      </w:pPr>
    </w:p>
    <w:p w14:paraId="5BA8B421">
      <w:pPr>
        <w:widowControl/>
        <w:spacing w:before="0" w:beforeLines="0" w:beforeAutospacing="0" w:after="0" w:afterLines="0" w:afterAutospacing="0" w:line="240" w:lineRule="auto"/>
        <w:jc w:val="left"/>
        <w:outlineLvl w:val="1"/>
      </w:pPr>
      <w:r>
        <w:drawing>
          <wp:inline distT="0" distB="0" distL="114300" distR="114300">
            <wp:extent cx="6118225" cy="4960620"/>
            <wp:effectExtent l="0" t="0" r="15875"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118225" cy="496062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27CB1"/>
    <w:rsid w:val="00771B68"/>
    <w:rsid w:val="00A3295D"/>
    <w:rsid w:val="00C30909"/>
    <w:rsid w:val="00E0770D"/>
    <w:rsid w:val="00FB402D"/>
    <w:rsid w:val="01114219"/>
    <w:rsid w:val="01282E62"/>
    <w:rsid w:val="01341807"/>
    <w:rsid w:val="01E74CCC"/>
    <w:rsid w:val="02284DF1"/>
    <w:rsid w:val="023A2E4D"/>
    <w:rsid w:val="0293255D"/>
    <w:rsid w:val="02B43A4B"/>
    <w:rsid w:val="02B81FC4"/>
    <w:rsid w:val="036839EA"/>
    <w:rsid w:val="03AF1619"/>
    <w:rsid w:val="03D472D2"/>
    <w:rsid w:val="042913CB"/>
    <w:rsid w:val="04671EF4"/>
    <w:rsid w:val="04D720EC"/>
    <w:rsid w:val="05544226"/>
    <w:rsid w:val="05634469"/>
    <w:rsid w:val="06385059"/>
    <w:rsid w:val="06913258"/>
    <w:rsid w:val="06A0349B"/>
    <w:rsid w:val="07301FF4"/>
    <w:rsid w:val="08263E0B"/>
    <w:rsid w:val="09CF47C3"/>
    <w:rsid w:val="0A2368BD"/>
    <w:rsid w:val="0A3463D4"/>
    <w:rsid w:val="0A6273E5"/>
    <w:rsid w:val="0B3D39AE"/>
    <w:rsid w:val="0BD460C1"/>
    <w:rsid w:val="0BE61950"/>
    <w:rsid w:val="0C62191E"/>
    <w:rsid w:val="0D224C0A"/>
    <w:rsid w:val="0D8B6C53"/>
    <w:rsid w:val="0D927FE1"/>
    <w:rsid w:val="0DDC74AE"/>
    <w:rsid w:val="0DF827FF"/>
    <w:rsid w:val="0E574D87"/>
    <w:rsid w:val="0E601E8E"/>
    <w:rsid w:val="0E8504ED"/>
    <w:rsid w:val="0ED40186"/>
    <w:rsid w:val="0EE26D46"/>
    <w:rsid w:val="10521CAA"/>
    <w:rsid w:val="1081433D"/>
    <w:rsid w:val="10F021D6"/>
    <w:rsid w:val="10F93ED3"/>
    <w:rsid w:val="114C04A7"/>
    <w:rsid w:val="11BF6DF9"/>
    <w:rsid w:val="130B4FD3"/>
    <w:rsid w:val="1347361C"/>
    <w:rsid w:val="141D25CF"/>
    <w:rsid w:val="14524026"/>
    <w:rsid w:val="14CF3BA2"/>
    <w:rsid w:val="14E804E7"/>
    <w:rsid w:val="152E140B"/>
    <w:rsid w:val="15545B7C"/>
    <w:rsid w:val="15602773"/>
    <w:rsid w:val="15CC605B"/>
    <w:rsid w:val="173A0D50"/>
    <w:rsid w:val="1752433D"/>
    <w:rsid w:val="1776627E"/>
    <w:rsid w:val="17B15719"/>
    <w:rsid w:val="18243F2C"/>
    <w:rsid w:val="1881312C"/>
    <w:rsid w:val="18E92B27"/>
    <w:rsid w:val="19832ED4"/>
    <w:rsid w:val="19981940"/>
    <w:rsid w:val="1A151A31"/>
    <w:rsid w:val="1A78055F"/>
    <w:rsid w:val="1ADB21AF"/>
    <w:rsid w:val="1B397CEE"/>
    <w:rsid w:val="1BA4729C"/>
    <w:rsid w:val="1BD9327F"/>
    <w:rsid w:val="1C182058"/>
    <w:rsid w:val="1C3160DD"/>
    <w:rsid w:val="1CAE0268"/>
    <w:rsid w:val="1CDC3027"/>
    <w:rsid w:val="1D036806"/>
    <w:rsid w:val="1D4110E5"/>
    <w:rsid w:val="1E3B5B2B"/>
    <w:rsid w:val="1E3E561C"/>
    <w:rsid w:val="1EAB0F03"/>
    <w:rsid w:val="1F0E4FEE"/>
    <w:rsid w:val="1F730AF5"/>
    <w:rsid w:val="1FA0658E"/>
    <w:rsid w:val="20466FEC"/>
    <w:rsid w:val="206660C3"/>
    <w:rsid w:val="20B32167"/>
    <w:rsid w:val="20C462AC"/>
    <w:rsid w:val="20D64231"/>
    <w:rsid w:val="20FC3C98"/>
    <w:rsid w:val="21374CD0"/>
    <w:rsid w:val="21FE446E"/>
    <w:rsid w:val="22032E04"/>
    <w:rsid w:val="22192627"/>
    <w:rsid w:val="223C12B0"/>
    <w:rsid w:val="22680EB9"/>
    <w:rsid w:val="22714212"/>
    <w:rsid w:val="230E7CB2"/>
    <w:rsid w:val="238B30B1"/>
    <w:rsid w:val="239F090A"/>
    <w:rsid w:val="23AD1279"/>
    <w:rsid w:val="24245E34"/>
    <w:rsid w:val="257007B0"/>
    <w:rsid w:val="257C53A7"/>
    <w:rsid w:val="25D725DE"/>
    <w:rsid w:val="2609650F"/>
    <w:rsid w:val="26282E39"/>
    <w:rsid w:val="269E134D"/>
    <w:rsid w:val="26B3295C"/>
    <w:rsid w:val="27007912"/>
    <w:rsid w:val="273B6D0C"/>
    <w:rsid w:val="27BA5D13"/>
    <w:rsid w:val="282B6C11"/>
    <w:rsid w:val="292A1C86"/>
    <w:rsid w:val="292C2C40"/>
    <w:rsid w:val="29564161"/>
    <w:rsid w:val="299F78B6"/>
    <w:rsid w:val="2A2B739C"/>
    <w:rsid w:val="2A55059E"/>
    <w:rsid w:val="2AE632C3"/>
    <w:rsid w:val="2BFC1A9D"/>
    <w:rsid w:val="2C83636E"/>
    <w:rsid w:val="2D4250F3"/>
    <w:rsid w:val="2D4D7629"/>
    <w:rsid w:val="2DAD46CD"/>
    <w:rsid w:val="2E424CB4"/>
    <w:rsid w:val="2E862DF3"/>
    <w:rsid w:val="2EBC7FA0"/>
    <w:rsid w:val="2EE63891"/>
    <w:rsid w:val="2F1C4BE5"/>
    <w:rsid w:val="2F2820FC"/>
    <w:rsid w:val="2F2E4A11"/>
    <w:rsid w:val="2F740E9D"/>
    <w:rsid w:val="2F8E51BB"/>
    <w:rsid w:val="2FC11C09"/>
    <w:rsid w:val="2FD933F6"/>
    <w:rsid w:val="2FEF6776"/>
    <w:rsid w:val="305111DE"/>
    <w:rsid w:val="30515682"/>
    <w:rsid w:val="307A6987"/>
    <w:rsid w:val="30E3452C"/>
    <w:rsid w:val="310149B3"/>
    <w:rsid w:val="310C55BA"/>
    <w:rsid w:val="31462D0D"/>
    <w:rsid w:val="31983C6B"/>
    <w:rsid w:val="32764F2C"/>
    <w:rsid w:val="32DA195F"/>
    <w:rsid w:val="32FA3DAF"/>
    <w:rsid w:val="330E33B7"/>
    <w:rsid w:val="33B663A0"/>
    <w:rsid w:val="34FA0097"/>
    <w:rsid w:val="353E579D"/>
    <w:rsid w:val="35725E7F"/>
    <w:rsid w:val="35FA7C22"/>
    <w:rsid w:val="36054F45"/>
    <w:rsid w:val="36657792"/>
    <w:rsid w:val="36716136"/>
    <w:rsid w:val="36A04C6E"/>
    <w:rsid w:val="3724764D"/>
    <w:rsid w:val="37386C54"/>
    <w:rsid w:val="3776777C"/>
    <w:rsid w:val="37BF130A"/>
    <w:rsid w:val="37D81B71"/>
    <w:rsid w:val="384E5BCA"/>
    <w:rsid w:val="38795776"/>
    <w:rsid w:val="38E47094"/>
    <w:rsid w:val="394E09B1"/>
    <w:rsid w:val="39B822CE"/>
    <w:rsid w:val="39C65780"/>
    <w:rsid w:val="3A1C460B"/>
    <w:rsid w:val="3A683CF4"/>
    <w:rsid w:val="3B9F37B6"/>
    <w:rsid w:val="3BAC0209"/>
    <w:rsid w:val="3BEC625F"/>
    <w:rsid w:val="3BF55114"/>
    <w:rsid w:val="3BF84C04"/>
    <w:rsid w:val="3C6127A9"/>
    <w:rsid w:val="3CF74EBC"/>
    <w:rsid w:val="3D1E4B3E"/>
    <w:rsid w:val="3D1F08A5"/>
    <w:rsid w:val="3D850719"/>
    <w:rsid w:val="3DFD29A6"/>
    <w:rsid w:val="3E14465C"/>
    <w:rsid w:val="3E1675C3"/>
    <w:rsid w:val="3ECB4852"/>
    <w:rsid w:val="3F4C5993"/>
    <w:rsid w:val="4024246B"/>
    <w:rsid w:val="409557B3"/>
    <w:rsid w:val="413D1A37"/>
    <w:rsid w:val="415638C2"/>
    <w:rsid w:val="4158160B"/>
    <w:rsid w:val="41BB295C"/>
    <w:rsid w:val="421175E6"/>
    <w:rsid w:val="42937435"/>
    <w:rsid w:val="43761230"/>
    <w:rsid w:val="43D9356D"/>
    <w:rsid w:val="43DE0B83"/>
    <w:rsid w:val="449776B0"/>
    <w:rsid w:val="449C5B0F"/>
    <w:rsid w:val="44E3462B"/>
    <w:rsid w:val="45130693"/>
    <w:rsid w:val="45202AE4"/>
    <w:rsid w:val="453018B3"/>
    <w:rsid w:val="45303661"/>
    <w:rsid w:val="45592BB7"/>
    <w:rsid w:val="45EE1552"/>
    <w:rsid w:val="46236D21"/>
    <w:rsid w:val="46A00372"/>
    <w:rsid w:val="46AC31BB"/>
    <w:rsid w:val="46F04E55"/>
    <w:rsid w:val="47783581"/>
    <w:rsid w:val="47835CCA"/>
    <w:rsid w:val="47B6609F"/>
    <w:rsid w:val="48931F3C"/>
    <w:rsid w:val="48952158"/>
    <w:rsid w:val="489D2DBB"/>
    <w:rsid w:val="48E33F7B"/>
    <w:rsid w:val="48E64762"/>
    <w:rsid w:val="48FD7CFE"/>
    <w:rsid w:val="490143E8"/>
    <w:rsid w:val="49156DF5"/>
    <w:rsid w:val="49725FF6"/>
    <w:rsid w:val="499016CA"/>
    <w:rsid w:val="49B93C25"/>
    <w:rsid w:val="4A5D4EF8"/>
    <w:rsid w:val="4AA61234"/>
    <w:rsid w:val="4ABA40F8"/>
    <w:rsid w:val="4AC5484B"/>
    <w:rsid w:val="4B180DBD"/>
    <w:rsid w:val="4B1F2A24"/>
    <w:rsid w:val="4B95246F"/>
    <w:rsid w:val="4BE07B8E"/>
    <w:rsid w:val="4C2061DD"/>
    <w:rsid w:val="4C650094"/>
    <w:rsid w:val="4CD9638C"/>
    <w:rsid w:val="4D0428C2"/>
    <w:rsid w:val="4DA70238"/>
    <w:rsid w:val="4DC14993"/>
    <w:rsid w:val="4DF318FF"/>
    <w:rsid w:val="4E240439"/>
    <w:rsid w:val="4E830CA5"/>
    <w:rsid w:val="4EA36C51"/>
    <w:rsid w:val="4EC124A2"/>
    <w:rsid w:val="4EEA2AD2"/>
    <w:rsid w:val="4FD40419"/>
    <w:rsid w:val="4FDF63AF"/>
    <w:rsid w:val="506C2C61"/>
    <w:rsid w:val="50812FC2"/>
    <w:rsid w:val="50E61077"/>
    <w:rsid w:val="50F20AA4"/>
    <w:rsid w:val="516B614C"/>
    <w:rsid w:val="524F15CA"/>
    <w:rsid w:val="52754DA9"/>
    <w:rsid w:val="52CA0C50"/>
    <w:rsid w:val="53603363"/>
    <w:rsid w:val="536F1AA9"/>
    <w:rsid w:val="53721479"/>
    <w:rsid w:val="53EB70D0"/>
    <w:rsid w:val="54014B46"/>
    <w:rsid w:val="54247722"/>
    <w:rsid w:val="545F361A"/>
    <w:rsid w:val="5474356A"/>
    <w:rsid w:val="54782B27"/>
    <w:rsid w:val="54D45C59"/>
    <w:rsid w:val="54F9581D"/>
    <w:rsid w:val="550A17D8"/>
    <w:rsid w:val="553D1BAE"/>
    <w:rsid w:val="55CE0A58"/>
    <w:rsid w:val="55ED2B5E"/>
    <w:rsid w:val="55F52488"/>
    <w:rsid w:val="566B44F9"/>
    <w:rsid w:val="57327AF8"/>
    <w:rsid w:val="574B7E86"/>
    <w:rsid w:val="57637D90"/>
    <w:rsid w:val="57680A38"/>
    <w:rsid w:val="57F64296"/>
    <w:rsid w:val="587A6C75"/>
    <w:rsid w:val="58825B29"/>
    <w:rsid w:val="58C6010C"/>
    <w:rsid w:val="592919F4"/>
    <w:rsid w:val="599B516F"/>
    <w:rsid w:val="59C1780B"/>
    <w:rsid w:val="59D81EA5"/>
    <w:rsid w:val="59EF5441"/>
    <w:rsid w:val="5A0440FB"/>
    <w:rsid w:val="5A817129"/>
    <w:rsid w:val="5AA91A93"/>
    <w:rsid w:val="5ABA2A7F"/>
    <w:rsid w:val="5B503CBD"/>
    <w:rsid w:val="5BF907F8"/>
    <w:rsid w:val="5CE45005"/>
    <w:rsid w:val="5D722610"/>
    <w:rsid w:val="5D825B10"/>
    <w:rsid w:val="5DAD189A"/>
    <w:rsid w:val="5DF03535"/>
    <w:rsid w:val="5E1436C8"/>
    <w:rsid w:val="5E3E24F3"/>
    <w:rsid w:val="5E744166"/>
    <w:rsid w:val="5E7549E6"/>
    <w:rsid w:val="5E827D04"/>
    <w:rsid w:val="5E960581"/>
    <w:rsid w:val="5ECC583C"/>
    <w:rsid w:val="5EE50BC0"/>
    <w:rsid w:val="5F69359F"/>
    <w:rsid w:val="61220A14"/>
    <w:rsid w:val="61994610"/>
    <w:rsid w:val="61CB6793"/>
    <w:rsid w:val="61D92C5E"/>
    <w:rsid w:val="61EB473F"/>
    <w:rsid w:val="62546789"/>
    <w:rsid w:val="62724E61"/>
    <w:rsid w:val="62914838"/>
    <w:rsid w:val="630C0E11"/>
    <w:rsid w:val="632048BD"/>
    <w:rsid w:val="637F3391"/>
    <w:rsid w:val="63D731CD"/>
    <w:rsid w:val="63E47698"/>
    <w:rsid w:val="643C1282"/>
    <w:rsid w:val="64D43BB1"/>
    <w:rsid w:val="64E5191A"/>
    <w:rsid w:val="66100C18"/>
    <w:rsid w:val="66541B75"/>
    <w:rsid w:val="66BA2932"/>
    <w:rsid w:val="670F0477"/>
    <w:rsid w:val="673152EA"/>
    <w:rsid w:val="67917B37"/>
    <w:rsid w:val="68053CCC"/>
    <w:rsid w:val="682B3AE8"/>
    <w:rsid w:val="684B18E4"/>
    <w:rsid w:val="68727968"/>
    <w:rsid w:val="68B03FED"/>
    <w:rsid w:val="68C6434E"/>
    <w:rsid w:val="69036813"/>
    <w:rsid w:val="69117181"/>
    <w:rsid w:val="693E784B"/>
    <w:rsid w:val="69796AD5"/>
    <w:rsid w:val="6A794FDE"/>
    <w:rsid w:val="6ACD0E86"/>
    <w:rsid w:val="6AF3214D"/>
    <w:rsid w:val="6B0112DF"/>
    <w:rsid w:val="6B170353"/>
    <w:rsid w:val="6B4C2E3A"/>
    <w:rsid w:val="6B67752D"/>
    <w:rsid w:val="6C027255"/>
    <w:rsid w:val="6C0E659A"/>
    <w:rsid w:val="6C5F1FB2"/>
    <w:rsid w:val="6C7D68DC"/>
    <w:rsid w:val="6CA67BE1"/>
    <w:rsid w:val="6CF50B68"/>
    <w:rsid w:val="6D064B23"/>
    <w:rsid w:val="6D2531FB"/>
    <w:rsid w:val="6D4713C4"/>
    <w:rsid w:val="6DB4632D"/>
    <w:rsid w:val="6DBD1686"/>
    <w:rsid w:val="6DC24EEE"/>
    <w:rsid w:val="6DC347C2"/>
    <w:rsid w:val="6E361438"/>
    <w:rsid w:val="6E712470"/>
    <w:rsid w:val="6F1E5C91"/>
    <w:rsid w:val="6F265009"/>
    <w:rsid w:val="6F4D296F"/>
    <w:rsid w:val="6F543924"/>
    <w:rsid w:val="6F8166E3"/>
    <w:rsid w:val="70131A31"/>
    <w:rsid w:val="70596CF6"/>
    <w:rsid w:val="706C2EEF"/>
    <w:rsid w:val="70B84386"/>
    <w:rsid w:val="71500A63"/>
    <w:rsid w:val="715B5021"/>
    <w:rsid w:val="718956BF"/>
    <w:rsid w:val="72907369"/>
    <w:rsid w:val="72C45265"/>
    <w:rsid w:val="72DB435C"/>
    <w:rsid w:val="73397A01"/>
    <w:rsid w:val="73465C7A"/>
    <w:rsid w:val="735E108B"/>
    <w:rsid w:val="73700F48"/>
    <w:rsid w:val="73ED2599"/>
    <w:rsid w:val="74404DBF"/>
    <w:rsid w:val="74FF07D6"/>
    <w:rsid w:val="75447258"/>
    <w:rsid w:val="755523B3"/>
    <w:rsid w:val="759F5B15"/>
    <w:rsid w:val="76C018E8"/>
    <w:rsid w:val="7731279D"/>
    <w:rsid w:val="773C5B0B"/>
    <w:rsid w:val="77861F14"/>
    <w:rsid w:val="781225CE"/>
    <w:rsid w:val="781E71C5"/>
    <w:rsid w:val="78320EC2"/>
    <w:rsid w:val="78523057"/>
    <w:rsid w:val="78F547FB"/>
    <w:rsid w:val="799040F2"/>
    <w:rsid w:val="7A684727"/>
    <w:rsid w:val="7A6A1B57"/>
    <w:rsid w:val="7A8F43AA"/>
    <w:rsid w:val="7B0701F9"/>
    <w:rsid w:val="7BFE5904"/>
    <w:rsid w:val="7C014E34"/>
    <w:rsid w:val="7C5D74C1"/>
    <w:rsid w:val="7CDD764F"/>
    <w:rsid w:val="7CF778B7"/>
    <w:rsid w:val="7D380D29"/>
    <w:rsid w:val="7E152E18"/>
    <w:rsid w:val="7F9423D8"/>
    <w:rsid w:val="7FF03F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character" w:styleId="5">
    <w:name w:val="Strong"/>
    <w:basedOn w:val="4"/>
    <w:qFormat/>
    <w:uiPriority w:val="0"/>
    <w:rPr>
      <w:b/>
      <w:bCs/>
    </w:r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Words>6822</Words>
  <Characters>7809</Characters>
  <TotalTime>12</TotalTime>
  <ScaleCrop>false</ScaleCrop>
  <LinksUpToDate>false</LinksUpToDate>
  <CharactersWithSpaces>7819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2025-08-13T03:13:00Z</dcterms:created>
  <dc:creator>Administrator</dc:creator>
  <cp:lastModifiedBy>lenovo</cp:lastModifiedBy>
  <dcterms:modified xsi:type="dcterms:W3CDTF">2025-11-12T15:46:15Z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617E30C1E52A462398A179DDEB5F0842</vt:lpwstr>
  </property>
  <property fmtid="{D5CDD505-2E9C-101B-9397-08002B2CF9AE}" pid="4" name="KSOTemplateDocerSaveRecord">
    <vt:lpwstr>eyJoZGlkIjoiYWM5MDE2NGYwMGE1YjY5YWVjYTgwN2E3N2ViNDAyMWIifQ==</vt:lpwstr>
  </property>
</Properties>
</file>