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BF7F5">
      <w:pPr>
        <w:spacing w:line="540" w:lineRule="exact"/>
        <w:jc w:val="center"/>
        <w:rPr>
          <w:rFonts w:hint="default" w:ascii="Times New Roman" w:hAnsi="Times New Roman" w:eastAsia="华文中宋" w:cs="Times New Roman"/>
          <w:b/>
          <w:kern w:val="0"/>
          <w:sz w:val="52"/>
          <w:szCs w:val="52"/>
        </w:rPr>
      </w:pPr>
    </w:p>
    <w:p w14:paraId="622E1681">
      <w:pPr>
        <w:spacing w:line="540" w:lineRule="exact"/>
        <w:rPr>
          <w:rFonts w:hint="default" w:ascii="Times New Roman" w:hAnsi="Times New Roman" w:eastAsia="华文中宋" w:cs="Times New Roman"/>
          <w:b/>
          <w:kern w:val="0"/>
          <w:sz w:val="52"/>
          <w:szCs w:val="52"/>
        </w:rPr>
      </w:pPr>
    </w:p>
    <w:p w14:paraId="3172EE41">
      <w:pPr>
        <w:spacing w:line="540" w:lineRule="exact"/>
        <w:jc w:val="center"/>
        <w:rPr>
          <w:rFonts w:hint="default" w:ascii="Times New Roman" w:hAnsi="Times New Roman" w:eastAsia="华文中宋" w:cs="Times New Roman"/>
          <w:b/>
          <w:kern w:val="0"/>
          <w:sz w:val="52"/>
          <w:szCs w:val="52"/>
        </w:rPr>
      </w:pPr>
    </w:p>
    <w:p w14:paraId="1CF59725">
      <w:pPr>
        <w:spacing w:line="540" w:lineRule="exact"/>
        <w:jc w:val="center"/>
        <w:rPr>
          <w:rFonts w:hint="default" w:ascii="Times New Roman" w:hAnsi="Times New Roman" w:eastAsia="华文中宋" w:cs="Times New Roman"/>
          <w:b/>
          <w:kern w:val="0"/>
          <w:sz w:val="52"/>
          <w:szCs w:val="52"/>
        </w:rPr>
      </w:pPr>
    </w:p>
    <w:p w14:paraId="75418695">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部门专项-</w:t>
      </w:r>
      <w:bookmarkStart w:id="1" w:name="_GoBack"/>
      <w:r>
        <w:rPr>
          <w:rFonts w:hint="default" w:ascii="Times New Roman" w:hAnsi="Times New Roman" w:eastAsia="方正小标宋_GBK" w:cs="Times New Roman"/>
          <w:kern w:val="0"/>
          <w:sz w:val="48"/>
          <w:szCs w:val="48"/>
        </w:rPr>
        <w:t>十一届四次人代会经费项目支出绩效评价</w:t>
      </w:r>
    </w:p>
    <w:p w14:paraId="4B2EC1F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bookmarkEnd w:id="1"/>
    <w:p w14:paraId="53CD176B">
      <w:pPr>
        <w:spacing w:line="540" w:lineRule="exact"/>
        <w:jc w:val="center"/>
        <w:rPr>
          <w:rFonts w:hint="default" w:ascii="Times New Roman" w:hAnsi="Times New Roman" w:eastAsia="华文中宋" w:cs="Times New Roman"/>
          <w:b/>
          <w:kern w:val="0"/>
          <w:sz w:val="52"/>
          <w:szCs w:val="52"/>
        </w:rPr>
      </w:pPr>
    </w:p>
    <w:p w14:paraId="21DDFEAE">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2E58B3E">
      <w:pPr>
        <w:spacing w:line="540" w:lineRule="exact"/>
        <w:jc w:val="center"/>
        <w:rPr>
          <w:rFonts w:hint="default" w:ascii="Times New Roman" w:hAnsi="Times New Roman" w:eastAsia="仿宋_GB2312" w:cs="Times New Roman"/>
          <w:kern w:val="0"/>
          <w:sz w:val="30"/>
          <w:szCs w:val="30"/>
        </w:rPr>
      </w:pPr>
    </w:p>
    <w:p w14:paraId="73EABC39">
      <w:pPr>
        <w:spacing w:line="540" w:lineRule="exact"/>
        <w:jc w:val="center"/>
        <w:rPr>
          <w:rFonts w:hint="default" w:ascii="Times New Roman" w:hAnsi="Times New Roman" w:eastAsia="仿宋_GB2312" w:cs="Times New Roman"/>
          <w:kern w:val="0"/>
          <w:sz w:val="30"/>
          <w:szCs w:val="30"/>
        </w:rPr>
      </w:pPr>
    </w:p>
    <w:p w14:paraId="7A904176">
      <w:pPr>
        <w:spacing w:line="540" w:lineRule="exact"/>
        <w:jc w:val="center"/>
        <w:rPr>
          <w:rFonts w:hint="default" w:ascii="Times New Roman" w:hAnsi="Times New Roman" w:eastAsia="仿宋_GB2312" w:cs="Times New Roman"/>
          <w:kern w:val="0"/>
          <w:sz w:val="30"/>
          <w:szCs w:val="30"/>
        </w:rPr>
      </w:pPr>
    </w:p>
    <w:p w14:paraId="79FD3EC6">
      <w:pPr>
        <w:spacing w:line="540" w:lineRule="exact"/>
        <w:jc w:val="center"/>
        <w:rPr>
          <w:rFonts w:hint="default" w:ascii="Times New Roman" w:hAnsi="Times New Roman" w:eastAsia="仿宋_GB2312" w:cs="Times New Roman"/>
          <w:kern w:val="0"/>
          <w:sz w:val="30"/>
          <w:szCs w:val="30"/>
        </w:rPr>
      </w:pPr>
    </w:p>
    <w:p w14:paraId="14F345F6">
      <w:pPr>
        <w:pStyle w:val="11"/>
        <w:rPr>
          <w:rFonts w:hint="default" w:ascii="Times New Roman" w:hAnsi="Times New Roman" w:cs="Times New Roman"/>
        </w:rPr>
      </w:pPr>
    </w:p>
    <w:p w14:paraId="27ECA12B">
      <w:pPr>
        <w:spacing w:line="540" w:lineRule="exact"/>
        <w:jc w:val="center"/>
        <w:rPr>
          <w:rFonts w:hint="default" w:ascii="Times New Roman" w:hAnsi="Times New Roman" w:eastAsia="仿宋_GB2312" w:cs="Times New Roman"/>
          <w:kern w:val="0"/>
          <w:sz w:val="30"/>
          <w:szCs w:val="30"/>
        </w:rPr>
      </w:pPr>
    </w:p>
    <w:p w14:paraId="1DEAE2D5">
      <w:pPr>
        <w:spacing w:line="540" w:lineRule="exact"/>
        <w:rPr>
          <w:rFonts w:hint="default" w:ascii="Times New Roman" w:hAnsi="Times New Roman" w:eastAsia="仿宋_GB2312" w:cs="Times New Roman"/>
          <w:kern w:val="0"/>
          <w:sz w:val="30"/>
          <w:szCs w:val="30"/>
        </w:rPr>
      </w:pPr>
    </w:p>
    <w:p w14:paraId="125C58E8">
      <w:pPr>
        <w:spacing w:line="700" w:lineRule="exact"/>
        <w:ind w:firstLine="1080" w:firstLineChars="3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项目名称：部门专项-十一届四次人代会经费</w:t>
      </w:r>
    </w:p>
    <w:p w14:paraId="1E86D008">
      <w:pPr>
        <w:spacing w:line="700" w:lineRule="exact"/>
        <w:ind w:firstLine="1080" w:firstLineChars="3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实施单位（公章）：库尔勒市人大常委会办公室</w:t>
      </w:r>
    </w:p>
    <w:p w14:paraId="6EFF1BCE">
      <w:pPr>
        <w:spacing w:line="700" w:lineRule="exact"/>
        <w:ind w:firstLine="1080" w:firstLineChars="3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主管部门（公章）：库尔勒市人大常委会办公室</w:t>
      </w:r>
    </w:p>
    <w:p w14:paraId="7F8985A6">
      <w:pPr>
        <w:spacing w:line="700" w:lineRule="exact"/>
        <w:ind w:firstLine="1080" w:firstLineChars="3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韩玲艳</w:t>
      </w:r>
    </w:p>
    <w:p w14:paraId="27B8F6CE">
      <w:pPr>
        <w:spacing w:line="700" w:lineRule="exact"/>
        <w:ind w:firstLine="1080" w:firstLineChars="3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24</w:t>
      </w:r>
      <w:r>
        <w:rPr>
          <w:rFonts w:hint="default" w:ascii="Times New Roman" w:hAnsi="Times New Roman" w:eastAsia="仿宋_GB2312" w:cs="Times New Roman"/>
          <w:kern w:val="0"/>
          <w:sz w:val="36"/>
          <w:szCs w:val="36"/>
        </w:rPr>
        <w:t>日</w:t>
      </w:r>
    </w:p>
    <w:p w14:paraId="6DADCE26">
      <w:pPr>
        <w:spacing w:line="540" w:lineRule="exact"/>
        <w:jc w:val="center"/>
        <w:rPr>
          <w:rFonts w:hint="default" w:ascii="Times New Roman" w:hAnsi="Times New Roman" w:eastAsia="仿宋_GB2312" w:cs="Times New Roman"/>
          <w:kern w:val="0"/>
          <w:sz w:val="30"/>
          <w:szCs w:val="30"/>
        </w:rPr>
      </w:pPr>
    </w:p>
    <w:p w14:paraId="4C62072F">
      <w:pPr>
        <w:spacing w:line="540" w:lineRule="exact"/>
        <w:rPr>
          <w:rStyle w:val="17"/>
          <w:rFonts w:hint="default" w:ascii="Times New Roman" w:hAnsi="Times New Roman" w:eastAsia="黑体" w:cs="Times New Roman"/>
          <w:b w:val="0"/>
          <w:spacing w:val="-4"/>
          <w:sz w:val="32"/>
          <w:szCs w:val="32"/>
        </w:rPr>
      </w:pPr>
    </w:p>
    <w:p w14:paraId="07E2D22B">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47BAADA">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93B9D7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4C26C4B">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216785F">
      <w:pPr>
        <w:keepNext w:val="0"/>
        <w:keepLines w:val="0"/>
        <w:pageBreakBefore w:val="0"/>
        <w:widowControl/>
        <w:suppressLineNumbers w:val="0"/>
        <w:shd w:val="clear" w:fill="FFFFFF"/>
        <w:kinsoku/>
        <w:wordWrap/>
        <w:overflowPunct/>
        <w:topLinePunct w:val="0"/>
        <w:autoSpaceDE/>
        <w:autoSpaceDN/>
        <w:bidi w:val="0"/>
        <w:adjustRightInd w:val="0"/>
        <w:snapToGrid w:val="0"/>
        <w:spacing w:after="0" w:afterAutospacing="0" w:line="540" w:lineRule="exact"/>
        <w:ind w:left="0" w:firstLine="420"/>
        <w:jc w:val="left"/>
        <w:textAlignment w:val="auto"/>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根据《中华人民共和国全国人民代表大会和地方各级人民代表大会代表法》、《新疆维吾尔自治区人大代表活动经费管理使用办法》有关规定。代表应当按时出席本级人民代表大会会议。代表在出席本级人民代表大会会议前，应当听取人民群众的意见和建议，为会议期间执行代表职务做好准备。 代表参加大会全体会议、代表团全体会议、小组会议，审议列入会议议程的各项议案和报告。 代表可以被推选或者受邀请列席主席团会议、专门委员会会议，发表意见。 代表应当围绕会议议题发表意见，遵守议事规则。 代表有权依照法律规定的程序向本级人民代表大会提出属于本级人民代表大会职权范围内的议案。议案应当有案由、案据和方案。 代表依法提出的议案，由本级人民代表大会主席团决定是否列入会议议程，或者先交有关的专门委员会审议、提出是否列入会议议程的意见，再决定是否列入会议议程。 列入会议议程的议案，在交付大会表决前，提出议案的代表要求撤回的，经主席团同意，会议对该项议案的审议即行终止。代表的活动经费，应当列入本级财政预算予以保障，专款专用。为推动库尔勒市人大代表对“一府一委两院”的监督作用，实施该项目。</w:t>
      </w:r>
    </w:p>
    <w:p w14:paraId="6A47A4DA">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5314300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Times New Roman" w:hAnsi="Times New Roman" w:eastAsia="仿宋_GB2312" w:cs="Times New Roman"/>
          <w:b w:val="0"/>
          <w:bCs w:val="0"/>
          <w:kern w:val="2"/>
          <w:sz w:val="30"/>
          <w:szCs w:val="30"/>
          <w:highlight w:val="none"/>
          <w:lang w:val="en-US" w:eastAsia="zh-CN" w:bidi="ar-SA"/>
        </w:rPr>
        <w:t>市级人民代表大会开展一次关于23</w:t>
      </w:r>
      <w:r>
        <w:rPr>
          <w:rFonts w:hint="eastAsia" w:eastAsia="仿宋_GB2312" w:cs="Times New Roman"/>
          <w:b w:val="0"/>
          <w:bCs w:val="0"/>
          <w:kern w:val="2"/>
          <w:sz w:val="30"/>
          <w:szCs w:val="30"/>
          <w:highlight w:val="none"/>
          <w:lang w:val="en-US" w:eastAsia="zh-CN" w:bidi="ar-SA"/>
        </w:rPr>
        <w:t>6</w:t>
      </w:r>
      <w:r>
        <w:rPr>
          <w:rFonts w:hint="eastAsia" w:ascii="Times New Roman" w:hAnsi="Times New Roman" w:eastAsia="仿宋_GB2312" w:cs="Times New Roman"/>
          <w:b w:val="0"/>
          <w:bCs w:val="0"/>
          <w:kern w:val="2"/>
          <w:sz w:val="30"/>
          <w:szCs w:val="30"/>
          <w:highlight w:val="none"/>
          <w:lang w:val="en-US" w:eastAsia="zh-CN" w:bidi="ar-SA"/>
        </w:rPr>
        <w:t>名人大代表听取和审议库尔勒市人民政府工作报告；审议关于库尔勒市2023年国民经济和社会发展计划执行情况与2024年国民经济和社会发展计划草案的报告；审查批准库尔勒市2024年国民经济和社会发展计划。</w:t>
      </w:r>
    </w:p>
    <w:p w14:paraId="72A6577F">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b w:val="0"/>
          <w:bCs w:val="0"/>
          <w:kern w:val="2"/>
          <w:sz w:val="30"/>
          <w:szCs w:val="30"/>
          <w:highlight w:val="none"/>
          <w:lang w:val="en-US" w:eastAsia="zh-CN" w:bidi="ar-SA"/>
        </w:rPr>
        <w:t>完成市级人民代表大会开展一次关于235名人大代表听取和审议库尔勒市人民政府工作报告；审议关于库尔勒市2023年国民经济和社会发展计划执行情况与2024年国民经济和社会发展计划草案的报告；审查批准库尔勒市2024年国民经济和社会发展计划。 推动库尔勒市人大代表对“</w:t>
      </w:r>
      <w:r>
        <w:rPr>
          <w:rFonts w:hint="eastAsia" w:ascii="Times New Roman" w:hAnsi="Times New Roman" w:eastAsia="仿宋_GB2312" w:cs="Times New Roman"/>
          <w:b w:val="0"/>
          <w:bCs w:val="0"/>
          <w:kern w:val="2"/>
          <w:sz w:val="30"/>
          <w:szCs w:val="30"/>
          <w:highlight w:val="none"/>
          <w:lang w:val="en-US" w:eastAsia="zh-CN" w:bidi="ar-SA"/>
        </w:rPr>
        <w:t>一府一委两院</w:t>
      </w:r>
      <w:r>
        <w:rPr>
          <w:rFonts w:hint="default" w:ascii="Times New Roman" w:hAnsi="Times New Roman" w:eastAsia="仿宋_GB2312" w:cs="Times New Roman"/>
          <w:b w:val="0"/>
          <w:bCs w:val="0"/>
          <w:kern w:val="2"/>
          <w:sz w:val="30"/>
          <w:szCs w:val="30"/>
          <w:highlight w:val="none"/>
          <w:lang w:val="en-US" w:eastAsia="zh-CN" w:bidi="ar-SA"/>
        </w:rPr>
        <w:t>”的监督作用。</w:t>
      </w:r>
    </w:p>
    <w:p w14:paraId="2AA1CA26">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578EBE7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026938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财政拨款资金</w:t>
      </w:r>
      <w:r>
        <w:rPr>
          <w:rFonts w:hint="default" w:ascii="Times New Roman" w:hAnsi="Times New Roman" w:eastAsia="仿宋_GB2312" w:cs="Times New Roman"/>
          <w:sz w:val="32"/>
          <w:szCs w:val="32"/>
          <w:highlight w:val="none"/>
          <w:lang w:val="en-US" w:eastAsia="zh-CN"/>
        </w:rPr>
        <w:t>。</w:t>
      </w:r>
    </w:p>
    <w:p w14:paraId="485035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5423C0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十一届四次人代会会议</w:t>
      </w:r>
      <w:r>
        <w:rPr>
          <w:rFonts w:hint="eastAsia" w:eastAsia="仿宋_GB2312" w:cs="Times New Roman"/>
          <w:sz w:val="32"/>
          <w:szCs w:val="32"/>
          <w:highlight w:val="none"/>
          <w:lang w:val="en-US" w:eastAsia="zh-CN"/>
        </w:rPr>
        <w:t>食宿、耗材、印刷等</w:t>
      </w:r>
      <w:r>
        <w:rPr>
          <w:rFonts w:hint="eastAsia" w:ascii="Times New Roman" w:hAnsi="Times New Roman" w:eastAsia="仿宋_GB2312" w:cs="Times New Roman"/>
          <w:sz w:val="32"/>
          <w:szCs w:val="32"/>
          <w:highlight w:val="none"/>
          <w:lang w:val="en-US" w:eastAsia="zh-CN"/>
        </w:rPr>
        <w:t>费用</w:t>
      </w:r>
      <w:r>
        <w:rPr>
          <w:rFonts w:hint="eastAsia" w:eastAsia="仿宋_GB2312" w:cs="Times New Roman"/>
          <w:sz w:val="32"/>
          <w:szCs w:val="32"/>
          <w:highlight w:val="none"/>
          <w:lang w:val="en-US" w:eastAsia="zh-CN"/>
        </w:rPr>
        <w:t>20万元</w:t>
      </w:r>
      <w:r>
        <w:rPr>
          <w:rFonts w:hint="default" w:ascii="Times New Roman" w:hAnsi="Times New Roman" w:eastAsia="仿宋_GB2312" w:cs="Times New Roman"/>
          <w:sz w:val="32"/>
          <w:szCs w:val="32"/>
          <w:highlight w:val="none"/>
          <w:lang w:val="en-US" w:eastAsia="zh-CN"/>
        </w:rPr>
        <w:t>。</w:t>
      </w:r>
    </w:p>
    <w:p w14:paraId="47A7903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B2B800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2715D85C">
      <w:pPr>
        <w:spacing w:line="560" w:lineRule="exact"/>
        <w:ind w:firstLine="640" w:firstLineChars="200"/>
        <w:rPr>
          <w:rFonts w:hint="default" w:ascii="Times New Roman" w:hAnsi="Times New Roman" w:eastAsia="黑体" w:cs="Times New Roman"/>
          <w:b w:val="0"/>
          <w:bCs/>
          <w:lang w:eastAsia="zh-CN"/>
        </w:rPr>
      </w:pPr>
      <w:r>
        <w:rPr>
          <w:rFonts w:hint="default" w:ascii="Times New Roman" w:hAnsi="Times New Roman" w:eastAsia="仿宋_GB2312" w:cs="Times New Roman"/>
          <w:sz w:val="32"/>
          <w:szCs w:val="32"/>
          <w:highlight w:val="none"/>
          <w:lang w:val="en-US" w:eastAsia="zh-CN"/>
        </w:rPr>
        <w:t>目标1、市级人民代表大会开展一次关于236名人大代表听取和审议库尔勒市人民政府工作报告；审议关于库尔勒市2023年国民经济和社会发展计划执行情况与2024年国民经济和社会发展计划草案的报告；审查批准库尔勒市2024年国民经济和社会发展计划</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保障人代会天数3天</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目标2、推动库尔勒市人大代表对“</w:t>
      </w:r>
      <w:r>
        <w:rPr>
          <w:rFonts w:hint="eastAsia" w:ascii="Times New Roman" w:hAnsi="Times New Roman" w:eastAsia="仿宋_GB2312" w:cs="Times New Roman"/>
          <w:b w:val="0"/>
          <w:bCs w:val="0"/>
          <w:kern w:val="2"/>
          <w:sz w:val="30"/>
          <w:szCs w:val="30"/>
          <w:highlight w:val="none"/>
          <w:lang w:val="en-US" w:eastAsia="zh-CN" w:bidi="ar-SA"/>
        </w:rPr>
        <w:t>一府一委两院</w:t>
      </w:r>
      <w:r>
        <w:rPr>
          <w:rFonts w:hint="default" w:ascii="Times New Roman" w:hAnsi="Times New Roman" w:eastAsia="仿宋_GB2312" w:cs="Times New Roman"/>
          <w:sz w:val="32"/>
          <w:szCs w:val="32"/>
          <w:highlight w:val="none"/>
          <w:lang w:val="en-US" w:eastAsia="zh-CN"/>
        </w:rPr>
        <w:t>”的监督作用。</w:t>
      </w:r>
    </w:p>
    <w:p w14:paraId="47EFE614">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ACE24E2">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（一）会前准备阶段</w:t>
      </w:r>
    </w:p>
    <w:p w14:paraId="549D9A80">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1.调研与意见征集</w:t>
      </w:r>
    </w:p>
    <w:p w14:paraId="7EBA5316">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组织代表开展专题调研，形成高质量议案建议；梳理上年度人代会代表建议办理情况，明确本年重点督办事项。</w:t>
      </w:r>
    </w:p>
    <w:p w14:paraId="73654DF4">
      <w:pPr>
        <w:numPr>
          <w:ilvl w:val="0"/>
          <w:numId w:val="0"/>
        </w:num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2.报告完善</w:t>
      </w:r>
    </w:p>
    <w:p w14:paraId="1FD131C5">
      <w:pPr>
        <w:numPr>
          <w:ilvl w:val="0"/>
          <w:numId w:val="0"/>
        </w:numPr>
        <w:spacing w:line="560" w:lineRule="exact"/>
        <w:ind w:firstLine="64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各部门对照年度工作计划，总结阶段性成果和不足，提出改进措施。</w:t>
      </w:r>
    </w:p>
    <w:p w14:paraId="16F6E5E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会议召开阶段</w:t>
      </w:r>
    </w:p>
    <w:p w14:paraId="06CCFA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 xml:space="preserve"> 确保政府工作报告、预算报告、</w:t>
      </w:r>
      <w:r>
        <w:rPr>
          <w:rFonts w:hint="default" w:eastAsia="仿宋_GB2312" w:cs="Times New Roman"/>
          <w:sz w:val="32"/>
          <w:szCs w:val="32"/>
          <w:highlight w:val="none"/>
          <w:lang w:val="en-US" w:eastAsia="zh-CN"/>
        </w:rPr>
        <w:t>库尔勒市2023年国民经济和社会发展计划执行情况</w:t>
      </w:r>
      <w:r>
        <w:rPr>
          <w:rFonts w:hint="default" w:ascii="Times New Roman" w:hAnsi="Times New Roman" w:eastAsia="仿宋_GB2312" w:cs="Times New Roman"/>
          <w:sz w:val="32"/>
          <w:szCs w:val="32"/>
          <w:highlight w:val="none"/>
          <w:lang w:val="en-US" w:eastAsia="zh-CN"/>
        </w:rPr>
        <w:t>与2024年国民经济和社会发展计划草案的报告</w:t>
      </w:r>
      <w:r>
        <w:rPr>
          <w:rFonts w:hint="eastAsia" w:eastAsia="仿宋_GB2312" w:cs="Times New Roman"/>
          <w:sz w:val="32"/>
          <w:szCs w:val="32"/>
          <w:highlight w:val="none"/>
          <w:lang w:val="en-US" w:eastAsia="zh-CN"/>
        </w:rPr>
        <w:t>等审议通过，形成决议。</w:t>
      </w:r>
    </w:p>
    <w:p w14:paraId="20BC9DA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会后落实阶段</w:t>
      </w:r>
    </w:p>
    <w:p w14:paraId="29B5C6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建立重点任务台账，定期开展专项督查；每季度听取政府部门关于人代会决议落实情况的汇报。</w:t>
      </w:r>
    </w:p>
    <w:p w14:paraId="408BDC6D">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525682C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3B2536D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000000" w:themeColor="text1"/>
          <w:highlight w:val="none"/>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highlight w:val="none"/>
          <w:lang w:val="en-US" w:eastAsia="zh-CN"/>
          <w14:textFill>
            <w14:solidFill>
              <w14:schemeClr w14:val="tx1"/>
            </w14:solidFill>
          </w14:textFill>
        </w:rPr>
        <w:t>1.绩效评价完整性</w:t>
      </w:r>
    </w:p>
    <w:p w14:paraId="4C167E93">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DAE7399">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3E9CC25C">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EDD40A8">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4029294">
      <w:pPr>
        <w:spacing w:line="560" w:lineRule="exact"/>
        <w:ind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7B3515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E7EF0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4F920D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通过对项目预算执行情况及各项绩效目标达成程度的系统性分析，全面、客观地评估项目在预定周期内的实施效果，包括社会效益，为项目后续的改进与优化提供科学依据。</w:t>
      </w:r>
    </w:p>
    <w:p w14:paraId="1D73F4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9E54F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4BAA0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11B3E8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94619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2B064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D0634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61F309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DD7B7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21BAE7F">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15558FEA">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部门专项-十一届四次人代会经费及其预算执行情况。该项目由库尔勒市人大常委会办公室负责实施，旨在听取和审议库尔勒市人民政府工作报告；审议关于库尔勒市2023年国民经济和社会发展计划执行情况与2024年国民经济和社会发展计划草案的报告；审查批准库尔勒市2024年国民经济和社会发展计划。推动库尔勒市人大代表对“一府两院”的监督作用。项目预算涵盖从</w:t>
      </w:r>
      <w:r>
        <w:rPr>
          <w:rFonts w:hint="eastAsia" w:ascii="Times New Roman" w:hAnsi="Times New Roman" w:eastAsia="仿宋_GB2312" w:cs="Times New Roman"/>
          <w:b w:val="0"/>
          <w:bCs w:val="0"/>
          <w:highlight w:val="none"/>
          <w:lang w:val="en-US" w:eastAsia="zh-CN"/>
        </w:rPr>
        <w:t>2024.1.1</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2024.12.31</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5340664">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7424FA98">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0BEB8F89">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FE59E84">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15E9F0F1">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EBC97DC">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社会影响：考察项目对库尔勒市人大代表对“一府两院”监督</w:t>
      </w:r>
      <w:r>
        <w:rPr>
          <w:rFonts w:hint="eastAsia"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方面的综合影响。</w:t>
      </w:r>
    </w:p>
    <w:p w14:paraId="7003C034">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17E0F3A8">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039817B">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4EDE595">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320D161A">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7E06157">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3D9EF475">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4508A996">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3CBD8B6C">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E11F91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A1ECE5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83E3FA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4B309EFE">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3959A9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28055C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0858593B">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0E4191E">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64F18D7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08CEBE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532568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B2D27E7">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本次评价采用</w:t>
      </w:r>
      <w:r>
        <w:rPr>
          <w:rFonts w:hint="default"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val="en-US" w:eastAsia="zh-CN"/>
        </w:rPr>
        <w:t>原因</w:t>
      </w:r>
      <w:r>
        <w:rPr>
          <w:rFonts w:hint="default" w:ascii="Times New Roman" w:hAnsi="Times New Roman" w:eastAsia="仿宋_GB2312" w:cs="Times New Roman"/>
          <w:color w:val="000000"/>
          <w:spacing w:val="17"/>
          <w:sz w:val="32"/>
          <w:szCs w:val="32"/>
          <w:highlight w:val="none"/>
        </w:rPr>
        <w:t>是将实施情况与绩效目标、历史情况、不同部门和地区同类支出情况进行比较。</w:t>
      </w:r>
      <w:r>
        <w:rPr>
          <w:rFonts w:hint="eastAsia" w:eastAsia="仿宋_GB2312" w:cs="Times New Roman"/>
          <w:color w:val="000000"/>
          <w:spacing w:val="17"/>
          <w:sz w:val="32"/>
          <w:szCs w:val="32"/>
          <w:highlight w:val="none"/>
          <w:lang w:val="en-US" w:eastAsia="zh-CN"/>
        </w:rPr>
        <w:t>通过数据比较，对绩效目标与实际产出效果、历史与当期情况的比较，对项目的实际绩效与预期目标实现程度等进行分析，重点关注资金的增减变化。一是目标与产出的对比，分析各项指标的实现程度及偏离情况；二是对资金支出情况与历史数据进行对比，对资金资源配置、资金使用、绩效实现情况进行综合分析。</w:t>
      </w:r>
    </w:p>
    <w:p w14:paraId="352995D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76A9FD8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历史标准</w:t>
      </w:r>
      <w:r>
        <w:rPr>
          <w:rFonts w:hint="default" w:ascii="Times New Roman" w:hAnsi="Times New Roman" w:eastAsia="仿宋_GB2312" w:cs="Times New Roman"/>
          <w:b w:val="0"/>
          <w:bCs w:val="0"/>
        </w:rPr>
        <w:t>。</w:t>
      </w:r>
      <w:r>
        <w:rPr>
          <w:rFonts w:hint="eastAsia" w:ascii="Times New Roman" w:hAnsi="Times New Roman" w:eastAsia="仿宋_GB2312" w:cs="Times New Roman"/>
          <w:b w:val="0"/>
          <w:bCs w:val="0"/>
          <w:lang w:val="en-US" w:eastAsia="zh-CN"/>
        </w:rPr>
        <w:t>原因：一是</w:t>
      </w:r>
      <w:r>
        <w:rPr>
          <w:rFonts w:hint="default" w:ascii="Times New Roman" w:hAnsi="Times New Roman" w:eastAsia="仿宋_GB2312" w:cs="Times New Roman"/>
          <w:b w:val="0"/>
          <w:bCs w:val="0"/>
        </w:rPr>
        <w:t>以预先制定的目标、计划、预算、定额等作为评价标准。</w:t>
      </w:r>
      <w:r>
        <w:rPr>
          <w:rFonts w:hint="eastAsia" w:ascii="Times New Roman" w:hAnsi="Times New Roman" w:eastAsia="仿宋_GB2312" w:cs="Times New Roman"/>
          <w:b w:val="0"/>
          <w:bCs w:val="0"/>
          <w:lang w:val="en-US" w:eastAsia="zh-CN"/>
        </w:rPr>
        <w:t>通过将实际完成值与预期定值进行对比，可以评估绩效目标的实现情况。计划标准旨在确保评价工作有一个明确的基准，以便准确衡量绩效达成情况。</w:t>
      </w:r>
    </w:p>
    <w:p w14:paraId="023AEFA4">
      <w:pPr>
        <w:pStyle w:val="11"/>
        <w:widowControl w:val="0"/>
        <w:spacing w:before="0" w:after="0" w:line="560" w:lineRule="exact"/>
        <w:jc w:val="both"/>
        <w:outlineLvl w:val="9"/>
        <w:rPr>
          <w:rFonts w:hint="default" w:ascii="Times New Roman" w:hAnsi="Times New Roman" w:eastAsia="仿宋_GB2312" w:cs="Times New Roman"/>
          <w:b w:val="0"/>
          <w:bCs w:val="0"/>
          <w:lang w:val="en-US" w:eastAsia="zh-CN"/>
        </w:rPr>
      </w:pPr>
      <w:r>
        <w:rPr>
          <w:rFonts w:hint="eastAsia" w:ascii="Times New Roman" w:hAnsi="Times New Roman" w:eastAsia="仿宋_GB2312" w:cs="Times New Roman"/>
          <w:b w:val="0"/>
          <w:bCs w:val="0"/>
          <w:lang w:val="en-US" w:eastAsia="zh-CN"/>
        </w:rPr>
        <w:t>二是通过历史标准进行评价时，需要考虑统计口径或者核算方法，对历史标准进行修订和完善，有助于了解绩效指标的历史表现，为当前评价提供参考。</w:t>
      </w:r>
    </w:p>
    <w:p w14:paraId="753C4B10">
      <w:pPr>
        <w:pStyle w:val="11"/>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175E79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B24A6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rPr>
        <w:t>、项目管理专业人员组成，确保从多角度、全方位对项目绩效进行评价。同时，明确了评价工作的目标、范围、重点及时间安排，制定了详细的工作计划，为评价工作的顺利开展奠定了坚实基础。</w:t>
      </w:r>
    </w:p>
    <w:p w14:paraId="06ADA5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15CF5D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5B6AD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180AC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E5A6C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09197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65197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00102B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5227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021339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78036FD">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00F6664E">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063F0B3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本项目的综合评价基于对项目各方面绩效的深入分析与评估。从项目目标的达成情况来看，部门专项-十一届四次人代会经费在听取和审议库尔勒市人民政府工作报告；审议关于库尔勒市2023年国民经济和社会发展计划执行情况与2024年国民经济和社会发展计划草案的报告；审查批准库尔勒市2024年国民经济和社会发展计划。推动库尔勒市人大代表对“一府两院”的监督作用等方面表现出色，达到了预期的标准与要求。同时，项目也在</w:t>
      </w:r>
      <w:r>
        <w:rPr>
          <w:rFonts w:hint="eastAsia" w:eastAsia="仿宋_GB2312" w:cs="Times New Roman"/>
          <w:sz w:val="32"/>
          <w:szCs w:val="32"/>
          <w:highlight w:val="none"/>
          <w:lang w:val="en-US" w:eastAsia="zh-CN"/>
        </w:rPr>
        <w:t>社会效益方面</w:t>
      </w:r>
      <w:r>
        <w:rPr>
          <w:rFonts w:hint="default" w:ascii="Times New Roman" w:hAnsi="Times New Roman" w:eastAsia="仿宋_GB2312" w:cs="Times New Roman"/>
          <w:sz w:val="32"/>
          <w:szCs w:val="32"/>
          <w:highlight w:val="none"/>
          <w:lang w:eastAsia="zh-CN"/>
        </w:rPr>
        <w:t>取得了显著的成效，如</w:t>
      </w:r>
      <w:r>
        <w:rPr>
          <w:rFonts w:hint="eastAsia" w:ascii="Times New Roman" w:hAnsi="Times New Roman" w:eastAsia="仿宋_GB2312" w:cs="Times New Roman"/>
          <w:sz w:val="32"/>
          <w:szCs w:val="32"/>
          <w:highlight w:val="none"/>
          <w:lang w:val="zh-CN" w:eastAsia="zh-CN"/>
        </w:rPr>
        <w:t>聚焦宪法法律法规有效实施和“一</w:t>
      </w:r>
      <w:r>
        <w:rPr>
          <w:rFonts w:hint="default" w:ascii="Times New Roman" w:hAnsi="Times New Roman" w:eastAsia="仿宋_GB2312" w:cs="Times New Roman"/>
          <w:sz w:val="32"/>
          <w:szCs w:val="32"/>
          <w:highlight w:val="none"/>
          <w:lang w:val="zh-CN" w:eastAsia="zh-CN"/>
        </w:rPr>
        <w:t>府一委两院”依法履职，</w:t>
      </w:r>
      <w:r>
        <w:rPr>
          <w:rFonts w:hint="eastAsia" w:ascii="Times New Roman" w:hAnsi="Times New Roman" w:eastAsia="仿宋_GB2312" w:cs="Times New Roman"/>
          <w:sz w:val="32"/>
          <w:szCs w:val="32"/>
          <w:highlight w:val="none"/>
          <w:lang w:val="en-US" w:eastAsia="zh-CN"/>
        </w:rPr>
        <w:t>提升群众对政府、司法工作的认可度，促进依法行政和司法公正，降低信访投诉率，增强社会稳定性。</w:t>
      </w:r>
    </w:p>
    <w:p w14:paraId="6E54A41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在项目管理方面，库尔勒市人大常委会办公室通过有效的规划、组织与协调，项目得以顺利实施，并在预算与时间上保持了良好的控制。</w:t>
      </w:r>
    </w:p>
    <w:p w14:paraId="025A23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从项目效益的角度来看，本项目</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实现了预期的社会效益方面产生了积极的影响。具体而言，</w:t>
      </w:r>
      <w:r>
        <w:rPr>
          <w:rFonts w:hint="eastAsia" w:ascii="Times New Roman" w:hAnsi="Times New Roman" w:eastAsia="仿宋_GB2312" w:cs="Times New Roman"/>
          <w:kern w:val="0"/>
          <w:sz w:val="32"/>
          <w:szCs w:val="32"/>
          <w:highlight w:val="none"/>
          <w:lang w:val="en-US" w:eastAsia="zh-CN" w:bidi="ar"/>
        </w:rPr>
        <w:t>增强法律监督实效性。运用好规范性文件备案审查信息平台，持续加强对“一府一委两院”规范性文件备案审查工作。听取2023年度规范性文件备案审查工作情况汇报，推进“有件必备”、加强“有备必审”，依法对市人民政府报备的4件规范性文件进行备案审查，及时提出审查意见，推动备案工作进一步规范、审查质量进一步提高、衔接联动机制作用进一步发挥。</w:t>
      </w:r>
    </w:p>
    <w:p w14:paraId="5E5D118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综上所述，部门专项-十一届四次人代会经费在绩效评价中表现出色，达到了项目的预期目标，并在多个方面取得了显著的成效。</w:t>
      </w:r>
    </w:p>
    <w:p w14:paraId="5D2BB803">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452CC3B7">
      <w:pPr>
        <w:pStyle w:val="11"/>
        <w:keepNext w:val="0"/>
        <w:keepLines w:val="0"/>
        <w:pageBreakBefore w:val="0"/>
        <w:widowControl/>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99.98</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39.98</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99.95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23E62FE9">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73FFBAA6">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37AF6B3">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A4C18F7">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11036B3">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14:paraId="7409A12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69A7002">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rPr>
            </w:pPr>
            <w:r>
              <w:rPr>
                <w:rFonts w:hint="default" w:ascii="Times New Roman" w:hAnsi="Times New Roman" w:eastAsia="仿宋_GB2312" w:cs="Times New Roman"/>
                <w:b w:val="0"/>
                <w:bCs w:val="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705059C2">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default" w:ascii="Times New Roman" w:hAnsi="Times New Roman" w:eastAsia="仿宋_GB2312" w:cs="Times New Roman"/>
                <w:b w:val="0"/>
                <w:bCs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457ECB0">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w:t>
            </w:r>
          </w:p>
        </w:tc>
      </w:tr>
      <w:tr w14:paraId="2CBABFE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71483AA">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rPr>
            </w:pPr>
            <w:r>
              <w:rPr>
                <w:rFonts w:hint="default" w:ascii="Times New Roman" w:hAnsi="Times New Roman" w:eastAsia="仿宋_GB2312" w:cs="Times New Roman"/>
                <w:b w:val="0"/>
                <w:bCs w:val="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45C91209">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default" w:ascii="Times New Roman" w:hAnsi="Times New Roman" w:eastAsia="仿宋_GB2312" w:cs="Times New Roman"/>
                <w:b w:val="0"/>
                <w:bCs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FA43F45">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w:t>
            </w:r>
          </w:p>
        </w:tc>
      </w:tr>
      <w:tr w14:paraId="43FAD80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F9A09A9">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rPr>
            </w:pPr>
            <w:r>
              <w:rPr>
                <w:rFonts w:hint="default" w:ascii="Times New Roman" w:hAnsi="Times New Roman" w:eastAsia="仿宋_GB2312" w:cs="Times New Roman"/>
                <w:b w:val="0"/>
                <w:bCs w:val="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723621B7">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default" w:ascii="Times New Roman" w:hAnsi="Times New Roman" w:eastAsia="仿宋_GB2312" w:cs="Times New Roman"/>
                <w:b w:val="0"/>
                <w:bCs w:val="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818DF21">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39.98</w:t>
            </w:r>
          </w:p>
        </w:tc>
      </w:tr>
      <w:tr w14:paraId="76CE8F2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854D00">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rPr>
            </w:pPr>
            <w:r>
              <w:rPr>
                <w:rFonts w:hint="default" w:ascii="Times New Roman" w:hAnsi="Times New Roman" w:eastAsia="仿宋_GB2312" w:cs="Times New Roman"/>
                <w:b w:val="0"/>
                <w:bCs w:val="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7D23ABB8">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default" w:ascii="Times New Roman" w:hAnsi="Times New Roman" w:eastAsia="仿宋_GB2312" w:cs="Times New Roman"/>
                <w:b w:val="0"/>
                <w:bCs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7FE2C15">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b w:val="0"/>
                <w:bCs w:val="0"/>
                <w:sz w:val="21"/>
                <w:szCs w:val="21"/>
                <w:lang w:val="en-US" w:eastAsia="zh-CN"/>
              </w:rPr>
            </w:pPr>
            <w:r>
              <w:rPr>
                <w:rFonts w:hint="eastAsia" w:ascii="Times New Roman" w:hAnsi="Times New Roman" w:eastAsia="仿宋_GB2312" w:cs="Times New Roman"/>
                <w:b w:val="0"/>
                <w:bCs w:val="0"/>
                <w:sz w:val="21"/>
                <w:szCs w:val="21"/>
                <w:lang w:val="en-US" w:eastAsia="zh-CN"/>
              </w:rPr>
              <w:t>20</w:t>
            </w:r>
          </w:p>
        </w:tc>
      </w:tr>
      <w:tr w14:paraId="571907A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6B53A96">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22F388DD">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6EFF675">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99.98</w:t>
            </w:r>
          </w:p>
        </w:tc>
      </w:tr>
    </w:tbl>
    <w:p w14:paraId="768644A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14BC4F6B">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1982424">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7AFBA76">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43221D4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432AADE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中华人民共和国全国人民代表大会和地方各级人民代表大会代表法</w:t>
      </w:r>
      <w:r>
        <w:rPr>
          <w:rFonts w:hint="eastAsia" w:eastAsia="仿宋_GB2312" w:cs="Times New Roman"/>
          <w:sz w:val="32"/>
          <w:szCs w:val="32"/>
          <w:lang w:val="en-US" w:eastAsia="zh-CN"/>
        </w:rPr>
        <w:t>》、《新疆维吾尔自治区人大代表活动经费管理使用办法》</w:t>
      </w:r>
      <w:r>
        <w:rPr>
          <w:rFonts w:hint="default" w:ascii="Times New Roman" w:hAnsi="Times New Roman" w:eastAsia="仿宋_GB2312" w:cs="Times New Roman"/>
          <w:sz w:val="32"/>
          <w:szCs w:val="32"/>
          <w:lang w:val="en-US" w:eastAsia="zh-CN"/>
        </w:rPr>
        <w:t>，符合行业规划要求，围绕本年度</w:t>
      </w:r>
      <w:r>
        <w:rPr>
          <w:rFonts w:hint="default" w:ascii="Times New Roman" w:hAnsi="Times New Roman" w:eastAsia="仿宋_GB2312" w:cs="Times New Roman"/>
          <w:b w:val="0"/>
          <w:bCs w:val="0"/>
          <w:kern w:val="2"/>
          <w:sz w:val="30"/>
          <w:szCs w:val="30"/>
          <w:highlight w:val="none"/>
          <w:lang w:val="en-US" w:eastAsia="zh-CN" w:bidi="ar-SA"/>
        </w:rPr>
        <w:t>听取和审议库尔勒市人民政府工作报告；审议关于库尔勒市2023年国民经济和社会发展计划执行情况与2024年国民经济和社会发展计划草案的报告；审查批准库尔勒市2024年国民经济和社会发展计划</w:t>
      </w:r>
      <w:r>
        <w:rPr>
          <w:rFonts w:hint="eastAsia" w:ascii="Times New Roman" w:hAnsi="Times New Roman" w:eastAsia="仿宋_GB2312" w:cs="Times New Roman"/>
          <w:b w:val="0"/>
          <w:bCs w:val="0"/>
          <w:kern w:val="2"/>
          <w:sz w:val="30"/>
          <w:szCs w:val="30"/>
          <w:highlight w:val="none"/>
          <w:lang w:val="en-US" w:eastAsia="zh-CN" w:bidi="ar-SA"/>
        </w:rPr>
        <w:t>等工作</w:t>
      </w:r>
      <w:r>
        <w:rPr>
          <w:rFonts w:hint="default" w:ascii="Times New Roman" w:hAnsi="Times New Roman" w:eastAsia="仿宋_GB2312" w:cs="Times New Roman"/>
          <w:sz w:val="32"/>
          <w:szCs w:val="32"/>
          <w:lang w:val="en-US" w:eastAsia="zh-CN"/>
        </w:rPr>
        <w:t>制定经费预算，属于公共财政支持范围。本项目与部门内部其他相关项目不重复。部门发展规划及职能文件等归档完整。</w:t>
      </w:r>
    </w:p>
    <w:p w14:paraId="0BAD95E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14:paraId="1525C22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330E41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14:paraId="070ED4B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14:paraId="31E6EC43">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0BE43B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52508F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C826AE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14:paraId="7FDD12B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1335A06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1B26EB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14:paraId="10F8E3DF">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5E3A2F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ECB6F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EBE957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07359F4">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211E25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45604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0E00F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9089F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3417A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4028BED7">
      <w:pPr>
        <w:pStyle w:val="11"/>
        <w:numPr>
          <w:ilvl w:val="0"/>
          <w:numId w:val="5"/>
        </w:numPr>
        <w:spacing w:before="0" w:after="0" w:line="560" w:lineRule="exact"/>
        <w:ind w:left="-13" w:leftChars="0" w:firstLine="643" w:firstLineChars="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66D0680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7586D7B">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0BCE23D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77C0499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预算资金按计划进度执行。</w:t>
      </w:r>
    </w:p>
    <w:p w14:paraId="110AE0D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14:paraId="42F96FA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670F3D8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w:t>
      </w:r>
    </w:p>
    <w:p w14:paraId="29DA487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14:paraId="1D439DE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EF1E8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lang w:val="en-US" w:eastAsia="zh-CN"/>
        </w:rPr>
        <w:t>《巴音郭楞蒙古自治州本级会议费管理暂行办法》</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w:t>
      </w:r>
      <w:r>
        <w:rPr>
          <w:rFonts w:hint="eastAsia" w:eastAsia="仿宋_GB2312" w:cs="Times New Roman"/>
          <w:sz w:val="32"/>
          <w:szCs w:val="32"/>
          <w:highlight w:val="none"/>
          <w:lang w:eastAsia="zh-CN"/>
        </w:rPr>
        <w:t>：</w:t>
      </w:r>
    </w:p>
    <w:p w14:paraId="7AC6D4CB">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制度健全</w:t>
      </w:r>
    </w:p>
    <w:p w14:paraId="0ECEA59F">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内控制度全覆盖</w:t>
      </w:r>
    </w:p>
    <w:p w14:paraId="3A5793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制定《部门财务管理办法》明确审批权限、流程和标准；建立“岗位分离”机制（如会计与出纳分设、审批与执行分离）。</w:t>
      </w:r>
    </w:p>
    <w:p w14:paraId="3B8C2057">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风险防控机制</w:t>
      </w:r>
    </w:p>
    <w:p w14:paraId="5DAE04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定期开展资金风险排查；对重大项目资金实施全过程跟踪审计。</w:t>
      </w:r>
    </w:p>
    <w:p w14:paraId="549FD948">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流程规范</w:t>
      </w:r>
    </w:p>
    <w:p w14:paraId="3C4AAFA7">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Chars="200" w:firstLine="320" w:firstLineChars="1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预算编制科学化</w:t>
      </w:r>
    </w:p>
    <w:p w14:paraId="782F456A">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Chars="200" w:firstLine="320" w:firstLineChars="1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支付管理电子化</w:t>
      </w:r>
    </w:p>
    <w:p w14:paraId="58E10E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（三）监督强化</w:t>
      </w:r>
    </w:p>
    <w:p w14:paraId="31B23C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接受人大预算联网监督系统动态监控；配合纪委、审计部门开展专项资金专项检查。</w:t>
      </w:r>
    </w:p>
    <w:p w14:paraId="051DDA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DCF3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E11F8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187E5007">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02FA7A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B03A1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我单位已制定专项业务管理制度</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业务制度合法、合规、完整。</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34F30A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1ADE9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8EF1063">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FE13CFB">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14:paraId="3D93CD2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27799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4A0B2F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547D1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091960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14:paraId="0A8A2035">
      <w:pPr>
        <w:pStyle w:val="13"/>
        <w:numPr>
          <w:ilvl w:val="0"/>
          <w:numId w:val="5"/>
        </w:numPr>
        <w:spacing w:line="560" w:lineRule="exact"/>
        <w:ind w:left="-13" w:leftChars="0" w:firstLine="643" w:firstLineChars="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55BD28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39.98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03B8708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D03D00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指标1：保障市级人大代表人数，指标值：</w:t>
      </w:r>
      <w:r>
        <w:rPr>
          <w:rFonts w:hint="eastAsia" w:eastAsia="仿宋_GB2312" w:cs="Times New Roman"/>
          <w:sz w:val="32"/>
          <w:szCs w:val="32"/>
          <w:highlight w:val="none"/>
          <w:lang w:val="en-US" w:eastAsia="zh-CN"/>
        </w:rPr>
        <w:t>≤236人</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235人</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99.58</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w:t>
      </w:r>
      <w:r>
        <w:rPr>
          <w:rFonts w:hint="default" w:ascii="Times New Roman" w:hAnsi="Times New Roman" w:eastAsia="仿宋_GB2312" w:cs="Times New Roman"/>
          <w:kern w:val="2"/>
          <w:sz w:val="32"/>
          <w:szCs w:val="32"/>
          <w:highlight w:val="none"/>
          <w:lang w:val="en-US" w:eastAsia="zh-CN" w:bidi="ar-SA"/>
        </w:rPr>
        <w:t>补选自治州人大代表7名，接受6名市级人大代表辞去代表职务，本年人大代表人数235人。</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后期加强沟通，提高指标</w:t>
      </w:r>
      <w:r>
        <w:rPr>
          <w:rFonts w:hint="eastAsia" w:eastAsia="仿宋_GB2312" w:cs="Times New Roman"/>
          <w:kern w:val="2"/>
          <w:sz w:val="32"/>
          <w:szCs w:val="32"/>
          <w:highlight w:val="none"/>
          <w:lang w:val="en-US" w:eastAsia="zh-CN" w:bidi="ar-SA"/>
        </w:rPr>
        <w:t>设置</w:t>
      </w:r>
      <w:r>
        <w:rPr>
          <w:rFonts w:hint="eastAsia" w:ascii="Times New Roman" w:hAnsi="Times New Roman" w:eastAsia="仿宋_GB2312" w:cs="Times New Roman"/>
          <w:kern w:val="2"/>
          <w:sz w:val="32"/>
          <w:szCs w:val="32"/>
          <w:highlight w:val="none"/>
          <w:lang w:val="en-US" w:eastAsia="zh-CN" w:bidi="ar-SA"/>
        </w:rPr>
        <w:t>准确度</w:t>
      </w:r>
      <w:r>
        <w:rPr>
          <w:rFonts w:hint="default" w:ascii="Times New Roman" w:hAnsi="Times New Roman" w:eastAsia="仿宋_GB2312" w:cs="Times New Roman"/>
          <w:kern w:val="2"/>
          <w:sz w:val="32"/>
          <w:szCs w:val="32"/>
          <w:highlight w:val="none"/>
          <w:lang w:val="en-US" w:eastAsia="zh-CN" w:bidi="ar-SA"/>
        </w:rPr>
        <w:t>。</w:t>
      </w:r>
    </w:p>
    <w:p w14:paraId="410E4D86">
      <w:pPr>
        <w:pStyle w:val="2"/>
        <w:ind w:firstLine="640" w:firstLineChars="200"/>
        <w:jc w:val="left"/>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：保障人代会天数</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3天</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3天</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1CE11673">
      <w:pPr>
        <w:ind w:firstLine="640" w:firstLineChars="200"/>
        <w:rPr>
          <w:rFonts w:hint="eastAsia"/>
          <w:lang w:val="en-US" w:eastAsia="zh-CN"/>
        </w:rPr>
      </w:pPr>
      <w:r>
        <w:rPr>
          <w:rFonts w:hint="eastAsia" w:eastAsia="仿宋_GB2312" w:cs="Times New Roman"/>
          <w:sz w:val="32"/>
          <w:szCs w:val="32"/>
          <w:lang w:val="en-US" w:eastAsia="zh-CN"/>
        </w:rPr>
        <w:t>此项权重分值为10分，得分为9.98分。</w:t>
      </w:r>
    </w:p>
    <w:p w14:paraId="730E20C7">
      <w:pPr>
        <w:pStyle w:val="2"/>
        <w:ind w:firstLine="640" w:firstLineChars="200"/>
        <w:jc w:val="left"/>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质量指标：市人大代表参会完成率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0FA1F617">
      <w:pPr>
        <w:ind w:firstLine="640" w:firstLineChars="200"/>
        <w:rPr>
          <w:rFonts w:hint="default"/>
        </w:rPr>
      </w:pPr>
      <w:r>
        <w:rPr>
          <w:rFonts w:hint="eastAsia" w:eastAsia="仿宋_GB2312" w:cs="Times New Roman"/>
          <w:sz w:val="32"/>
          <w:szCs w:val="32"/>
          <w:lang w:val="en-US" w:eastAsia="zh-CN"/>
        </w:rPr>
        <w:t>此项权重分值为10分，得分为10分。</w:t>
      </w:r>
    </w:p>
    <w:p w14:paraId="5BC286AD">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时效指标：会议项目完成及时率</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5477964C">
      <w:pPr>
        <w:ind w:firstLine="640" w:firstLineChars="200"/>
        <w:rPr>
          <w:rFonts w:hint="default"/>
        </w:rPr>
      </w:pPr>
      <w:r>
        <w:rPr>
          <w:rFonts w:hint="eastAsia" w:eastAsia="仿宋_GB2312" w:cs="Times New Roman"/>
          <w:sz w:val="32"/>
          <w:szCs w:val="32"/>
          <w:lang w:val="en-US" w:eastAsia="zh-CN"/>
        </w:rPr>
        <w:t>此项权重分值为10分，得分为10分。</w:t>
      </w:r>
    </w:p>
    <w:p w14:paraId="582BE6B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26BA096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指标1：会议召开餐费成本</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10万元</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2A75836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会议召开住宿成本</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10万元</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55AAD45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14:paraId="380F3EE9">
      <w:pPr>
        <w:pStyle w:val="13"/>
        <w:numPr>
          <w:ilvl w:val="0"/>
          <w:numId w:val="5"/>
        </w:numPr>
        <w:spacing w:line="560" w:lineRule="exact"/>
        <w:ind w:left="-13" w:leftChars="0" w:firstLine="643" w:firstLineChars="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456709B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486EAD40">
      <w:pPr>
        <w:numPr>
          <w:ilvl w:val="0"/>
          <w:numId w:val="9"/>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037E0908">
      <w:pPr>
        <w:numPr>
          <w:ilvl w:val="0"/>
          <w:numId w:val="0"/>
        </w:num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社会效益指标：推动库尔勒市人大代表对“一府一委两院”的监督作用</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69A48762">
      <w:pPr>
        <w:ind w:firstLine="640" w:firstLineChars="200"/>
        <w:rPr>
          <w:rFonts w:hint="eastAsia"/>
          <w:lang w:val="en-US" w:eastAsia="zh-CN"/>
        </w:rPr>
      </w:pPr>
      <w:r>
        <w:rPr>
          <w:rFonts w:hint="eastAsia" w:eastAsia="仿宋_GB2312" w:cs="Times New Roman"/>
          <w:sz w:val="32"/>
          <w:szCs w:val="32"/>
          <w:lang w:val="en-US" w:eastAsia="zh-CN"/>
        </w:rPr>
        <w:t>此项权重分值为10分，得分为10分。</w:t>
      </w:r>
    </w:p>
    <w:p w14:paraId="2E01FB93">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139BCE2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人大代表满意度</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p>
    <w:p w14:paraId="1F40EE1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14:paraId="22D08993">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6FC5F782">
      <w:pPr>
        <w:pStyle w:val="20"/>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部门专项-十一届四次人代会经费项目年初预算</w:t>
      </w:r>
      <w:r>
        <w:rPr>
          <w:rFonts w:hint="eastAsia" w:ascii="Times New Roman" w:hAnsi="Times New Roman" w:eastAsia="仿宋_GB2312" w:cs="Times New Roman"/>
          <w:kern w:val="2"/>
          <w:sz w:val="32"/>
          <w:szCs w:val="32"/>
          <w:highlight w:val="none"/>
          <w:lang w:val="en-US" w:eastAsia="zh-CN" w:bidi="ar-SA"/>
        </w:rPr>
        <w:t>20</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20</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20</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99.95</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0.05</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补选自治州人大代表7名，接受6名市级人大代表辞去代表职务，本年人大代表人数235人。改进措施：后期加强沟通，提高指标设置准确度。</w:t>
      </w:r>
    </w:p>
    <w:p w14:paraId="43B20B54">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3DFCBF7">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5AA5D241">
      <w:pPr>
        <w:spacing w:line="560" w:lineRule="exact"/>
        <w:ind w:firstLine="640" w:firstLineChars="200"/>
        <w:rPr>
          <w:rFonts w:hint="default" w:ascii="Times New Roman" w:hAnsi="Times New Roman" w:eastAsia="仿宋_GB2312" w:cs="Times New Roman"/>
          <w:b w:val="0"/>
          <w:bCs w:val="0"/>
          <w:kern w:val="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2BA1FB9">
      <w:pPr>
        <w:keepNext/>
        <w:keepLines/>
        <w:numPr>
          <w:ilvl w:val="0"/>
          <w:numId w:val="10"/>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1D6DCF5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101FB4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603A4B36">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0E7E85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08CBC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1A04AC1">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7633ACCE">
      <w:pPr>
        <w:pStyle w:val="14"/>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14:paraId="7D9D01DB">
      <w:pPr>
        <w:pStyle w:val="14"/>
        <w:spacing w:after="0" w:line="560" w:lineRule="exact"/>
        <w:ind w:left="0" w:leftChars="0" w:firstLine="640"/>
        <w:rPr>
          <w:rFonts w:hint="default" w:ascii="Times New Roman" w:hAnsi="Times New Roman" w:eastAsia="仿宋_GB2312" w:cs="Times New Roman"/>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A5AC8D7">
        <w:pPr>
          <w:pStyle w:val="8"/>
          <w:jc w:val="center"/>
        </w:pPr>
        <w:r>
          <w:fldChar w:fldCharType="begin"/>
        </w:r>
        <w:r>
          <w:instrText xml:space="preserve">PAGE   \* MERGEFORMAT</w:instrText>
        </w:r>
        <w:r>
          <w:fldChar w:fldCharType="separate"/>
        </w:r>
        <w:r>
          <w:rPr>
            <w:lang w:val="zh-CN"/>
          </w:rPr>
          <w:t>13</w:t>
        </w:r>
        <w:r>
          <w:fldChar w:fldCharType="end"/>
        </w:r>
      </w:p>
    </w:sdtContent>
  </w:sdt>
  <w:p w14:paraId="123CAD50">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E0C348"/>
    <w:multiLevelType w:val="singleLevel"/>
    <w:tmpl w:val="BCE0C348"/>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3F35007"/>
    <w:multiLevelType w:val="singleLevel"/>
    <w:tmpl w:val="23F35007"/>
    <w:lvl w:ilvl="0" w:tentative="0">
      <w:start w:val="2"/>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011DC0"/>
    <w:multiLevelType w:val="singleLevel"/>
    <w:tmpl w:val="38011DC0"/>
    <w:lvl w:ilvl="0" w:tentative="0">
      <w:start w:val="1"/>
      <w:numFmt w:val="decimal"/>
      <w:lvlText w:val="%1."/>
      <w:lvlJc w:val="left"/>
      <w:pPr>
        <w:tabs>
          <w:tab w:val="left" w:pos="312"/>
        </w:tabs>
      </w:pPr>
    </w:lvl>
  </w:abstractNum>
  <w:abstractNum w:abstractNumId="7">
    <w:nsid w:val="5BB88484"/>
    <w:multiLevelType w:val="singleLevel"/>
    <w:tmpl w:val="5BB88484"/>
    <w:lvl w:ilvl="0" w:tentative="0">
      <w:start w:val="1"/>
      <w:numFmt w:val="chineseCounting"/>
      <w:suff w:val="nothing"/>
      <w:lvlText w:val="（%1）"/>
      <w:lvlJc w:val="left"/>
      <w:rPr>
        <w:rFonts w:hint="eastAsia"/>
      </w:rPr>
    </w:lvl>
  </w:abstractNum>
  <w:abstractNum w:abstractNumId="8">
    <w:nsid w:val="6FAA0AB1"/>
    <w:multiLevelType w:val="singleLevel"/>
    <w:tmpl w:val="6FAA0AB1"/>
    <w:lvl w:ilvl="0" w:tentative="0">
      <w:start w:val="2"/>
      <w:numFmt w:val="chineseCounting"/>
      <w:suff w:val="nothing"/>
      <w:lvlText w:val="（%1）"/>
      <w:lvlJc w:val="left"/>
      <w:pPr>
        <w:ind w:left="-13"/>
      </w:pPr>
      <w:rPr>
        <w:rFonts w:hint="eastAsia"/>
      </w:rPr>
    </w:lvl>
  </w:abstractNum>
  <w:abstractNum w:abstractNumId="9">
    <w:nsid w:val="71FD4A2E"/>
    <w:multiLevelType w:val="singleLevel"/>
    <w:tmpl w:val="71FD4A2E"/>
    <w:lvl w:ilvl="0" w:tentative="0">
      <w:start w:val="1"/>
      <w:numFmt w:val="decimal"/>
      <w:lvlText w:val="%1."/>
      <w:lvlJc w:val="left"/>
      <w:pPr>
        <w:tabs>
          <w:tab w:val="left" w:pos="312"/>
        </w:tabs>
      </w:pPr>
    </w:lvl>
  </w:abstractNum>
  <w:num w:numId="1">
    <w:abstractNumId w:val="4"/>
  </w:num>
  <w:num w:numId="2">
    <w:abstractNumId w:val="1"/>
  </w:num>
  <w:num w:numId="3">
    <w:abstractNumId w:val="5"/>
  </w:num>
  <w:num w:numId="4">
    <w:abstractNumId w:val="3"/>
  </w:num>
  <w:num w:numId="5">
    <w:abstractNumId w:val="8"/>
  </w:num>
  <w:num w:numId="6">
    <w:abstractNumId w:val="7"/>
  </w:num>
  <w:num w:numId="7">
    <w:abstractNumId w:val="9"/>
  </w:num>
  <w:num w:numId="8">
    <w:abstractNumId w:val="0"/>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MjhiOGU2NTFmZDhhZGQxNGU1YTAxNmJiOGIxZTkifQ=="/>
  </w:docVars>
  <w:rsids>
    <w:rsidRoot w:val="FF6C4049"/>
    <w:rsid w:val="006F7242"/>
    <w:rsid w:val="007B168A"/>
    <w:rsid w:val="008B2CFE"/>
    <w:rsid w:val="00F26FF6"/>
    <w:rsid w:val="01610122"/>
    <w:rsid w:val="01F11ABC"/>
    <w:rsid w:val="02510197"/>
    <w:rsid w:val="02873302"/>
    <w:rsid w:val="030A5E0C"/>
    <w:rsid w:val="03EC461B"/>
    <w:rsid w:val="0461077D"/>
    <w:rsid w:val="04ED1825"/>
    <w:rsid w:val="05D7133D"/>
    <w:rsid w:val="06EA3869"/>
    <w:rsid w:val="0722013F"/>
    <w:rsid w:val="07397B77"/>
    <w:rsid w:val="075125F3"/>
    <w:rsid w:val="07867E64"/>
    <w:rsid w:val="096802A0"/>
    <w:rsid w:val="0AD007F3"/>
    <w:rsid w:val="0AE36766"/>
    <w:rsid w:val="0C1A555B"/>
    <w:rsid w:val="0C8342EA"/>
    <w:rsid w:val="0D010EE5"/>
    <w:rsid w:val="0E3C619F"/>
    <w:rsid w:val="0EAE7EF9"/>
    <w:rsid w:val="0F0F136C"/>
    <w:rsid w:val="100F38EC"/>
    <w:rsid w:val="10930DC1"/>
    <w:rsid w:val="11170296"/>
    <w:rsid w:val="11B40E99"/>
    <w:rsid w:val="12C66037"/>
    <w:rsid w:val="12CD1ABC"/>
    <w:rsid w:val="13471461"/>
    <w:rsid w:val="13B90F01"/>
    <w:rsid w:val="155E4C4D"/>
    <w:rsid w:val="15C319C3"/>
    <w:rsid w:val="181066D2"/>
    <w:rsid w:val="19443B83"/>
    <w:rsid w:val="1A9212A7"/>
    <w:rsid w:val="1C12049E"/>
    <w:rsid w:val="1C671E73"/>
    <w:rsid w:val="1C775C44"/>
    <w:rsid w:val="1C8C2366"/>
    <w:rsid w:val="1D322C47"/>
    <w:rsid w:val="1E734785"/>
    <w:rsid w:val="1F0903AC"/>
    <w:rsid w:val="20005AFE"/>
    <w:rsid w:val="21C734F7"/>
    <w:rsid w:val="23510E00"/>
    <w:rsid w:val="23616034"/>
    <w:rsid w:val="23696C97"/>
    <w:rsid w:val="24480FA2"/>
    <w:rsid w:val="25227A45"/>
    <w:rsid w:val="2622669F"/>
    <w:rsid w:val="26454620"/>
    <w:rsid w:val="26AC3A6A"/>
    <w:rsid w:val="274B1605"/>
    <w:rsid w:val="28395DBF"/>
    <w:rsid w:val="28673B58"/>
    <w:rsid w:val="28DB0E17"/>
    <w:rsid w:val="29BC0105"/>
    <w:rsid w:val="2B9D7E25"/>
    <w:rsid w:val="2C7B2207"/>
    <w:rsid w:val="2C7C7A3B"/>
    <w:rsid w:val="2C9F1142"/>
    <w:rsid w:val="2F364819"/>
    <w:rsid w:val="2F964A23"/>
    <w:rsid w:val="2F9B30A9"/>
    <w:rsid w:val="2FAB0637"/>
    <w:rsid w:val="2FD63906"/>
    <w:rsid w:val="31BB30A3"/>
    <w:rsid w:val="32B85544"/>
    <w:rsid w:val="3332198B"/>
    <w:rsid w:val="343B0466"/>
    <w:rsid w:val="34785FFD"/>
    <w:rsid w:val="365D4441"/>
    <w:rsid w:val="367904EE"/>
    <w:rsid w:val="367B0D63"/>
    <w:rsid w:val="37215DAE"/>
    <w:rsid w:val="379239B3"/>
    <w:rsid w:val="37E650A2"/>
    <w:rsid w:val="38CA40DD"/>
    <w:rsid w:val="38D75A4F"/>
    <w:rsid w:val="39461906"/>
    <w:rsid w:val="395F2B56"/>
    <w:rsid w:val="3BA7366E"/>
    <w:rsid w:val="3BBA0580"/>
    <w:rsid w:val="3BECE841"/>
    <w:rsid w:val="3CDE204C"/>
    <w:rsid w:val="3D363C36"/>
    <w:rsid w:val="3D68527F"/>
    <w:rsid w:val="3E9C3F6D"/>
    <w:rsid w:val="3FA21C75"/>
    <w:rsid w:val="3FA52BFA"/>
    <w:rsid w:val="3FF7797D"/>
    <w:rsid w:val="400164F5"/>
    <w:rsid w:val="40EC05DF"/>
    <w:rsid w:val="4204145F"/>
    <w:rsid w:val="428B1338"/>
    <w:rsid w:val="42FB2137"/>
    <w:rsid w:val="43CC1D1D"/>
    <w:rsid w:val="43FF3D98"/>
    <w:rsid w:val="440A08B0"/>
    <w:rsid w:val="46690BD8"/>
    <w:rsid w:val="49226009"/>
    <w:rsid w:val="49402A4E"/>
    <w:rsid w:val="49F70BF1"/>
    <w:rsid w:val="4B4340EE"/>
    <w:rsid w:val="4CCC6E0F"/>
    <w:rsid w:val="4D426A4E"/>
    <w:rsid w:val="4F855D03"/>
    <w:rsid w:val="503D507A"/>
    <w:rsid w:val="51152F96"/>
    <w:rsid w:val="51755F53"/>
    <w:rsid w:val="51FA74D0"/>
    <w:rsid w:val="52AA4A52"/>
    <w:rsid w:val="53C16078"/>
    <w:rsid w:val="53F852DC"/>
    <w:rsid w:val="57D31750"/>
    <w:rsid w:val="58A35B11"/>
    <w:rsid w:val="59943D66"/>
    <w:rsid w:val="59E051FD"/>
    <w:rsid w:val="59E6355E"/>
    <w:rsid w:val="5A6951F3"/>
    <w:rsid w:val="5A6E24F2"/>
    <w:rsid w:val="5AF50835"/>
    <w:rsid w:val="5B821531"/>
    <w:rsid w:val="5BFF6039"/>
    <w:rsid w:val="5D76A616"/>
    <w:rsid w:val="5D7F20B9"/>
    <w:rsid w:val="5D994D55"/>
    <w:rsid w:val="5DAC7D0E"/>
    <w:rsid w:val="5ED91228"/>
    <w:rsid w:val="5F98B5AF"/>
    <w:rsid w:val="5FC80D73"/>
    <w:rsid w:val="5FFE8511"/>
    <w:rsid w:val="5FFEACE2"/>
    <w:rsid w:val="600D5DA2"/>
    <w:rsid w:val="609D5BF6"/>
    <w:rsid w:val="60FA4DF7"/>
    <w:rsid w:val="61073070"/>
    <w:rsid w:val="619E064C"/>
    <w:rsid w:val="61B9080E"/>
    <w:rsid w:val="61DD059C"/>
    <w:rsid w:val="61DF3FED"/>
    <w:rsid w:val="642B176B"/>
    <w:rsid w:val="643EE26D"/>
    <w:rsid w:val="6505433B"/>
    <w:rsid w:val="656019A0"/>
    <w:rsid w:val="65F242EE"/>
    <w:rsid w:val="666D7E19"/>
    <w:rsid w:val="667F60B7"/>
    <w:rsid w:val="68376930"/>
    <w:rsid w:val="689B2F2E"/>
    <w:rsid w:val="68F91E38"/>
    <w:rsid w:val="6B3158B9"/>
    <w:rsid w:val="6B7D64E9"/>
    <w:rsid w:val="6BA02A3F"/>
    <w:rsid w:val="6BF74B2E"/>
    <w:rsid w:val="6C1E5A53"/>
    <w:rsid w:val="6D906879"/>
    <w:rsid w:val="6ED33FB9"/>
    <w:rsid w:val="6F5C41AC"/>
    <w:rsid w:val="6FAF6C78"/>
    <w:rsid w:val="7118679B"/>
    <w:rsid w:val="716167CC"/>
    <w:rsid w:val="71834994"/>
    <w:rsid w:val="718A7AD1"/>
    <w:rsid w:val="7220374A"/>
    <w:rsid w:val="72A44BC2"/>
    <w:rsid w:val="7317C656"/>
    <w:rsid w:val="734ED73F"/>
    <w:rsid w:val="73C82B32"/>
    <w:rsid w:val="73E0372B"/>
    <w:rsid w:val="73F833A3"/>
    <w:rsid w:val="73F94DAE"/>
    <w:rsid w:val="74220495"/>
    <w:rsid w:val="74327CB2"/>
    <w:rsid w:val="747D1B6F"/>
    <w:rsid w:val="749E5641"/>
    <w:rsid w:val="75E047F7"/>
    <w:rsid w:val="76271066"/>
    <w:rsid w:val="77640A6E"/>
    <w:rsid w:val="77FD8BE9"/>
    <w:rsid w:val="78000AED"/>
    <w:rsid w:val="78466E62"/>
    <w:rsid w:val="790A61F3"/>
    <w:rsid w:val="791A756B"/>
    <w:rsid w:val="79A9BD3F"/>
    <w:rsid w:val="7B76251D"/>
    <w:rsid w:val="7B776F12"/>
    <w:rsid w:val="7BFFFDD0"/>
    <w:rsid w:val="7C2C50FC"/>
    <w:rsid w:val="7C336E5F"/>
    <w:rsid w:val="7C8D4919"/>
    <w:rsid w:val="7D7A5F86"/>
    <w:rsid w:val="7E4B683A"/>
    <w:rsid w:val="7E5E656D"/>
    <w:rsid w:val="7E8F2BCB"/>
    <w:rsid w:val="7F097E7A"/>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ind w:firstLine="0" w:firstLineChars="0"/>
      <w:jc w:val="center"/>
      <w:outlineLvl w:val="0"/>
    </w:pPr>
    <w:rPr>
      <w:rFonts w:eastAsia="方正小标宋_GBK"/>
      <w:kern w:val="44"/>
      <w:sz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13940</Words>
  <Characters>14433</Characters>
  <Lines>58</Lines>
  <Paragraphs>16</Paragraphs>
  <TotalTime>1</TotalTime>
  <ScaleCrop>false</ScaleCrop>
  <LinksUpToDate>false</LinksUpToDate>
  <CharactersWithSpaces>14476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2025-04-29T10:20:00Z</cp:lastPrinted>
  <dcterms:modified xsi:type="dcterms:W3CDTF">2025-08-15T06:44:20Z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61B847BF6D4A48E1ACBDEF203C768783_13</vt:lpwstr>
  </property>
  <property fmtid="{D5CDD505-2E9C-101B-9397-08002B2CF9AE}" pid="4" name="KSOTemplateDocerSaveRecord">
    <vt:lpwstr>eyJoZGlkIjoiYTRkOTIwZjc5YmU2ZTY5MjQ2MTljMmZlZWEzNGY0OTAiLCJ1c2VySWQiOiI0MzUzMjU0MzcifQ==</vt:lpwstr>
  </property>
</Properties>
</file>