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库尔勒市人民代表大会常务委员会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（1）在本行政区域内，保证宪法、法律、行政法规和上级人民代表及其常务委员会决议的遵守和执行；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（2）领导或者主持本级人民代表大会代表的选举；</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（3）召集本级人民代表大会会议；</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（4）讨论、决定本行政区域内的政治、经济、教育、科学、文化、卫生、环境和资源保护、民政、民族等工作的重大事项；</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（5）根据本级人民政府的建议，决定对本行政区域内的国民经济和社会发展计划，预算的部分变更；</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（6）监督本级人民政府、监督委员会、人民法院和人民检察院的工作，联系本级人民代表大会代表，受理人民群众对上述机关和国家工作人员的申诉和意见；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（7）撤销下一级人民代表大会的不适当决议；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（8）撤销本级人民政府不适当的决定和命令；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（9）在本级人民代表大会闭会期间，决定副市长的个别任免；在市长和监 察委员会主任、人民法院院长、人民检察院检察长因故不能担任职务的时候，从本级人民政府、监察委员会、人民法院、人民检察院副职领导人员中决定代 理的人选；决定代理检察长，须报上一级人民检察院和人民代表大会常务委员会备案；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（10）根据市长的提名，决定本级人民政府局长、委员会主任等政府组成人员的任免；</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ascii="仿宋_GB2312" w:eastAsia="仿宋_GB2312"/>
          <w:b w:val="0"/>
          <w:sz w:val="32"/>
          <w:szCs w:val="32"/>
        </w:rPr>
        <w:t xml:space="preserve"> （11）按照人民法院组织法和人民检察院组织法的规定，任免人民法院副 院长、庭长、副庭长、审判委员会委员、审判员，任免人民检察院副检察长、监察委员会委员、检察员</w:t>
      </w:r>
      <w:r>
        <w:rPr>
          <w:rFonts w:hint="eastAsia" w:ascii="仿宋_GB2312" w:eastAsia="仿宋_GB2312"/>
          <w:b w:val="0"/>
          <w:sz w:val="32"/>
          <w:szCs w:val="32"/>
          <w:lang w:val="en-US"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 （12）按照监察法的规定，任免监察委员会副主任、委员；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（13）在本级人民代表大会闭会期间，决定撤销由它任命的本级人民政府 其他组成人员和人民法院副院长、庭长、副庭长、审判委员会委员、审判员，人民检察院副检察长、监察委员会委员、检察员的职务；在本级人民代表大会 闭会期间，补选上一级人民代表大会出缺的代表和罢免个别代表；</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 （14）决定授予地方的荣誉称号。</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库尔勒市人民代表大会常务委员会2024年度，实有人数55人，其中：在职人员20人，减少4人；离休人员0人，较上年无变化；退休人员35人，增加</w:t>
      </w:r>
      <w:r>
        <w:rPr>
          <w:rFonts w:hint="eastAsia" w:ascii="仿宋_GB2312" w:eastAsia="仿宋_GB2312"/>
          <w:b w:val="0"/>
          <w:sz w:val="32"/>
          <w:szCs w:val="32"/>
          <w:lang w:val="en-US" w:eastAsia="zh-CN"/>
        </w:rPr>
        <w:t>4</w:t>
      </w:r>
      <w:r>
        <w:rPr>
          <w:rFonts w:ascii="仿宋_GB2312" w:eastAsia="仿宋_GB2312"/>
          <w:b w:val="0"/>
          <w:sz w:val="32"/>
          <w:szCs w:val="32"/>
        </w:rPr>
        <w:t>人。</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库尔勒市人民代表大会常务委员会无下属预算单位，下设 5 个处室，分别是：市人大常委会办公室、市人大常委会财政经济委员会、市人大常委会代表人事任免工作委员会、市人大常委会教育科学文化卫生委员会、市人大常委会法制工作委员会。</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2024年度收入总计526.71万元，其中：本年收入合计526.71万元，使用非财政拨款结余（含专用结余）0.00万元，年初结转和结余0.00万元。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2024年度支出总计526.71万元，其中：本年支出合计526.71万元，结余分配0.00万元，年末结转和结余0.00万元。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收入支出总体与上年相比，减少42.11万元，下降7.40%，主要原因是：</w:t>
      </w:r>
      <w:r>
        <w:rPr>
          <w:rFonts w:hint="eastAsia" w:ascii="仿宋_GB2312" w:eastAsia="仿宋_GB2312"/>
          <w:b w:val="0"/>
          <w:sz w:val="32"/>
          <w:szCs w:val="32"/>
        </w:rPr>
        <w:t>本年无基层人大补助经费项目</w:t>
      </w:r>
      <w:r>
        <w:rPr>
          <w:rFonts w:hint="eastAsia" w:ascii="仿宋_GB2312" w:eastAsia="仿宋_GB2312"/>
          <w:b w:val="0"/>
          <w:sz w:val="32"/>
          <w:szCs w:val="32"/>
          <w:lang w:val="en-US" w:eastAsia="zh-CN"/>
        </w:rPr>
        <w:t>7.72万元</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w:t>
      </w:r>
      <w:r>
        <w:rPr>
          <w:rFonts w:hint="eastAsia" w:ascii="仿宋_GB2312" w:eastAsia="仿宋_GB2312"/>
          <w:b w:val="0"/>
          <w:sz w:val="32"/>
          <w:szCs w:val="32"/>
        </w:rPr>
        <w:t>，导致</w:t>
      </w:r>
      <w:r>
        <w:rPr>
          <w:rFonts w:ascii="仿宋_GB2312" w:eastAsia="仿宋_GB2312"/>
          <w:b w:val="0"/>
          <w:sz w:val="32"/>
          <w:szCs w:val="32"/>
        </w:rPr>
        <w:t>收入支出总体</w:t>
      </w:r>
      <w:r>
        <w:rPr>
          <w:rFonts w:hint="eastAsia" w:ascii="仿宋_GB2312" w:eastAsia="仿宋_GB2312"/>
          <w:b w:val="0"/>
          <w:sz w:val="32"/>
          <w:szCs w:val="32"/>
        </w:rPr>
        <w:t>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本年收入526.71万元，其中：财政拨款收入526.71万元,占100.00%；上级补助收入0.00万元,占0.00%；事业收入0.00万元，占0.00%；经营收入0.00万元,占0.00%；附属单位上缴收入0.00万元，占0.00%；其他收入0.00万元，占0.00%。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本年支出526.71万元，其中：基本支出496.58万元，占94.28%；项目支出30.13万元，占5.72%；上缴上级支出0.00万元，占0.00%；经营支出0.00万元，占0.00%；对附属单位补助支出0.00万元，占0.00%。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2024年度财政拨款收入总计526.71万元，其中：年初财政拨款结转和结余0.00万元，本年财政拨款收入526.71万元。财政拨款支出总计526.71万元，其中：年末财政拨款结转和结余0.00万元，本年财政拨款支出526.71万元。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财政拨款收入支出总体与上年相比，减少42.11万元，下降7.40%，主要原因是：</w:t>
      </w:r>
      <w:r>
        <w:rPr>
          <w:rFonts w:hint="eastAsia" w:ascii="仿宋_GB2312" w:eastAsia="仿宋_GB2312"/>
          <w:b w:val="0"/>
          <w:sz w:val="32"/>
          <w:szCs w:val="32"/>
        </w:rPr>
        <w:t>本年无基层人大补助经费项目</w:t>
      </w:r>
      <w:r>
        <w:rPr>
          <w:rFonts w:hint="eastAsia" w:ascii="仿宋_GB2312" w:eastAsia="仿宋_GB2312"/>
          <w:b w:val="0"/>
          <w:sz w:val="32"/>
          <w:szCs w:val="32"/>
          <w:lang w:val="en-US" w:eastAsia="zh-CN"/>
        </w:rPr>
        <w:t>7.72万元</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w:t>
      </w:r>
      <w:r>
        <w:rPr>
          <w:rFonts w:hint="eastAsia" w:ascii="仿宋_GB2312" w:eastAsia="仿宋_GB2312"/>
          <w:b w:val="0"/>
          <w:sz w:val="32"/>
          <w:szCs w:val="32"/>
        </w:rPr>
        <w:t>，导致</w:t>
      </w:r>
      <w:r>
        <w:rPr>
          <w:rFonts w:ascii="仿宋_GB2312" w:eastAsia="仿宋_GB2312"/>
          <w:b w:val="0"/>
          <w:sz w:val="32"/>
          <w:szCs w:val="32"/>
        </w:rPr>
        <w:t>财政拨款收入支出总体</w:t>
      </w:r>
      <w:r>
        <w:rPr>
          <w:rFonts w:hint="eastAsia" w:ascii="仿宋_GB2312" w:eastAsia="仿宋_GB2312"/>
          <w:b w:val="0"/>
          <w:sz w:val="32"/>
          <w:szCs w:val="32"/>
        </w:rPr>
        <w:t>较上年减少</w:t>
      </w:r>
      <w:r>
        <w:rPr>
          <w:rFonts w:ascii="仿宋_GB2312" w:eastAsia="仿宋_GB2312"/>
          <w:b w:val="0"/>
          <w:sz w:val="32"/>
          <w:szCs w:val="32"/>
        </w:rPr>
        <w:t>。与年初预算相比，年初预算数578.29万元，决算数526.71万元，预决算差异率-8.92%，主要原因是：</w:t>
      </w:r>
      <w:r>
        <w:rPr>
          <w:rFonts w:hint="eastAsia" w:ascii="仿宋_GB2312" w:eastAsia="仿宋_GB2312"/>
          <w:b w:val="0"/>
          <w:sz w:val="32"/>
          <w:szCs w:val="32"/>
          <w:lang w:val="en-US" w:eastAsia="zh-CN"/>
        </w:rPr>
        <w:t>本年在职人员转退休4人，人员经费减少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2024年度一般公共预算财政拨款支出526.71万元，占本年支出合计的100.00%。与上年相比，减少42.11万元，下降7.40%，主要原因是：</w:t>
      </w:r>
      <w:r>
        <w:rPr>
          <w:rFonts w:hint="eastAsia" w:ascii="仿宋_GB2312" w:eastAsia="仿宋_GB2312"/>
          <w:b w:val="0"/>
          <w:sz w:val="32"/>
          <w:szCs w:val="32"/>
        </w:rPr>
        <w:t>本年无基层人大补助经费项目</w:t>
      </w:r>
      <w:r>
        <w:rPr>
          <w:rFonts w:hint="eastAsia" w:ascii="仿宋_GB2312" w:eastAsia="仿宋_GB2312"/>
          <w:b w:val="0"/>
          <w:sz w:val="32"/>
          <w:szCs w:val="32"/>
          <w:lang w:val="en-US" w:eastAsia="zh-CN"/>
        </w:rPr>
        <w:t>7.72万元</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w:t>
      </w:r>
      <w:r>
        <w:rPr>
          <w:rFonts w:hint="eastAsia" w:ascii="仿宋_GB2312" w:eastAsia="仿宋_GB2312"/>
          <w:b w:val="0"/>
          <w:sz w:val="32"/>
          <w:szCs w:val="32"/>
        </w:rPr>
        <w:t>，导致</w:t>
      </w:r>
      <w:r>
        <w:rPr>
          <w:rFonts w:ascii="仿宋_GB2312" w:eastAsia="仿宋_GB2312"/>
          <w:b w:val="0"/>
          <w:sz w:val="32"/>
          <w:szCs w:val="32"/>
        </w:rPr>
        <w:t>财一般公共预算财政拨款支出</w:t>
      </w:r>
      <w:r>
        <w:rPr>
          <w:rFonts w:hint="eastAsia" w:ascii="仿宋_GB2312" w:eastAsia="仿宋_GB2312"/>
          <w:b w:val="0"/>
          <w:sz w:val="32"/>
          <w:szCs w:val="32"/>
        </w:rPr>
        <w:t>较上年减少</w:t>
      </w:r>
      <w:r>
        <w:rPr>
          <w:rFonts w:ascii="仿宋_GB2312" w:eastAsia="仿宋_GB2312"/>
          <w:b w:val="0"/>
          <w:sz w:val="32"/>
          <w:szCs w:val="32"/>
        </w:rPr>
        <w:t>。与年初预算相比，年初预算数578.29万元，决算数526.71万元，预决算差异率-8.92%，主要原因是：</w:t>
      </w:r>
      <w:r>
        <w:rPr>
          <w:rFonts w:hint="eastAsia" w:ascii="仿宋_GB2312" w:eastAsia="仿宋_GB2312"/>
          <w:b w:val="0"/>
          <w:sz w:val="32"/>
          <w:szCs w:val="32"/>
          <w:lang w:val="en-US" w:eastAsia="zh-CN"/>
        </w:rPr>
        <w:t>本年在职人员转退休4人，人员经费减少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一般公共服务支出（类）343.35万元，占65.19%。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教育支出（类）1.50万元，占0.28%。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社会保障和就业支出（类）121.23万元，占23.02%。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卫生健康支出（类）26.85万元，占5.10%。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住房保障支出（类）33.78万元，占6.41%。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一般公共服务支出（类）人大事务（款）行政运行（项）：支出决算数为313.21万元，比上年决算减少69.28万元，下降18.11%，主要原因是：</w:t>
      </w:r>
      <w:r>
        <w:rPr>
          <w:rFonts w:hint="eastAsia" w:ascii="仿宋_GB2312" w:eastAsia="仿宋_GB2312"/>
          <w:b w:val="0"/>
          <w:sz w:val="32"/>
          <w:szCs w:val="32"/>
          <w:lang w:val="en-US" w:eastAsia="zh-CN"/>
        </w:rPr>
        <w:t>本年在职人员转退休4人，人员经费减少，无</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30.95万元，导致</w:t>
      </w:r>
      <w:r>
        <w:rPr>
          <w:rFonts w:ascii="仿宋_GB2312" w:eastAsia="仿宋_GB2312"/>
          <w:b w:val="0"/>
          <w:sz w:val="32"/>
          <w:szCs w:val="32"/>
        </w:rPr>
        <w:t>行政运行支出决算数</w:t>
      </w:r>
      <w:r>
        <w:rPr>
          <w:rFonts w:hint="eastAsia" w:ascii="仿宋_GB2312" w:eastAsia="仿宋_GB2312"/>
          <w:b w:val="0"/>
          <w:sz w:val="32"/>
          <w:szCs w:val="32"/>
          <w:lang w:val="en-US" w:eastAsia="zh-CN"/>
        </w:rPr>
        <w:t>较上年减少。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一般公共服务支出（类）人大事务（款）人大会议（项）：支出决算数为20.00万元，与上年相比无变化</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一般公共服务支出（类）人大事务（款）人大监督（项）：支出决算数为5.00万元，与上年相比无变化</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一般公共服务支出（类）人大事务（款）代表工作（项）：支出决算数为5.13万元，比上年决算减少5.06万元，下降49.66%，主要原因是：</w:t>
      </w:r>
      <w:r>
        <w:rPr>
          <w:rFonts w:hint="eastAsia" w:ascii="仿宋_GB2312" w:eastAsia="仿宋_GB2312"/>
          <w:b w:val="0"/>
          <w:sz w:val="32"/>
          <w:szCs w:val="32"/>
          <w:lang w:val="en-US" w:eastAsia="zh-CN"/>
        </w:rPr>
        <w:t>本年市人大代表工作室活动经费、十一届市级人大代表活动经费与上年相比支出减少，导致</w:t>
      </w:r>
      <w:r>
        <w:rPr>
          <w:rFonts w:ascii="仿宋_GB2312" w:eastAsia="仿宋_GB2312"/>
          <w:b w:val="0"/>
          <w:sz w:val="32"/>
          <w:szCs w:val="32"/>
        </w:rPr>
        <w:t>代表工作比上年决算</w:t>
      </w:r>
      <w:r>
        <w:rPr>
          <w:rFonts w:hint="eastAsia" w:ascii="仿宋_GB2312" w:eastAsia="仿宋_GB2312"/>
          <w:b w:val="0"/>
          <w:sz w:val="32"/>
          <w:szCs w:val="32"/>
          <w:lang w:val="en-US" w:eastAsia="zh-CN"/>
        </w:rPr>
        <w:t>下降。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一般公共服务支出（类）人大事务（款）其他人大事务支出（项）：支出决算数为0.00万元，比上年决算减少7.72万元，下降100.00%，主要原因是：</w:t>
      </w:r>
      <w:r>
        <w:rPr>
          <w:rFonts w:hint="eastAsia" w:ascii="仿宋_GB2312" w:eastAsia="仿宋_GB2312"/>
          <w:b w:val="0"/>
          <w:sz w:val="32"/>
          <w:szCs w:val="32"/>
        </w:rPr>
        <w:t>本年无基层人大补助经费项目</w:t>
      </w:r>
      <w:r>
        <w:rPr>
          <w:rFonts w:hint="eastAsia" w:ascii="仿宋_GB2312" w:eastAsia="仿宋_GB2312"/>
          <w:b w:val="0"/>
          <w:sz w:val="32"/>
          <w:szCs w:val="32"/>
          <w:lang w:val="en-US" w:eastAsia="zh-CN"/>
        </w:rPr>
        <w:t>7.72万元，导致</w:t>
      </w:r>
      <w:r>
        <w:rPr>
          <w:rFonts w:ascii="仿宋_GB2312" w:eastAsia="仿宋_GB2312"/>
          <w:b w:val="0"/>
          <w:sz w:val="32"/>
          <w:szCs w:val="32"/>
        </w:rPr>
        <w:t>其他人大事务支出比上年决算</w:t>
      </w:r>
      <w:r>
        <w:rPr>
          <w:rFonts w:hint="eastAsia" w:ascii="仿宋_GB2312" w:eastAsia="仿宋_GB2312"/>
          <w:b w:val="0"/>
          <w:sz w:val="32"/>
          <w:szCs w:val="32"/>
          <w:lang w:val="en-US" w:eastAsia="zh-CN"/>
        </w:rPr>
        <w:t>下降</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教育支出（类）进修及培训（款）培训支出（项）：支出决算数为1.50万元，比上年决算减少0.47万元，下降23.86%，主要原因是：</w:t>
      </w:r>
      <w:r>
        <w:rPr>
          <w:rFonts w:hint="eastAsia" w:ascii="仿宋_GB2312" w:eastAsia="仿宋_GB2312"/>
          <w:b w:val="0"/>
          <w:sz w:val="32"/>
          <w:szCs w:val="32"/>
        </w:rPr>
        <w:t>本年外出培训较上年减少，导致培训支出较上年</w:t>
      </w:r>
      <w:r>
        <w:rPr>
          <w:rFonts w:ascii="仿宋_GB2312" w:eastAsia="仿宋_GB2312"/>
          <w:b w:val="0"/>
          <w:sz w:val="32"/>
          <w:szCs w:val="32"/>
        </w:rPr>
        <w:t>下降</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社会保障和就业支出（类）行政事业单位养老支出（款）行政单位离退休（项）：支出决算数为27.32万元，比上年决算增加7.75万元，增长39.60%，主要原因是：</w:t>
      </w:r>
      <w:r>
        <w:rPr>
          <w:rFonts w:hint="eastAsia" w:ascii="仿宋_GB2312" w:eastAsia="仿宋_GB2312"/>
          <w:b w:val="0"/>
          <w:sz w:val="32"/>
          <w:szCs w:val="32"/>
          <w:lang w:val="en-US" w:eastAsia="zh-CN"/>
        </w:rPr>
        <w:t>本年度退休人员绩效增加以及在职转退休4人，导致本年行政单位离退休增加。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社会保障和就业支出（类）行政事业单位养老支出（款）机关事业单位基本养老保险缴费支出（项）：支出决算数为42.14万元，比上年决算增加0.95万元，增长2.31%，主要原因是：</w:t>
      </w:r>
      <w:r>
        <w:rPr>
          <w:rFonts w:hint="eastAsia" w:ascii="仿宋_GB2312" w:eastAsia="仿宋_GB2312"/>
          <w:b w:val="0"/>
          <w:sz w:val="32"/>
          <w:szCs w:val="32"/>
          <w:lang w:val="en-US" w:eastAsia="zh-CN"/>
        </w:rPr>
        <w:t>本年度社保基数调增，导致</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社会保障和就业支出（类）行政事业单位养老支出（款）机关事业单位职业年金缴费支出（项）：支出决算数为51.77万元，比上年决算增加38.20万元，增长281.50%，主要原因是：</w:t>
      </w:r>
      <w:r>
        <w:rPr>
          <w:rFonts w:hint="eastAsia" w:ascii="仿宋_GB2312" w:eastAsia="仿宋_GB2312"/>
          <w:b w:val="0"/>
          <w:sz w:val="32"/>
          <w:szCs w:val="32"/>
          <w:lang w:val="en-US" w:eastAsia="zh-CN"/>
        </w:rPr>
        <w:t>上年度退休2人，本年退休4人，退休人数增加，导致</w:t>
      </w:r>
      <w:r>
        <w:rPr>
          <w:rFonts w:ascii="仿宋_GB2312" w:eastAsia="仿宋_GB2312"/>
          <w:b w:val="0"/>
          <w:sz w:val="32"/>
          <w:szCs w:val="32"/>
        </w:rPr>
        <w:t>机关事业单位职业年金缴费支出</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卫生健康支出（类）行政事业单位医疗（款）行政单位医疗（项）：支出决算数为18.98万元，比上年决算减少10.13万元，下降34.80%，主要原因是：</w:t>
      </w:r>
      <w:r>
        <w:rPr>
          <w:rFonts w:hint="eastAsia" w:ascii="仿宋_GB2312" w:eastAsia="仿宋_GB2312"/>
          <w:b w:val="0"/>
          <w:sz w:val="32"/>
          <w:szCs w:val="32"/>
          <w:lang w:val="en-US" w:eastAsia="zh-CN"/>
        </w:rPr>
        <w:t>本年在职人员转退休4人，在职人员减少，导致本年</w:t>
      </w:r>
      <w:r>
        <w:rPr>
          <w:rFonts w:ascii="仿宋_GB2312" w:eastAsia="仿宋_GB2312"/>
          <w:b w:val="0"/>
          <w:sz w:val="32"/>
          <w:szCs w:val="32"/>
        </w:rPr>
        <w:t>行政单位医疗</w:t>
      </w:r>
      <w:r>
        <w:rPr>
          <w:rFonts w:hint="eastAsia" w:ascii="仿宋_GB2312" w:eastAsia="仿宋_GB2312"/>
          <w:b w:val="0"/>
          <w:sz w:val="32"/>
          <w:szCs w:val="32"/>
          <w:lang w:val="en-US" w:eastAsia="zh-CN"/>
        </w:rPr>
        <w:t>支出下降。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卫生健康支出（类）行政事业单位医疗（款）公务员医疗补助（项）：支出决算数为7.87万元，比上年决算增加1.28万元，增长19.42%，主要原因是：</w:t>
      </w:r>
      <w:r>
        <w:rPr>
          <w:rFonts w:hint="eastAsia" w:ascii="仿宋_GB2312" w:eastAsia="仿宋_GB2312"/>
          <w:b w:val="0"/>
          <w:sz w:val="32"/>
          <w:szCs w:val="32"/>
          <w:lang w:val="en-US" w:eastAsia="zh-CN"/>
        </w:rPr>
        <w:t>本年度医保基数调增，导致</w:t>
      </w:r>
      <w:r>
        <w:rPr>
          <w:rFonts w:ascii="仿宋_GB2312" w:eastAsia="仿宋_GB2312"/>
          <w:b w:val="0"/>
          <w:sz w:val="32"/>
          <w:szCs w:val="32"/>
        </w:rPr>
        <w:t>公务员医疗补助支出</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住房保障支出（类）住房改革支出（款）住房公积金（项）：支出决算数为33.78万元，比上年决算增加2.35万元，增长7.48%，主要原因是：</w:t>
      </w:r>
      <w:r>
        <w:rPr>
          <w:rFonts w:hint="eastAsia" w:ascii="仿宋_GB2312" w:eastAsia="仿宋_GB2312"/>
          <w:b w:val="0"/>
          <w:sz w:val="32"/>
          <w:szCs w:val="32"/>
          <w:lang w:val="en-US" w:eastAsia="zh-CN"/>
        </w:rPr>
        <w:t>本年度公积金基数调增，导致</w:t>
      </w:r>
      <w:r>
        <w:rPr>
          <w:rFonts w:ascii="仿宋_GB2312" w:eastAsia="仿宋_GB2312"/>
          <w:b w:val="0"/>
          <w:sz w:val="32"/>
          <w:szCs w:val="32"/>
        </w:rPr>
        <w:t>住房公积金支出</w:t>
      </w:r>
      <w:r>
        <w:rPr>
          <w:rFonts w:hint="eastAsia" w:ascii="仿宋_GB2312" w:eastAsia="仿宋_GB2312"/>
          <w:b w:val="0"/>
          <w:sz w:val="32"/>
          <w:szCs w:val="32"/>
          <w:lang w:val="en-US" w:eastAsia="zh-CN"/>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496.58万元，其中：人员经费482.26万元，包括：基本工资、津贴补贴、奖金、机关事业单位基本养老保险缴费、职业年金缴费、职工基本医疗保险缴费、公务员医疗补助缴费、其他社会保障缴费、住房公积金、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公用经费14.31万元，包括：办公费、邮电费、差旅费、培训费、工会经费和福利费。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2024年度财政拨款“三公”经费支出0.00万元，比上年减少30.95万元，下降100%，主要原因是：</w:t>
      </w:r>
      <w:r>
        <w:rPr>
          <w:rFonts w:hint="eastAsia" w:ascii="仿宋_GB2312" w:eastAsia="仿宋_GB2312"/>
          <w:b w:val="0"/>
          <w:sz w:val="32"/>
          <w:szCs w:val="32"/>
          <w:lang w:val="en-US" w:eastAsia="zh-CN"/>
        </w:rPr>
        <w:t>本年无</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30.95万元，导致</w:t>
      </w:r>
      <w:r>
        <w:rPr>
          <w:rFonts w:ascii="仿宋_GB2312" w:eastAsia="仿宋_GB2312"/>
          <w:b w:val="0"/>
          <w:sz w:val="32"/>
          <w:szCs w:val="32"/>
        </w:rPr>
        <w:t>“三公”经费支出</w:t>
      </w:r>
      <w:r>
        <w:rPr>
          <w:rFonts w:hint="eastAsia" w:ascii="仿宋_GB2312" w:eastAsia="仿宋_GB2312"/>
          <w:b w:val="0"/>
          <w:sz w:val="32"/>
          <w:szCs w:val="32"/>
          <w:lang w:val="en-US" w:eastAsia="zh-CN"/>
        </w:rPr>
        <w:t>较上年减少。</w:t>
      </w:r>
      <w:r>
        <w:rPr>
          <w:rFonts w:ascii="仿宋_GB2312" w:eastAsia="仿宋_GB2312"/>
          <w:b w:val="0"/>
          <w:sz w:val="32"/>
          <w:szCs w:val="32"/>
        </w:rPr>
        <w:t>其中：因公出国（境）费支出0.00万元,占0.00%，与上年相比无变化；公务用车购置及运行维护费支出0.00万元，占0.00%，比上年减少30.95万元，下降100%，主要原因是：</w:t>
      </w:r>
      <w:r>
        <w:rPr>
          <w:rFonts w:hint="eastAsia" w:ascii="仿宋_GB2312" w:eastAsia="仿宋_GB2312"/>
          <w:b w:val="0"/>
          <w:sz w:val="32"/>
          <w:szCs w:val="32"/>
          <w:lang w:val="en-US" w:eastAsia="zh-CN"/>
        </w:rPr>
        <w:t>本年无</w:t>
      </w:r>
      <w:r>
        <w:rPr>
          <w:rFonts w:hint="eastAsia" w:ascii="仿宋_GB2312" w:eastAsia="仿宋_GB2312"/>
          <w:b w:val="0"/>
          <w:sz w:val="32"/>
          <w:szCs w:val="32"/>
        </w:rPr>
        <w:t>公务用车购置费</w:t>
      </w:r>
      <w:r>
        <w:rPr>
          <w:rFonts w:hint="eastAsia" w:ascii="仿宋_GB2312" w:eastAsia="仿宋_GB2312"/>
          <w:b w:val="0"/>
          <w:sz w:val="32"/>
          <w:szCs w:val="32"/>
          <w:lang w:val="en-US" w:eastAsia="zh-CN"/>
        </w:rPr>
        <w:t>30.95万元，导致</w:t>
      </w:r>
      <w:r>
        <w:rPr>
          <w:rFonts w:ascii="仿宋_GB2312" w:eastAsia="仿宋_GB2312"/>
          <w:b w:val="0"/>
          <w:sz w:val="32"/>
          <w:szCs w:val="32"/>
        </w:rPr>
        <w:t>公务用车购置及运行维护费支出</w:t>
      </w:r>
      <w:r>
        <w:rPr>
          <w:rFonts w:hint="eastAsia" w:ascii="仿宋_GB2312" w:eastAsia="仿宋_GB2312"/>
          <w:b w:val="0"/>
          <w:sz w:val="32"/>
          <w:szCs w:val="32"/>
          <w:lang w:val="en-US" w:eastAsia="zh-CN"/>
        </w:rPr>
        <w:t>较上年减少</w:t>
      </w:r>
      <w:r>
        <w:rPr>
          <w:rFonts w:ascii="仿宋_GB2312" w:eastAsia="仿宋_GB2312"/>
          <w:b w:val="0"/>
          <w:sz w:val="32"/>
          <w:szCs w:val="32"/>
        </w:rPr>
        <w:t>；公务接待费支出0.00万元，占0.00%，与上年相比无变化。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购置数0辆，公务用车保有量0辆。国有资产占用情况中固定资产车辆6辆，与公务用车保有量差异原因是：</w:t>
      </w:r>
      <w:r>
        <w:rPr>
          <w:rFonts w:hint="eastAsia" w:ascii="仿宋_GB2312" w:eastAsia="仿宋_GB2312"/>
          <w:b w:val="0"/>
          <w:sz w:val="32"/>
          <w:szCs w:val="32"/>
          <w:lang w:val="en-US" w:eastAsia="zh-CN"/>
        </w:rPr>
        <w:t>本单位有6辆车，根据工作安排车辆经费统一下至机关事务管理局，导致了</w:t>
      </w:r>
      <w:r>
        <w:rPr>
          <w:rFonts w:ascii="仿宋_GB2312" w:eastAsia="仿宋_GB2312"/>
          <w:b w:val="0"/>
          <w:sz w:val="32"/>
          <w:szCs w:val="32"/>
        </w:rPr>
        <w:t>公务用车保有量差异。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。其中：因公出国（境）费全年预算数0.00万元，决算数0.00万元，预决算差异率0.00%，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。公务用车购置费全年预算数0.00万元，决算数0.00万元，预决算差异率0.00%，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。公务用车运行维护费全年预算数0.00万元，决算数0.00万元，预决算差异率0.00%，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。公务接待费全年预算数0.00万元，决算数0.00万元，预决算差异率0.00%，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2024年度库尔勒市人民代表大会常务委员会单位机关运行经费支出14.31万元，比上年减少36.76万元，下降71.98%，主要原因是：</w:t>
      </w:r>
      <w:r>
        <w:rPr>
          <w:rFonts w:hint="eastAsia" w:ascii="仿宋_GB2312" w:eastAsia="仿宋_GB2312"/>
          <w:b w:val="0"/>
          <w:sz w:val="32"/>
          <w:szCs w:val="32"/>
        </w:rPr>
        <w:t>本年公务用车购置费减少30.95万元，导致机关运行经费较上年减少。</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2024年度政府采购支出总额31.37万元，其中：政府采购货物支出11.62万元、政府采购工程支出0.00万元、政府采购服务支出19.76万元。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授予中小企业合同金额10.71万元，占政府采购支出总额的34.14%，其中：授予小微企业合同金额10.36万元，占政府采购支出总额的33.03%。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6辆，价值88.73万元，其中：副部（省）级及以上领导用车0辆、主要负责人用车3辆、机要通信用车0辆、应急保障用车0辆、执法执勤用车0辆、特种专业技术用车0辆、离退休干部服务用车0辆、其他用车3辆，其他用车主要是：</w:t>
      </w:r>
      <w:r>
        <w:rPr>
          <w:rFonts w:hint="eastAsia" w:ascii="仿宋_GB2312" w:eastAsia="仿宋_GB2312"/>
          <w:b w:val="0"/>
          <w:sz w:val="32"/>
          <w:szCs w:val="32"/>
          <w:lang w:val="en-US" w:eastAsia="zh-CN"/>
        </w:rPr>
        <w:t>主要领导用车3辆</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526.71</w:t>
      </w:r>
      <w:r>
        <w:rPr>
          <w:rFonts w:ascii="仿宋_GB2312" w:eastAsia="仿宋_GB2312"/>
          <w:b w:val="0"/>
          <w:sz w:val="32"/>
          <w:szCs w:val="32"/>
        </w:rPr>
        <w:t>万元，实际执行总额</w:t>
      </w:r>
      <w:r>
        <w:rPr>
          <w:rFonts w:hint="eastAsia" w:ascii="仿宋_GB2312" w:eastAsia="仿宋_GB2312"/>
          <w:b w:val="0"/>
          <w:sz w:val="32"/>
          <w:szCs w:val="32"/>
          <w:lang w:val="en-US" w:eastAsia="zh-CN"/>
        </w:rPr>
        <w:t>526.71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37.55</w:t>
      </w:r>
      <w:r>
        <w:rPr>
          <w:rFonts w:ascii="仿宋_GB2312" w:eastAsia="仿宋_GB2312"/>
          <w:b w:val="0"/>
          <w:sz w:val="32"/>
          <w:szCs w:val="32"/>
        </w:rPr>
        <w:t>万元，全年执行数</w:t>
      </w:r>
      <w:r>
        <w:rPr>
          <w:rFonts w:hint="eastAsia" w:ascii="仿宋_GB2312" w:eastAsia="仿宋_GB2312"/>
          <w:b w:val="0"/>
          <w:sz w:val="32"/>
          <w:szCs w:val="32"/>
          <w:lang w:val="en-US" w:eastAsia="zh-CN"/>
        </w:rPr>
        <w:t>30.13</w:t>
      </w:r>
      <w:r>
        <w:rPr>
          <w:rFonts w:ascii="仿宋_GB2312" w:eastAsia="仿宋_GB2312"/>
          <w:b w:val="0"/>
          <w:sz w:val="32"/>
          <w:szCs w:val="32"/>
        </w:rPr>
        <w:t>万元。预算绩效管理取得的成效：</w:t>
      </w:r>
      <w:r>
        <w:rPr>
          <w:rFonts w:hint="eastAsia" w:ascii="仿宋_GB2312" w:eastAsia="仿宋_GB2312"/>
          <w:b w:val="0"/>
          <w:sz w:val="32"/>
          <w:szCs w:val="32"/>
        </w:rPr>
        <w:t>开展绩效评价，提高了绩效工作管理水平，科学制定目标，促进了绩效目标顺利实现，提高了项目资金使用的绩效意识，以便项目实施完成，进行跟踪问效评价，对下一年此类项目预算编制提供参考。</w:t>
      </w:r>
      <w:r>
        <w:rPr>
          <w:rFonts w:ascii="仿宋_GB2312" w:eastAsia="仿宋_GB2312"/>
          <w:b w:val="0"/>
          <w:sz w:val="32"/>
          <w:szCs w:val="32"/>
        </w:rPr>
        <w:t>发现的问题及原因：</w:t>
      </w:r>
      <w:r>
        <w:rPr>
          <w:rFonts w:hint="eastAsia" w:ascii="仿宋_GB2312" w:eastAsia="仿宋_GB2312"/>
          <w:b w:val="0"/>
          <w:sz w:val="32"/>
          <w:szCs w:val="32"/>
        </w:rPr>
        <w:t>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w:t>
      </w:r>
      <w:r>
        <w:rPr>
          <w:rFonts w:ascii="仿宋_GB2312" w:eastAsia="仿宋_GB2312"/>
          <w:b w:val="0"/>
          <w:sz w:val="32"/>
          <w:szCs w:val="32"/>
        </w:rPr>
        <w:t>下一步改进措施：</w:t>
      </w:r>
      <w:r>
        <w:rPr>
          <w:rFonts w:hint="eastAsia" w:ascii="仿宋_GB2312" w:eastAsia="仿宋_GB2312"/>
          <w:b w:val="0"/>
          <w:sz w:val="32"/>
          <w:szCs w:val="32"/>
        </w:rPr>
        <w:t>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0</wp:posOffset>
            </wp:positionV>
            <wp:extent cx="5772150" cy="6488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772150" cy="648843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-74930</wp:posOffset>
            </wp:positionH>
            <wp:positionV relativeFrom="paragraph">
              <wp:posOffset>0</wp:posOffset>
            </wp:positionV>
            <wp:extent cx="5834380" cy="4704715"/>
            <wp:effectExtent l="0" t="0" r="13970" b="6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grayscl/>
                    </a:blip>
                    <a:stretch>
                      <a:fillRect/>
                    </a:stretch>
                  </pic:blipFill>
                  <pic:spPr>
                    <a:xfrm>
                      <a:off x="0" y="0"/>
                      <a:ext cx="5834380" cy="47047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-74295</wp:posOffset>
            </wp:positionH>
            <wp:positionV relativeFrom="paragraph">
              <wp:posOffset>0</wp:posOffset>
            </wp:positionV>
            <wp:extent cx="5835650" cy="5140325"/>
            <wp:effectExtent l="0" t="0" r="12700"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grayscl/>
                    </a:blip>
                    <a:stretch>
                      <a:fillRect/>
                    </a:stretch>
                  </pic:blipFill>
                  <pic:spPr>
                    <a:xfrm>
                      <a:off x="0" y="0"/>
                      <a:ext cx="5835650" cy="514032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47625</wp:posOffset>
            </wp:positionH>
            <wp:positionV relativeFrom="paragraph">
              <wp:posOffset>263525</wp:posOffset>
            </wp:positionV>
            <wp:extent cx="5716905" cy="5801995"/>
            <wp:effectExtent l="0" t="0" r="17145" b="825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716905" cy="580199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-13335</wp:posOffset>
            </wp:positionH>
            <wp:positionV relativeFrom="paragraph">
              <wp:posOffset>0</wp:posOffset>
            </wp:positionV>
            <wp:extent cx="5772150" cy="5974715"/>
            <wp:effectExtent l="0" t="0" r="0" b="698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grayscl/>
                    </a:blip>
                    <a:stretch>
                      <a:fillRect/>
                    </a:stretch>
                  </pic:blipFill>
                  <pic:spPr>
                    <a:xfrm>
                      <a:off x="0" y="0"/>
                      <a:ext cx="5772150" cy="59747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-172085</wp:posOffset>
            </wp:positionH>
            <wp:positionV relativeFrom="paragraph">
              <wp:posOffset>0</wp:posOffset>
            </wp:positionV>
            <wp:extent cx="5928995" cy="6492875"/>
            <wp:effectExtent l="0" t="0" r="14605" b="317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928995" cy="64928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inline distT="0" distB="0" distL="114300" distR="114300">
            <wp:extent cx="5481320" cy="1630045"/>
            <wp:effectExtent l="0" t="0" r="5080" b="63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5481320" cy="163004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inline distT="0" distB="0" distL="114300" distR="114300">
            <wp:extent cx="5485130" cy="1653540"/>
            <wp:effectExtent l="0" t="0" r="127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3"/>
                    <a:stretch>
                      <a:fillRect/>
                    </a:stretch>
                  </pic:blipFill>
                  <pic:spPr>
                    <a:xfrm>
                      <a:off x="0" y="0"/>
                      <a:ext cx="5485130" cy="165354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-208280</wp:posOffset>
            </wp:positionH>
            <wp:positionV relativeFrom="paragraph">
              <wp:posOffset>19685</wp:posOffset>
            </wp:positionV>
            <wp:extent cx="6074410" cy="1788160"/>
            <wp:effectExtent l="0" t="0" r="2540" b="254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6074410" cy="17881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bookmarkStart w:id="0" w:name="_GoBack"/>
      <w:bookmarkEnd w:id="0"/>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316BA"/>
    <w:rsid w:val="0BB64746"/>
    <w:rsid w:val="0E3756DF"/>
    <w:rsid w:val="0FF21238"/>
    <w:rsid w:val="105D5064"/>
    <w:rsid w:val="1A2C027D"/>
    <w:rsid w:val="1B1A4683"/>
    <w:rsid w:val="1D201555"/>
    <w:rsid w:val="1DA76336"/>
    <w:rsid w:val="1E8F4FAF"/>
    <w:rsid w:val="1EF42755"/>
    <w:rsid w:val="22202C8C"/>
    <w:rsid w:val="224A6BE3"/>
    <w:rsid w:val="23DA1C5E"/>
    <w:rsid w:val="24233357"/>
    <w:rsid w:val="268F6F1A"/>
    <w:rsid w:val="29176FEA"/>
    <w:rsid w:val="2AE546EF"/>
    <w:rsid w:val="2CC70108"/>
    <w:rsid w:val="2D066AAD"/>
    <w:rsid w:val="2D73499D"/>
    <w:rsid w:val="2EB540B0"/>
    <w:rsid w:val="3013786F"/>
    <w:rsid w:val="302E37D9"/>
    <w:rsid w:val="328D6C7F"/>
    <w:rsid w:val="338E7B26"/>
    <w:rsid w:val="34CE057A"/>
    <w:rsid w:val="35176328"/>
    <w:rsid w:val="361352C6"/>
    <w:rsid w:val="38A109B2"/>
    <w:rsid w:val="3C931ED1"/>
    <w:rsid w:val="3F0E1401"/>
    <w:rsid w:val="41474C34"/>
    <w:rsid w:val="418B5019"/>
    <w:rsid w:val="420A3368"/>
    <w:rsid w:val="4362139B"/>
    <w:rsid w:val="43CA7AC6"/>
    <w:rsid w:val="441A0B4A"/>
    <w:rsid w:val="44950494"/>
    <w:rsid w:val="4D9D5E63"/>
    <w:rsid w:val="4E03108A"/>
    <w:rsid w:val="50C85095"/>
    <w:rsid w:val="50F648E0"/>
    <w:rsid w:val="53D05552"/>
    <w:rsid w:val="552A7BC8"/>
    <w:rsid w:val="56DE5770"/>
    <w:rsid w:val="5AE75AB0"/>
    <w:rsid w:val="5D8C4E0A"/>
    <w:rsid w:val="5DC66A9C"/>
    <w:rsid w:val="5FDA7ED2"/>
    <w:rsid w:val="627E0125"/>
    <w:rsid w:val="63ED1601"/>
    <w:rsid w:val="656F3CFB"/>
    <w:rsid w:val="6AB52DA3"/>
    <w:rsid w:val="6CDA5121"/>
    <w:rsid w:val="6D920153"/>
    <w:rsid w:val="6E0D4219"/>
    <w:rsid w:val="6F165D50"/>
    <w:rsid w:val="709A5ECC"/>
    <w:rsid w:val="70FF3672"/>
    <w:rsid w:val="72C132D3"/>
    <w:rsid w:val="74671085"/>
    <w:rsid w:val="75625E25"/>
    <w:rsid w:val="75DE31F0"/>
    <w:rsid w:val="760F49FD"/>
    <w:rsid w:val="762F1CF6"/>
    <w:rsid w:val="770A1659"/>
    <w:rsid w:val="77792F92"/>
    <w:rsid w:val="78D479CB"/>
    <w:rsid w:val="7A2902FC"/>
    <w:rsid w:val="7B384C36"/>
    <w:rsid w:val="7FA966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TotalTime>12</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2025-08-14T04:08:00Z</dcterms:created>
  <dc:creator>Administrator</dc:creator>
  <cp:lastModifiedBy>lenovo</cp:lastModifiedBy>
  <dcterms:modified xsi:type="dcterms:W3CDTF">2025-08-19T11:21:34Z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7272A3CF5C794F38A11F1609FEC946A4_13</vt:lpwstr>
  </property>
</Properties>
</file>