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Autospacing="0" w:after="0" w:afterAutospacing="0" w:line="240" w:lineRule="auto"/>
        <w:jc w:val="left"/>
        <w:rPr>
          <w:rFonts w:ascii="宋体" w:eastAsia="宋体"/>
          <w:sz w:val="32"/>
          <w:szCs w:val="32"/>
        </w:rPr>
      </w:pPr>
    </w:p>
    <w:p>
      <w:pPr>
        <w:widowControl/>
        <w:spacing w:before="0" w:beforeAutospacing="0" w:after="0" w:afterAutospacing="0" w:line="240" w:lineRule="auto"/>
        <w:jc w:val="left"/>
        <w:rPr>
          <w:rFonts w:ascii="宋体" w:eastAsia="宋体"/>
          <w:sz w:val="44"/>
          <w:szCs w:val="44"/>
        </w:rPr>
      </w:pPr>
    </w:p>
    <w:p>
      <w:pPr>
        <w:widowControl/>
        <w:spacing w:before="0" w:beforeAutospacing="0" w:after="0" w:afterAutospacing="0" w:line="240" w:lineRule="auto"/>
        <w:jc w:val="left"/>
        <w:rPr>
          <w:rFonts w:ascii="宋体" w:eastAsia="宋体"/>
          <w:sz w:val="44"/>
          <w:szCs w:val="44"/>
        </w:rPr>
      </w:pPr>
    </w:p>
    <w:p>
      <w:pPr>
        <w:widowControl/>
        <w:spacing w:before="0" w:beforeAutospacing="0" w:after="0" w:afterAutospacing="0" w:line="240" w:lineRule="auto"/>
        <w:jc w:val="left"/>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t>库尔勒上库高新技术产业开发区管理委员会</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outlineLvl w:val="0"/>
        <w:rPr>
          <w:rFonts w:hint="eastAsia" w:ascii="方正小标宋_GBK" w:hAnsi="方正小标宋_GBK" w:eastAsia="方正小标宋_GBK" w:cs="方正小标宋_GBK"/>
          <w:b w:val="0"/>
          <w:sz w:val="44"/>
          <w:szCs w:val="44"/>
        </w:rPr>
      </w:pPr>
      <w:r>
        <w:rPr>
          <w:rFonts w:hint="eastAsia" w:ascii="方正小标宋_GBK" w:hAnsi="方正小标宋_GBK" w:eastAsia="方正小标宋_GBK" w:cs="方正小标宋_GBK"/>
          <w:b w:val="0"/>
          <w:sz w:val="44"/>
          <w:szCs w:val="44"/>
        </w:rPr>
        <w:t>2024年度部门决算</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t>公开说明</w:t>
      </w:r>
    </w:p>
    <w:p>
      <w:pPr>
        <w:widowControl/>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br w:type="page"/>
      </w:r>
    </w:p>
    <w:p>
      <w:pPr>
        <w:widowControl/>
        <w:spacing w:before="0" w:beforeAutospacing="0" w:after="0" w:afterAutospacing="0" w:line="240" w:lineRule="auto"/>
        <w:jc w:val="center"/>
        <w:rPr>
          <w:rFonts w:ascii="黑体" w:eastAsia="黑体"/>
          <w:sz w:val="32"/>
          <w:szCs w:val="32"/>
        </w:rPr>
      </w:pPr>
      <w:r>
        <w:rPr>
          <w:rFonts w:ascii="黑体" w:eastAsia="黑体"/>
          <w:b/>
          <w:sz w:val="32"/>
          <w:szCs w:val="32"/>
        </w:rPr>
        <w:t>目录</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Autospacing="0" w:after="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outlineLvl w:val="0"/>
        <w:rPr>
          <w:rFonts w:ascii="黑体" w:eastAsia="黑体"/>
          <w:sz w:val="32"/>
          <w:szCs w:val="32"/>
        </w:rPr>
      </w:pPr>
      <w:r>
        <w:rPr>
          <w:rFonts w:ascii="黑体" w:eastAsia="黑体"/>
          <w:b w:val="0"/>
          <w:sz w:val="32"/>
          <w:szCs w:val="32"/>
        </w:rPr>
        <w:t>第一部分单位概况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val="0"/>
        <w:kinsoku/>
        <w:wordWrap/>
        <w:overflowPunct/>
        <w:topLinePunct w:val="0"/>
        <w:bidi w:val="0"/>
        <w:adjustRightInd/>
        <w:snapToGrid/>
        <w:spacing w:after="0" w:line="240" w:lineRule="auto"/>
        <w:ind w:firstLine="640" w:firstLineChars="200"/>
        <w:jc w:val="both"/>
        <w:textAlignment w:val="auto"/>
        <w:rPr>
          <w:rFonts w:hint="default" w:ascii="Times New Roman" w:hAnsi="Times New Roman" w:eastAsia="仿宋_GB2312" w:cs="Times New Roman"/>
          <w:color w:val="000000"/>
          <w:kern w:val="2"/>
          <w:sz w:val="32"/>
          <w:szCs w:val="32"/>
          <w:highlight w:val="none"/>
          <w:lang w:eastAsia="zh-CN"/>
        </w:rPr>
      </w:pPr>
      <w:r>
        <w:rPr>
          <w:rFonts w:hint="default" w:ascii="Times New Roman" w:hAnsi="Times New Roman" w:eastAsia="仿宋_GB2312" w:cs="Times New Roman"/>
          <w:color w:val="000000"/>
          <w:kern w:val="2"/>
          <w:sz w:val="32"/>
          <w:szCs w:val="32"/>
          <w:highlight w:val="none"/>
          <w:lang w:eastAsia="zh-CN"/>
        </w:rPr>
        <w:t>（1）贯彻执行党的路线、方针、政策和上级党委、人民政府的决策部署。</w:t>
      </w:r>
    </w:p>
    <w:p>
      <w:pPr>
        <w:keepNext w:val="0"/>
        <w:keepLines w:val="0"/>
        <w:pageBreakBefore w:val="0"/>
        <w:widowControl w:val="0"/>
        <w:kinsoku/>
        <w:wordWrap/>
        <w:overflowPunct/>
        <w:topLinePunct w:val="0"/>
        <w:bidi w:val="0"/>
        <w:adjustRightInd/>
        <w:snapToGrid/>
        <w:spacing w:after="0" w:line="240" w:lineRule="auto"/>
        <w:ind w:firstLine="640" w:firstLineChars="200"/>
        <w:jc w:val="both"/>
        <w:textAlignment w:val="auto"/>
        <w:rPr>
          <w:rFonts w:hint="default" w:ascii="Times New Roman" w:hAnsi="Times New Roman" w:eastAsia="仿宋_GB2312" w:cs="Times New Roman"/>
          <w:color w:val="000000"/>
          <w:kern w:val="2"/>
          <w:sz w:val="32"/>
          <w:szCs w:val="32"/>
          <w:highlight w:val="none"/>
          <w:lang w:eastAsia="zh-CN"/>
        </w:rPr>
      </w:pPr>
      <w:r>
        <w:rPr>
          <w:rFonts w:hint="default" w:ascii="Times New Roman" w:hAnsi="Times New Roman" w:eastAsia="仿宋_GB2312" w:cs="Times New Roman"/>
          <w:color w:val="000000"/>
          <w:kern w:val="2"/>
          <w:sz w:val="32"/>
          <w:szCs w:val="32"/>
          <w:highlight w:val="none"/>
          <w:lang w:eastAsia="zh-CN"/>
        </w:rPr>
        <w:t>（2）行使国家、自治区、自治州和库尔勒市赋予园区的经济管理和审批权限。</w:t>
      </w:r>
    </w:p>
    <w:p>
      <w:pPr>
        <w:keepNext w:val="0"/>
        <w:keepLines w:val="0"/>
        <w:pageBreakBefore w:val="0"/>
        <w:widowControl w:val="0"/>
        <w:kinsoku/>
        <w:wordWrap/>
        <w:overflowPunct/>
        <w:topLinePunct w:val="0"/>
        <w:bidi w:val="0"/>
        <w:adjustRightInd/>
        <w:snapToGrid/>
        <w:spacing w:after="0" w:line="240" w:lineRule="auto"/>
        <w:ind w:firstLine="640" w:firstLineChars="200"/>
        <w:jc w:val="both"/>
        <w:textAlignment w:val="auto"/>
        <w:rPr>
          <w:rFonts w:hint="default" w:ascii="Times New Roman" w:hAnsi="Times New Roman" w:eastAsia="仿宋_GB2312" w:cs="Times New Roman"/>
          <w:color w:val="000000"/>
          <w:kern w:val="2"/>
          <w:sz w:val="32"/>
          <w:szCs w:val="32"/>
          <w:highlight w:val="none"/>
          <w:lang w:eastAsia="zh-CN"/>
        </w:rPr>
      </w:pPr>
      <w:r>
        <w:rPr>
          <w:rFonts w:hint="default" w:ascii="Times New Roman" w:hAnsi="Times New Roman" w:eastAsia="仿宋_GB2312" w:cs="Times New Roman"/>
          <w:color w:val="000000"/>
          <w:kern w:val="2"/>
          <w:sz w:val="32"/>
          <w:szCs w:val="32"/>
          <w:highlight w:val="none"/>
          <w:lang w:eastAsia="zh-CN"/>
        </w:rPr>
        <w:t>（3）制定园区总体规划和各专项发展规划，并组织实施。</w:t>
      </w:r>
    </w:p>
    <w:p>
      <w:pPr>
        <w:keepNext w:val="0"/>
        <w:keepLines w:val="0"/>
        <w:pageBreakBefore w:val="0"/>
        <w:widowControl w:val="0"/>
        <w:kinsoku/>
        <w:wordWrap/>
        <w:overflowPunct/>
        <w:topLinePunct w:val="0"/>
        <w:bidi w:val="0"/>
        <w:adjustRightInd/>
        <w:snapToGrid/>
        <w:spacing w:after="0" w:line="240" w:lineRule="auto"/>
        <w:ind w:firstLine="640" w:firstLineChars="200"/>
        <w:jc w:val="both"/>
        <w:textAlignment w:val="auto"/>
        <w:rPr>
          <w:rFonts w:hint="default" w:ascii="Times New Roman" w:hAnsi="Times New Roman" w:eastAsia="仿宋_GB2312" w:cs="Times New Roman"/>
          <w:color w:val="000000"/>
          <w:kern w:val="2"/>
          <w:sz w:val="32"/>
          <w:szCs w:val="32"/>
          <w:highlight w:val="none"/>
          <w:lang w:eastAsia="zh-CN"/>
        </w:rPr>
      </w:pPr>
      <w:r>
        <w:rPr>
          <w:rFonts w:hint="default" w:ascii="Times New Roman" w:hAnsi="Times New Roman" w:eastAsia="仿宋_GB2312" w:cs="Times New Roman"/>
          <w:color w:val="000000"/>
          <w:kern w:val="2"/>
          <w:sz w:val="32"/>
          <w:szCs w:val="32"/>
          <w:highlight w:val="none"/>
          <w:lang w:eastAsia="zh-CN"/>
        </w:rPr>
        <w:t>（4）负责园区招商引资工作，按规定权限审批、审定申报各类投资项目。</w:t>
      </w:r>
    </w:p>
    <w:p>
      <w:pPr>
        <w:keepNext w:val="0"/>
        <w:keepLines w:val="0"/>
        <w:pageBreakBefore w:val="0"/>
        <w:widowControl w:val="0"/>
        <w:kinsoku/>
        <w:wordWrap/>
        <w:overflowPunct/>
        <w:topLinePunct w:val="0"/>
        <w:bidi w:val="0"/>
        <w:adjustRightInd/>
        <w:snapToGrid/>
        <w:spacing w:after="0" w:line="240" w:lineRule="auto"/>
        <w:ind w:firstLine="640" w:firstLineChars="200"/>
        <w:jc w:val="both"/>
        <w:textAlignment w:val="auto"/>
        <w:rPr>
          <w:rFonts w:hint="eastAsia" w:ascii="Times New Roman" w:hAnsi="Times New Roman" w:eastAsia="仿宋_GB2312" w:cs="Times New Roman"/>
          <w:color w:val="000000"/>
          <w:kern w:val="2"/>
          <w:sz w:val="32"/>
          <w:szCs w:val="32"/>
          <w:highlight w:val="none"/>
          <w:lang w:eastAsia="zh-CN"/>
        </w:rPr>
      </w:pPr>
      <w:r>
        <w:rPr>
          <w:rFonts w:hint="default" w:ascii="Times New Roman" w:hAnsi="Times New Roman" w:eastAsia="仿宋_GB2312" w:cs="Times New Roman"/>
          <w:color w:val="000000"/>
          <w:kern w:val="2"/>
          <w:sz w:val="32"/>
          <w:szCs w:val="32"/>
          <w:highlight w:val="none"/>
          <w:lang w:eastAsia="zh-CN"/>
        </w:rPr>
        <w:t>（5）负责园区规划建设和基础设施、公共设施建设管理</w:t>
      </w:r>
      <w:r>
        <w:rPr>
          <w:rFonts w:hint="eastAsia" w:ascii="Times New Roman" w:hAnsi="Times New Roman" w:eastAsia="仿宋_GB2312" w:cs="Times New Roman"/>
          <w:color w:val="000000"/>
          <w:kern w:val="2"/>
          <w:sz w:val="32"/>
          <w:szCs w:val="32"/>
          <w:highlight w:val="none"/>
          <w:lang w:eastAsia="zh-CN"/>
        </w:rPr>
        <w:t>。</w:t>
      </w:r>
      <w:r>
        <w:rPr>
          <w:rFonts w:hint="default" w:ascii="Times New Roman" w:hAnsi="Times New Roman" w:eastAsia="仿宋_GB2312" w:cs="Times New Roman"/>
          <w:color w:val="000000"/>
          <w:kern w:val="2"/>
          <w:sz w:val="32"/>
          <w:szCs w:val="32"/>
          <w:highlight w:val="none"/>
          <w:lang w:eastAsia="zh-CN"/>
        </w:rPr>
        <w:t>（6）负责园区财务管理、国有资产管理和投融资工作</w:t>
      </w:r>
      <w:r>
        <w:rPr>
          <w:rFonts w:hint="eastAsia" w:ascii="Times New Roman" w:hAnsi="Times New Roman" w:eastAsia="仿宋_GB2312" w:cs="Times New Roman"/>
          <w:color w:val="000000"/>
          <w:kern w:val="2"/>
          <w:sz w:val="32"/>
          <w:szCs w:val="32"/>
          <w:highlight w:val="none"/>
          <w:lang w:eastAsia="zh-CN"/>
        </w:rPr>
        <w:t>。</w:t>
      </w:r>
    </w:p>
    <w:p>
      <w:pPr>
        <w:keepNext w:val="0"/>
        <w:keepLines w:val="0"/>
        <w:pageBreakBefore w:val="0"/>
        <w:widowControl w:val="0"/>
        <w:kinsoku/>
        <w:wordWrap/>
        <w:overflowPunct/>
        <w:topLinePunct w:val="0"/>
        <w:bidi w:val="0"/>
        <w:adjustRightInd/>
        <w:snapToGrid/>
        <w:spacing w:after="0" w:line="240" w:lineRule="auto"/>
        <w:ind w:firstLine="640" w:firstLineChars="200"/>
        <w:jc w:val="both"/>
        <w:textAlignment w:val="auto"/>
        <w:rPr>
          <w:rFonts w:hint="eastAsia" w:ascii="Times New Roman" w:hAnsi="Times New Roman" w:eastAsia="仿宋_GB2312" w:cs="Times New Roman"/>
          <w:color w:val="000000"/>
          <w:kern w:val="2"/>
          <w:sz w:val="32"/>
          <w:szCs w:val="32"/>
          <w:highlight w:val="none"/>
          <w:lang w:eastAsia="zh-CN"/>
        </w:rPr>
      </w:pPr>
      <w:r>
        <w:rPr>
          <w:rFonts w:hint="default" w:ascii="Times New Roman" w:hAnsi="Times New Roman" w:eastAsia="仿宋_GB2312" w:cs="Times New Roman"/>
          <w:color w:val="000000"/>
          <w:kern w:val="2"/>
          <w:sz w:val="32"/>
          <w:szCs w:val="32"/>
          <w:highlight w:val="none"/>
          <w:lang w:eastAsia="zh-CN"/>
        </w:rPr>
        <w:t>（7）负责园区干部管理、机构编制、人力资源和社会保障工作</w:t>
      </w:r>
      <w:r>
        <w:rPr>
          <w:rFonts w:hint="eastAsia" w:ascii="Times New Roman" w:hAnsi="Times New Roman" w:eastAsia="仿宋_GB2312" w:cs="Times New Roman"/>
          <w:color w:val="000000"/>
          <w:kern w:val="2"/>
          <w:sz w:val="32"/>
          <w:szCs w:val="32"/>
          <w:highlight w:val="none"/>
          <w:lang w:eastAsia="zh-CN"/>
        </w:rPr>
        <w:t>。</w:t>
      </w:r>
    </w:p>
    <w:p>
      <w:pPr>
        <w:keepNext w:val="0"/>
        <w:keepLines w:val="0"/>
        <w:pageBreakBefore w:val="0"/>
        <w:widowControl w:val="0"/>
        <w:kinsoku/>
        <w:wordWrap/>
        <w:overflowPunct/>
        <w:topLinePunct w:val="0"/>
        <w:bidi w:val="0"/>
        <w:adjustRightInd/>
        <w:snapToGrid/>
        <w:spacing w:after="0" w:line="240" w:lineRule="auto"/>
        <w:ind w:firstLine="640" w:firstLineChars="200"/>
        <w:jc w:val="both"/>
        <w:textAlignment w:val="auto"/>
        <w:rPr>
          <w:rFonts w:hint="default" w:ascii="Times New Roman" w:hAnsi="Times New Roman" w:eastAsia="仿宋_GB2312" w:cs="Times New Roman"/>
          <w:color w:val="000000"/>
          <w:kern w:val="2"/>
          <w:sz w:val="32"/>
          <w:szCs w:val="32"/>
          <w:highlight w:val="none"/>
          <w:lang w:eastAsia="zh-CN"/>
        </w:rPr>
      </w:pPr>
      <w:r>
        <w:rPr>
          <w:rFonts w:hint="default" w:ascii="Times New Roman" w:hAnsi="Times New Roman" w:eastAsia="仿宋_GB2312" w:cs="Times New Roman"/>
          <w:color w:val="000000"/>
          <w:kern w:val="2"/>
          <w:sz w:val="32"/>
          <w:szCs w:val="32"/>
          <w:highlight w:val="none"/>
          <w:lang w:eastAsia="zh-CN"/>
        </w:rPr>
        <w:t>（8）负责园区环境保护、安全生产监督管理工作</w:t>
      </w:r>
      <w:r>
        <w:rPr>
          <w:rFonts w:hint="eastAsia" w:ascii="Times New Roman" w:hAnsi="Times New Roman" w:eastAsia="仿宋_GB2312" w:cs="Times New Roman"/>
          <w:color w:val="000000"/>
          <w:kern w:val="2"/>
          <w:sz w:val="32"/>
          <w:szCs w:val="32"/>
          <w:highlight w:val="none"/>
          <w:lang w:eastAsia="zh-CN"/>
        </w:rPr>
        <w:t>。</w:t>
      </w:r>
    </w:p>
    <w:p>
      <w:pPr>
        <w:keepNext w:val="0"/>
        <w:keepLines w:val="0"/>
        <w:pageBreakBefore w:val="0"/>
        <w:widowControl w:val="0"/>
        <w:kinsoku/>
        <w:wordWrap/>
        <w:overflowPunct/>
        <w:topLinePunct w:val="0"/>
        <w:bidi w:val="0"/>
        <w:adjustRightInd/>
        <w:snapToGrid/>
        <w:spacing w:after="0" w:line="240" w:lineRule="auto"/>
        <w:ind w:firstLine="640" w:firstLineChars="200"/>
        <w:jc w:val="both"/>
        <w:textAlignment w:val="auto"/>
        <w:rPr>
          <w:rFonts w:hint="eastAsia" w:ascii="Times New Roman" w:hAnsi="Times New Roman" w:eastAsia="仿宋_GB2312" w:cs="Times New Roman"/>
          <w:color w:val="000000"/>
          <w:kern w:val="2"/>
          <w:sz w:val="32"/>
          <w:szCs w:val="32"/>
          <w:highlight w:val="none"/>
          <w:lang w:val="en-US" w:eastAsia="zh-CN"/>
        </w:rPr>
      </w:pPr>
      <w:r>
        <w:rPr>
          <w:rFonts w:hint="default" w:ascii="Times New Roman" w:hAnsi="Times New Roman" w:eastAsia="仿宋_GB2312" w:cs="Times New Roman"/>
          <w:color w:val="000000"/>
          <w:kern w:val="2"/>
          <w:sz w:val="32"/>
          <w:szCs w:val="32"/>
          <w:highlight w:val="none"/>
          <w:lang w:eastAsia="zh-CN"/>
        </w:rPr>
        <w:t>（9）承担与上级相关部门的派驻机构、分支机构的联系和协调职责；履行园区相应的社会管理和社会服务职能。</w:t>
      </w:r>
      <w:r>
        <w:rPr>
          <w:rFonts w:hint="eastAsia" w:ascii="Times New Roman" w:hAnsi="Times New Roman" w:eastAsia="仿宋_GB2312" w:cs="Times New Roman"/>
          <w:color w:val="000000"/>
          <w:kern w:val="2"/>
          <w:sz w:val="32"/>
          <w:szCs w:val="32"/>
          <w:highlight w:val="none"/>
          <w:lang w:val="en-US" w:eastAsia="zh-CN"/>
        </w:rPr>
        <w:t xml:space="preserve">  </w:t>
      </w:r>
    </w:p>
    <w:p>
      <w:pPr>
        <w:keepNext w:val="0"/>
        <w:keepLines w:val="0"/>
        <w:pageBreakBefore w:val="0"/>
        <w:widowControl w:val="0"/>
        <w:kinsoku/>
        <w:wordWrap/>
        <w:overflowPunct/>
        <w:topLinePunct w:val="0"/>
        <w:bidi w:val="0"/>
        <w:adjustRightInd/>
        <w:snapToGrid/>
        <w:spacing w:after="0" w:line="240" w:lineRule="auto"/>
        <w:ind w:firstLine="640" w:firstLineChars="200"/>
        <w:jc w:val="both"/>
        <w:textAlignment w:val="auto"/>
        <w:rPr>
          <w:rFonts w:hint="default" w:ascii="Times New Roman" w:hAnsi="Times New Roman" w:eastAsia="仿宋_GB2312" w:cs="Times New Roman"/>
          <w:color w:val="000000"/>
          <w:kern w:val="2"/>
          <w:sz w:val="32"/>
          <w:szCs w:val="32"/>
          <w:highlight w:val="none"/>
          <w:lang w:eastAsia="zh-CN"/>
        </w:rPr>
      </w:pPr>
      <w:r>
        <w:rPr>
          <w:rFonts w:hint="default" w:ascii="Times New Roman" w:hAnsi="Times New Roman" w:eastAsia="仿宋_GB2312" w:cs="Times New Roman"/>
          <w:color w:val="000000"/>
          <w:kern w:val="2"/>
          <w:sz w:val="32"/>
          <w:szCs w:val="32"/>
          <w:highlight w:val="none"/>
          <w:lang w:eastAsia="zh-CN"/>
        </w:rPr>
        <w:t>（10）承办自治州党委、人民政府和库尔勒市党委、人民政府交办的其他工作。</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eastAsia="仿宋_GB2312"/>
          <w:sz w:val="32"/>
          <w:szCs w:val="32"/>
          <w:lang w:eastAsia="zh-CN"/>
        </w:rPr>
      </w:pPr>
      <w:r>
        <w:rPr>
          <w:rFonts w:ascii="仿宋_GB2312" w:eastAsia="仿宋_GB2312"/>
          <w:b w:val="0"/>
          <w:sz w:val="32"/>
          <w:szCs w:val="32"/>
        </w:rPr>
        <w:t>库尔勒上库高新技术产业开发区管理委员会2024年度，实有人数59人，其中：在职人员58人，增加2人；离休人员0人，较上年无变化；退休人员1人，较上年无变化</w:t>
      </w:r>
      <w:r>
        <w:rPr>
          <w:rFonts w:hint="eastAsia" w:ascii="仿宋_GB2312" w:eastAsia="仿宋_GB2312"/>
          <w:b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库尔勒上库高新技术产业开发区管理委员会无下属预算单位，下设</w:t>
      </w:r>
      <w:r>
        <w:rPr>
          <w:rFonts w:hint="eastAsia" w:ascii="仿宋_GB2312" w:eastAsia="仿宋_GB2312"/>
          <w:b w:val="0"/>
          <w:sz w:val="32"/>
          <w:szCs w:val="32"/>
          <w:lang w:val="en-US" w:eastAsia="zh-CN"/>
        </w:rPr>
        <w:t>7</w:t>
      </w:r>
      <w:r>
        <w:rPr>
          <w:rFonts w:ascii="仿宋_GB2312" w:eastAsia="仿宋_GB2312"/>
          <w:b w:val="0"/>
          <w:sz w:val="32"/>
          <w:szCs w:val="32"/>
        </w:rPr>
        <w:t>个科室，分别是：党建办公室、</w:t>
      </w:r>
      <w:r>
        <w:rPr>
          <w:rFonts w:hint="eastAsia" w:ascii="仿宋_GB2312" w:eastAsia="仿宋_GB2312"/>
          <w:b w:val="0"/>
          <w:sz w:val="32"/>
          <w:szCs w:val="32"/>
          <w:lang w:val="en-US" w:eastAsia="zh-CN"/>
        </w:rPr>
        <w:t>党政</w:t>
      </w:r>
      <w:r>
        <w:rPr>
          <w:rFonts w:ascii="仿宋_GB2312" w:eastAsia="仿宋_GB2312"/>
          <w:b w:val="0"/>
          <w:sz w:val="32"/>
          <w:szCs w:val="32"/>
        </w:rPr>
        <w:t>办公室、投资促进局、应急管理局、经济发展局、社会发展局、规划建设环保局。</w:t>
      </w:r>
    </w:p>
    <w:p>
      <w:pPr>
        <w:keepNext w:val="0"/>
        <w:keepLines w:val="0"/>
        <w:pageBreakBefore w:val="0"/>
        <w:widowControl/>
        <w:kinsoku/>
        <w:wordWrap/>
        <w:overflowPunct/>
        <w:topLinePunct w:val="0"/>
        <w:autoSpaceDE/>
        <w:autoSpaceDN/>
        <w:bidi w:val="0"/>
        <w:adjustRightInd/>
        <w:snapToGrid/>
        <w:spacing w:line="240" w:lineRule="auto"/>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outlineLvl w:val="0"/>
        <w:rPr>
          <w:rFonts w:ascii="黑体" w:eastAsia="黑体"/>
          <w:sz w:val="32"/>
          <w:szCs w:val="32"/>
        </w:rPr>
      </w:pPr>
      <w:r>
        <w:rPr>
          <w:rFonts w:ascii="黑体" w:eastAsia="黑体"/>
          <w:b w:val="0"/>
          <w:sz w:val="32"/>
          <w:szCs w:val="32"/>
        </w:rPr>
        <w:t>第二部分部门决算情况说明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2024年度收入总计21,438.61万元，其中：本年收入合计21,438.61万元，使用非财政拨款结余（含专用结余）0.00万元，年初结转和结余0.00万元。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2024年度支出总计21,438.61万元，其中：本年支出合计21,438.61万元，结余分配0.00万元，年末结转和结余0.00万元。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收入支出总体与上年相比，增加7,798.03万元，增长57.17%，主要原因是：本年度加大对</w:t>
      </w:r>
      <w:r>
        <w:rPr>
          <w:rFonts w:hint="eastAsia" w:ascii="仿宋_GB2312" w:eastAsia="仿宋_GB2312"/>
          <w:b w:val="0"/>
          <w:sz w:val="32"/>
          <w:szCs w:val="32"/>
          <w:lang w:val="en-US" w:eastAsia="zh-CN"/>
        </w:rPr>
        <w:t>建设用地等</w:t>
      </w:r>
      <w:r>
        <w:rPr>
          <w:rFonts w:ascii="仿宋_GB2312" w:eastAsia="仿宋_GB2312"/>
          <w:b w:val="0"/>
          <w:sz w:val="32"/>
          <w:szCs w:val="32"/>
        </w:rPr>
        <w:t>重点项目占用耕地相关手续办理方面的资金投入力度。</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本年收入21,438.61万元，其中：财政拨款收入20,095.08万元,占93.73%；上级补助收入0.00万元,占0.00%；事业收入0.00万元，占0.00%；经营收入0.00万元,占0.00%；附属单位上缴收入0.00万元，占0.00%；其他收入1,343.53万元，占6.27%。</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本年支出21,438.61万元，其中：基本支出903.62万元，占4.21%；项目支出20,534.98万元，占95.79%；上缴上级支出0.00万元，占0.00%；经营支出0.00万元，占0.00%；对附属单位补助支出0.00万元，占0.00%。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2024年度财政拨款收入总计20,095.08万元，其中：年初财政拨款结转和结余0.00万元，本</w:t>
      </w:r>
      <w:r>
        <w:rPr>
          <w:rFonts w:hint="eastAsia" w:ascii="仿宋_GB2312" w:eastAsia="仿宋_GB2312"/>
          <w:b w:val="0"/>
          <w:sz w:val="32"/>
          <w:szCs w:val="32"/>
          <w:lang w:eastAsia="zh-CN"/>
        </w:rPr>
        <w:t>年</w:t>
      </w:r>
      <w:r>
        <w:rPr>
          <w:rFonts w:ascii="仿宋_GB2312" w:eastAsia="仿宋_GB2312"/>
          <w:b w:val="0"/>
          <w:sz w:val="32"/>
          <w:szCs w:val="32"/>
        </w:rPr>
        <w:t>财政拨款收入20,095.08万元。财政拨款支出总计20,095.08万元，其中：年末财政拨款结转和结余0.00万元，本年财政拨款支出20,095.08万元。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财政拨款收入支出总体与上年相比，增加7,520.61万元，增长59.81%，主要原因是：本年度加大对</w:t>
      </w:r>
      <w:r>
        <w:rPr>
          <w:rFonts w:hint="eastAsia" w:ascii="仿宋_GB2312" w:eastAsia="仿宋_GB2312"/>
          <w:b w:val="0"/>
          <w:sz w:val="32"/>
          <w:szCs w:val="32"/>
          <w:lang w:val="en-US" w:eastAsia="zh-CN"/>
        </w:rPr>
        <w:t>建设用地等</w:t>
      </w:r>
      <w:r>
        <w:rPr>
          <w:rFonts w:ascii="仿宋_GB2312" w:eastAsia="仿宋_GB2312"/>
          <w:b w:val="0"/>
          <w:sz w:val="32"/>
          <w:szCs w:val="32"/>
        </w:rPr>
        <w:t>重点项目占用耕地相关手续办理方面的资金投入力度。与年初预算相比，年初预算数11,728.41万元，决算数20,095.08万元，预决算差异率71.34%，主要原因是：年中追加项目未列入年初预算，包括：上库高新区市政、园林、环卫养护费用项目5647.77万元</w:t>
      </w:r>
      <w:r>
        <w:rPr>
          <w:rFonts w:hint="eastAsia" w:ascii="仿宋_GB2312" w:eastAsia="仿宋_GB2312"/>
          <w:b w:val="0"/>
          <w:sz w:val="32"/>
          <w:szCs w:val="32"/>
          <w:lang w:eastAsia="zh-CN"/>
        </w:rPr>
        <w:t>，</w:t>
      </w:r>
      <w:r>
        <w:rPr>
          <w:rFonts w:hint="eastAsia" w:ascii="仿宋_GB2312" w:eastAsia="仿宋_GB2312"/>
          <w:b w:val="0"/>
          <w:sz w:val="32"/>
          <w:szCs w:val="32"/>
        </w:rPr>
        <w:t>库尔勒上库高新区2021-2023年建设用地耕地占用税</w:t>
      </w:r>
      <w:r>
        <w:rPr>
          <w:rFonts w:hint="eastAsia" w:ascii="仿宋_GB2312" w:eastAsia="仿宋_GB2312"/>
          <w:b w:val="0"/>
          <w:sz w:val="32"/>
          <w:szCs w:val="32"/>
          <w:lang w:val="en-US" w:eastAsia="zh-CN"/>
        </w:rPr>
        <w:t>3877.01万元，上库高新区基础设施项目款1109.38万元，</w:t>
      </w:r>
      <w:r>
        <w:rPr>
          <w:rFonts w:ascii="仿宋_GB2312" w:eastAsia="仿宋_GB2312"/>
          <w:b w:val="0"/>
          <w:sz w:val="32"/>
          <w:szCs w:val="32"/>
        </w:rPr>
        <w:t>自治区科技计划专项资金30万元，自治区工业节能减排专项资金50万元，上库高新区基础设施项目款1109.83万元等。</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3" w:firstLineChars="200"/>
        <w:jc w:val="left"/>
        <w:textAlignment w:val="auto"/>
        <w:outlineLvl w:val="2"/>
        <w:rPr>
          <w:rFonts w:ascii="仿宋_GB2312" w:eastAsia="仿宋_GB2312"/>
          <w:sz w:val="32"/>
          <w:szCs w:val="32"/>
        </w:rPr>
      </w:pPr>
      <w:r>
        <w:rPr>
          <w:rFonts w:ascii="仿宋_GB2312" w:eastAsia="仿宋_GB2312"/>
          <w:b/>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2024年度一般公共预算财政拨款支出14,139.79万元，占本年支出合计的65.95%。与上年相比，增加9,051.17万元，增长177.87%，主要原因是：本年度加大对</w:t>
      </w:r>
      <w:r>
        <w:rPr>
          <w:rFonts w:hint="eastAsia" w:ascii="仿宋_GB2312" w:eastAsia="仿宋_GB2312"/>
          <w:b w:val="0"/>
          <w:sz w:val="32"/>
          <w:szCs w:val="32"/>
          <w:lang w:val="en-US" w:eastAsia="zh-CN"/>
        </w:rPr>
        <w:t>建设用地等</w:t>
      </w:r>
      <w:r>
        <w:rPr>
          <w:rFonts w:ascii="仿宋_GB2312" w:eastAsia="仿宋_GB2312"/>
          <w:b w:val="0"/>
          <w:sz w:val="32"/>
          <w:szCs w:val="32"/>
        </w:rPr>
        <w:t>重点项目占用耕地相关手续办理方面的资金投入力度。与年初预算相比，年初预算数7,085.45万元，决算数14,139.79万元，预决算差异率99.56%，主要原因是：部分年中追加项目未列入年初预算，包括上库高新区基础设施项目款1109.83万元</w:t>
      </w:r>
      <w:r>
        <w:rPr>
          <w:rFonts w:hint="eastAsia" w:ascii="仿宋_GB2312" w:eastAsia="仿宋_GB2312"/>
          <w:b w:val="0"/>
          <w:sz w:val="32"/>
          <w:szCs w:val="32"/>
          <w:lang w:eastAsia="zh-CN"/>
        </w:rPr>
        <w:t>、</w:t>
      </w:r>
      <w:r>
        <w:rPr>
          <w:rFonts w:hint="eastAsia" w:ascii="仿宋_GB2312" w:eastAsia="仿宋_GB2312"/>
          <w:b w:val="0"/>
          <w:sz w:val="32"/>
          <w:szCs w:val="32"/>
        </w:rPr>
        <w:t>库尔勒上库高新技术产业开发区市政、环卫维护费和园林养护费</w:t>
      </w:r>
      <w:r>
        <w:rPr>
          <w:rFonts w:hint="eastAsia" w:ascii="仿宋_GB2312" w:eastAsia="仿宋_GB2312"/>
          <w:b w:val="0"/>
          <w:sz w:val="32"/>
          <w:szCs w:val="32"/>
          <w:lang w:val="en-US" w:eastAsia="zh-CN"/>
        </w:rPr>
        <w:t>5647.77万元、新疆大有镁业有限公司注册资本金969.98万元等</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3" w:firstLineChars="200"/>
        <w:jc w:val="left"/>
        <w:textAlignment w:val="auto"/>
        <w:outlineLvl w:val="2"/>
        <w:rPr>
          <w:rFonts w:ascii="仿宋_GB2312" w:eastAsia="仿宋_GB2312"/>
          <w:sz w:val="32"/>
          <w:szCs w:val="32"/>
        </w:rPr>
      </w:pPr>
      <w:r>
        <w:rPr>
          <w:rFonts w:ascii="仿宋_GB2312" w:eastAsia="仿宋_GB2312"/>
          <w:b/>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一般公共服务支出（类）1,578.25万元，占11.16%。</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教育支出（类）1.16万元，占0.01%。</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科学技术支出（类）30.00万元，占0.21%。</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社会保障和就业支出（类）91.49万元，占0.65%。</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卫生健康支出（类）41.98万元，占0.30%。</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节能环保支出（类）80.80万元，占0.57%。</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城乡社区支出（类）10,260.73万元，占72.57%。</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资源勘探工业信息等支出（类）265.00万元，占1.87%。</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住房保障支出（类）1,790.40万元，占12.66%。</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3" w:firstLineChars="200"/>
        <w:jc w:val="left"/>
        <w:textAlignment w:val="auto"/>
        <w:outlineLvl w:val="2"/>
        <w:rPr>
          <w:rFonts w:ascii="仿宋_GB2312" w:eastAsia="仿宋_GB2312"/>
          <w:sz w:val="32"/>
          <w:szCs w:val="32"/>
        </w:rPr>
      </w:pPr>
      <w:r>
        <w:rPr>
          <w:rFonts w:ascii="仿宋_GB2312" w:eastAsia="仿宋_GB2312"/>
          <w:b/>
          <w:sz w:val="32"/>
          <w:szCs w:val="32"/>
        </w:rPr>
        <w:t>（三）一般公共预算财政拨款支出决算具体情况</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一般公共服务支出（类）政府办公厅（室）及相关机构事务（款）其他政府办公厅（室）及相关机构事务支出（项）：支出决算数为1,578.25万元，比上年决算增加887.63万元，增长128.53%，主要原因是：本年度增加了对重点项目相关手续办理的支持力度。</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教育支出（类）进修及培训（款）培训支出（项）：支出决算数为1.16万元，比上年决算减少2.78万元，下降70.56%，主要原因是：本年度我单位厉行节约开支，减少了外出培训的次数，故培训费减少。</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科学技术支出（类）技术研究与开发（款）科技成果转化与扩散（项）：支出决算数为30.00万元，比上年决算增加30.00万元，增长100.00%，主要原因是：本年度增加了对高新园区科技能力提升的资金支持。</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行政事业单位养老支出（款）事业单位离退休（项）：支出决算数为0.65万元，比上年决算减少0.07万元，下降9.72%，主要原因是：2023年发放了一名退休人员的一次性奖励工资，故2024年度有所下降。</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行政事业单位养老支出（款）机关事业单位基本养老保险缴费支出（项）：支出决算数为90.84万元，比上年决算增加12.57万元，增长16.06%，主要原因是：2024年度新增入职研究生2人，同时调整了在职人员工资，社保基数</w:t>
      </w:r>
      <w:r>
        <w:rPr>
          <w:rFonts w:hint="eastAsia" w:ascii="仿宋_GB2312" w:eastAsia="仿宋_GB2312"/>
          <w:b w:val="0"/>
          <w:sz w:val="32"/>
          <w:szCs w:val="32"/>
          <w:lang w:val="en-US" w:eastAsia="zh-CN"/>
        </w:rPr>
        <w:t>调增，因此</w:t>
      </w:r>
      <w:r>
        <w:rPr>
          <w:rFonts w:ascii="仿宋_GB2312" w:eastAsia="仿宋_GB2312"/>
          <w:b w:val="0"/>
          <w:sz w:val="32"/>
          <w:szCs w:val="32"/>
        </w:rPr>
        <w:t>机关事业单位基本养老保险缴费支出</w:t>
      </w:r>
      <w:r>
        <w:rPr>
          <w:rFonts w:hint="eastAsia" w:ascii="仿宋_GB2312" w:eastAsia="仿宋_GB2312"/>
          <w:b w:val="0"/>
          <w:sz w:val="32"/>
          <w:szCs w:val="32"/>
          <w:lang w:val="en-US" w:eastAsia="zh-CN"/>
        </w:rPr>
        <w:t>比上年增加</w:t>
      </w:r>
      <w:r>
        <w:rPr>
          <w:rFonts w:ascii="仿宋_GB2312" w:eastAsia="仿宋_GB2312"/>
          <w:b w:val="0"/>
          <w:sz w:val="32"/>
          <w:szCs w:val="32"/>
        </w:rPr>
        <w:t>。</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社会保障和就业支出（类）行政事业单位养老支出（款）机关事业单位职业年金缴费支出（项）：支出决算数为0.00万元，比上年决算减少12.52万元，下降100.00%，主要原因是：2024</w:t>
      </w:r>
      <w:r>
        <w:rPr>
          <w:rFonts w:hint="eastAsia" w:ascii="仿宋_GB2312" w:eastAsia="仿宋_GB2312"/>
          <w:b w:val="0"/>
          <w:sz w:val="32"/>
          <w:szCs w:val="32"/>
          <w:highlight w:val="none"/>
          <w:lang w:val="en-US" w:eastAsia="zh-CN"/>
        </w:rPr>
        <w:t>年度没有人员退休，故</w:t>
      </w:r>
      <w:r>
        <w:rPr>
          <w:rFonts w:ascii="仿宋_GB2312" w:eastAsia="仿宋_GB2312"/>
          <w:b w:val="0"/>
          <w:sz w:val="32"/>
          <w:szCs w:val="32"/>
          <w:highlight w:val="none"/>
        </w:rPr>
        <w:t>未安排此科目预算支出。</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社会保障和就业支出（类）就业补助（款）公益性岗位补贴（项）：支出决算数为0.00万元，比上年决算减少20.42万元，下降100.00%，主要原因是：2024</w:t>
      </w:r>
      <w:r>
        <w:rPr>
          <w:rFonts w:hint="eastAsia" w:ascii="仿宋_GB2312" w:eastAsia="仿宋_GB2312"/>
          <w:b w:val="0"/>
          <w:sz w:val="32"/>
          <w:szCs w:val="32"/>
          <w:highlight w:val="none"/>
          <w:lang w:val="en-US" w:eastAsia="zh-CN"/>
        </w:rPr>
        <w:t>年度公益性岗位工作人员0人，故</w:t>
      </w:r>
      <w:r>
        <w:rPr>
          <w:rFonts w:ascii="仿宋_GB2312" w:eastAsia="仿宋_GB2312"/>
          <w:b w:val="0"/>
          <w:sz w:val="32"/>
          <w:szCs w:val="32"/>
          <w:highlight w:val="none"/>
        </w:rPr>
        <w:t>未安排此科目预算支出。</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卫生健康支出（类）行政事业单位医疗（款）事业单位医疗（项）：支出决算数为41.98万元，比上年决算增加6.27万元，增长17.56%，主要原因是：2024年度新增入职研究生2人，同时调整了在职人员工资，医保基数随之调整。</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节能环保支出（类）污染防治（款）大气（项）：支出决算数为30.80万元，比上年决算减少178.40万元，下降85.28%，主要原因是：目前石油石化园大气污染设备已建成，本年度减少了对环境监测方面的资金投入。</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节能环保支出（类）能源节约利用（款）能源节约利用（项）：支出决算数为50.00万元，比上年决算增加50.00万元，增长100.00%，主要原因是：本年度增加了对园区节能减排方面的资金支出。</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城乡社区支出（类）城乡社区公共设施（款）小城镇基础设施建设（项）：支出决算数为1,109.83万元，比上年决算增加1,109.83万元，增长100.00%，主要原因是：本年度增加园区基础设施建设方面的资金支出，持续提升园区交通运输承载能力。</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城乡社区支出（类）城乡社区公共设施（款）其他城乡社区公共设施支出（项）：支出决算数为94.43万元，比上年决算减少116.60万元，下降55.25%，主要原因是：本年度减少了对部分项目相关手续办理方面的资金。</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城乡社区支出（类）城乡社区环境卫生（款）城乡社区环境卫生（项）：支出决算数为5,647.77万元，比上年决算增加5,647.77万元，增长100.00%，主要原因是：本年度增加了对园区市政园区园林方面的资金投入，持续提升入园企业的满意度。</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城乡社区支出（类）其他城乡社区支出（款）其他城乡社区支出（项）：支出决算数为3,408.71万元，比上年决算减少321.44万元，下降8.62%，主要原因是：本年度减少了对部分项目相关手续办理方面的资金。</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资源勘探工业信息等支出（类）工业和信息产业监管（款）其他工业和信息产业监管支出（项）：支出决算数为200.00万元，比上年决算增加200.00万元，增长100.00%，主要原因是：本年度增加了对园区企业工业信息申报方面的资金支持力度。</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资源勘探工业信息等支出（类）支持中小企业发展和管理支出（款）中小企业发展专项（项）：支出决算数为65.00万元，比上年决算增加30.00万元，增长85.71%，主要原因是：本年度增加了对园区中小企业发展</w:t>
      </w:r>
      <w:r>
        <w:rPr>
          <w:rFonts w:hint="eastAsia" w:ascii="仿宋_GB2312" w:eastAsia="仿宋_GB2312"/>
          <w:b w:val="0"/>
          <w:sz w:val="32"/>
          <w:szCs w:val="32"/>
          <w:lang w:val="en-US" w:eastAsia="zh-CN"/>
        </w:rPr>
        <w:t>扶持</w:t>
      </w:r>
      <w:r>
        <w:rPr>
          <w:rFonts w:ascii="仿宋_GB2312" w:eastAsia="仿宋_GB2312"/>
          <w:b w:val="0"/>
          <w:sz w:val="32"/>
          <w:szCs w:val="32"/>
        </w:rPr>
        <w:t>方面的资金需求。</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住房保障支出（类）保障性安居工程支出（款）保障性租赁住房（项）：支出决算数为1,720.00万元，比上年决算增加1,720.00万元，增长100.00%，主要原因是：本年度增加了对石油石化园保障性租赁住房的资金投入，满足了入园企业职工对保障性租赁租房的需求。</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住房保障支出（类）住房改革支出（款）住房公积金（项）：支出决算数为70.40万元，比上年决算增加9.37万元，增长15.35%，主要原因是：2024年度新增入职研究生2人，同时调整了在职人员工资，住房公积金基数随之调整。</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903.62万元，其中：人员经费853.14万元，包括：基本工资、津贴补贴、绩效工资、机关事业单位基本养老保险缴费、职工基本医疗保险缴费、其他社会保障缴费、住房公积金、其他工资福利支出、退休费和奖励金。</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公用经费50.48万元，包括：办公费、电费、取暖费、差旅费、培训费、工会经费和公务用车运行维护费。</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2024年度政府性基金预算财政拨款收入总计5,955.28万元，其中：年初结转和结余0.00万元，本年收入5,955.28万元。政府性基金预算财政拨款支出总计5,955.28万元，其中：年末结转和结余0.00万元，本年支出5,955.28万元。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政府性基金预算财政拨款收入支出总体与上年相比，减少1,530.57万元，下降20.45%，主要原因是：目前上库高新区部分基础设施已建成，今年减少了对基础设施的资金投入力度。与年初预算相比，年初预算数4,642.96万元，决算数5,955.28万元，预决算差异率28.26%，主要原因是：部分年中追加项目未列入年初预算，包括上库高新区市政、园林、环卫养护费用项目952.23万元、解决</w:t>
      </w:r>
      <w:r>
        <w:rPr>
          <w:rFonts w:hint="eastAsia" w:ascii="仿宋_GB2312" w:eastAsia="仿宋_GB2312"/>
          <w:b w:val="0"/>
          <w:sz w:val="32"/>
          <w:szCs w:val="32"/>
          <w:lang w:eastAsia="zh-CN"/>
        </w:rPr>
        <w:t>农民</w:t>
      </w:r>
      <w:r>
        <w:rPr>
          <w:rFonts w:ascii="仿宋_GB2312" w:eastAsia="仿宋_GB2312"/>
          <w:b w:val="0"/>
          <w:sz w:val="32"/>
          <w:szCs w:val="32"/>
        </w:rPr>
        <w:t>工工资项目599.40万元等。</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政府性基金预算财政拨款支出5,955.28万元。</w:t>
      </w:r>
    </w:p>
    <w:p>
      <w:pPr>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城乡社区支</w:t>
      </w:r>
      <w:bookmarkStart w:id="0" w:name="_GoBack"/>
      <w:bookmarkEnd w:id="0"/>
      <w:r>
        <w:rPr>
          <w:rFonts w:ascii="仿宋_GB2312" w:eastAsia="仿宋_GB2312"/>
          <w:b w:val="0"/>
          <w:sz w:val="32"/>
          <w:szCs w:val="32"/>
        </w:rPr>
        <w:t>出（类）国有土地使用权出让收入安排的支出（款）城市建设支出（项）：支出决算数为0.00万元，比上年决算减少5,659.15万元，下降100.00%，主要原因是：</w:t>
      </w:r>
      <w:r>
        <w:rPr>
          <w:rFonts w:hint="eastAsia" w:ascii="仿宋_GB2312" w:eastAsia="仿宋_GB2312"/>
          <w:b w:val="0"/>
          <w:sz w:val="32"/>
          <w:szCs w:val="32"/>
          <w:lang w:val="en-US" w:eastAsia="zh-CN"/>
        </w:rPr>
        <w:t>本年度减少了对石化园国有土地的配套设施建设力度，故</w:t>
      </w:r>
      <w:r>
        <w:rPr>
          <w:rFonts w:ascii="仿宋_GB2312" w:eastAsia="仿宋_GB2312"/>
          <w:b w:val="0"/>
          <w:sz w:val="32"/>
          <w:szCs w:val="32"/>
        </w:rPr>
        <w:t>未安排此科目预算支出。</w:t>
      </w:r>
    </w:p>
    <w:p>
      <w:pPr>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b w:val="0"/>
          <w:sz w:val="32"/>
          <w:szCs w:val="32"/>
        </w:rPr>
      </w:pPr>
      <w:r>
        <w:rPr>
          <w:rFonts w:ascii="仿宋_GB2312" w:eastAsia="仿宋_GB2312"/>
          <w:b w:val="0"/>
          <w:sz w:val="32"/>
          <w:szCs w:val="32"/>
        </w:rPr>
        <w:t>城乡社区支出（类）国有土地使用权出让收入安排的支出（款）农村社会事业支出（项）：支出决算数为599.40万元，比上年决算增加599.40万元，增长100.00%，主要原因是：本年度增加了对农民工工资的资金支持力度</w:t>
      </w:r>
      <w:r>
        <w:rPr>
          <w:rFonts w:hint="eastAsia" w:ascii="仿宋_GB2312" w:eastAsia="仿宋_GB2312"/>
          <w:b w:val="0"/>
          <w:sz w:val="32"/>
          <w:szCs w:val="32"/>
          <w:lang w:eastAsia="zh-CN"/>
        </w:rPr>
        <w:t>，</w:t>
      </w:r>
      <w:r>
        <w:rPr>
          <w:rFonts w:hint="default" w:ascii="仿宋_GB2312" w:eastAsia="仿宋_GB2312"/>
          <w:b w:val="0"/>
          <w:sz w:val="32"/>
          <w:szCs w:val="32"/>
        </w:rPr>
        <w:t>切实维护农民工劳动报酬权益</w:t>
      </w:r>
      <w:r>
        <w:rPr>
          <w:rFonts w:hint="eastAsia" w:ascii="仿宋_GB2312" w:eastAsia="仿宋_GB2312"/>
          <w:b w:val="0"/>
          <w:sz w:val="32"/>
          <w:szCs w:val="32"/>
          <w:lang w:eastAsia="zh-CN"/>
        </w:rPr>
        <w:t>。</w:t>
      </w:r>
    </w:p>
    <w:p>
      <w:pPr>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城乡社区支出（类）国有土地使用权出让收入安排的支出（款）其他国有土地使用权出让收入安排的支出（项）：支出决算数为4,403.65万元，比上年决算增加3,576.95万元，增长432.68%，主要原因是：本年度持续提升对上库高新区基础设施项目相关手续办理方面的支持力度</w:t>
      </w:r>
      <w:r>
        <w:rPr>
          <w:rFonts w:hint="eastAsia" w:ascii="仿宋_GB2312" w:eastAsia="仿宋_GB2312"/>
          <w:b w:val="0"/>
          <w:sz w:val="32"/>
          <w:szCs w:val="32"/>
          <w:lang w:eastAsia="zh-CN"/>
        </w:rPr>
        <w:t>。</w:t>
      </w:r>
    </w:p>
    <w:p>
      <w:pPr>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城乡社区支出（类）城市基础设施配套费安排的支出（款）城市环境卫生（项）：支出决算数为952.23万元，比上年决算增加952.23万元，增长100.00%，主要原因是：本年度持续提升对上库高新区园林绿化环卫等方面的支持力度</w:t>
      </w:r>
      <w:r>
        <w:rPr>
          <w:rFonts w:hint="eastAsia" w:ascii="仿宋_GB2312" w:eastAsia="仿宋_GB2312"/>
          <w:b w:val="0"/>
          <w:sz w:val="32"/>
          <w:szCs w:val="32"/>
          <w:lang w:eastAsia="zh-CN"/>
        </w:rPr>
        <w:t>。</w:t>
      </w:r>
    </w:p>
    <w:p>
      <w:pPr>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城乡社区支出（类）城市基础设施配套费安排的支出（款）其他城市基础设施配套费安排的支出（项）：支出决算数为0.00万元，比上年决算减少1,000.00万元，下降100.00%，主要原因是：</w:t>
      </w:r>
      <w:r>
        <w:rPr>
          <w:rFonts w:hint="eastAsia" w:ascii="仿宋_GB2312" w:eastAsia="仿宋_GB2312"/>
          <w:b w:val="0"/>
          <w:sz w:val="32"/>
          <w:szCs w:val="32"/>
          <w:lang w:val="en-US" w:eastAsia="zh-CN"/>
        </w:rPr>
        <w:t>本年度减少了对重点企业的产业资金支持力度，故</w:t>
      </w:r>
      <w:r>
        <w:rPr>
          <w:rFonts w:ascii="仿宋_GB2312" w:eastAsia="仿宋_GB2312"/>
          <w:b w:val="0"/>
          <w:sz w:val="32"/>
          <w:szCs w:val="32"/>
        </w:rPr>
        <w:t>未安排此科目预算支出。</w:t>
      </w:r>
      <w:r>
        <w:rPr>
          <w:rFonts w:hint="eastAsia" w:ascii="仿宋_GB2312" w:eastAsia="仿宋_GB2312"/>
          <w:b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left"/>
        <w:textAlignment w:val="auto"/>
        <w:outlineLvl w:val="1"/>
        <w:rPr>
          <w:rFonts w:ascii="黑体" w:eastAsia="黑体"/>
          <w:sz w:val="32"/>
          <w:szCs w:val="32"/>
        </w:rPr>
      </w:pPr>
      <w:r>
        <w:rPr>
          <w:rFonts w:ascii="黑体" w:eastAsia="黑体"/>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12.80万元，与上年相比无变化，主要原因是：坚决落实过紧日子思想，厉行节约，大力精简三公经费开支。其中：因公出国（境）费支出0.00万元,占0.00%，与上年相比无变化，主要原因是：本年无因公出国（境）费支出，与上年相比无变动；公务用车购置及运行维护费支出12.80万元，占100.00%，与上年相比无变化，主要原因是：坚决落实过紧日子思想，厉行节约，大力精简三公经费开支；公务接待费支出0.00万元，占0.00%，与上年相比无变化，主要原因是：本年无公务接待支出，与上年相比无变动。</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left"/>
        <w:textAlignment w:val="auto"/>
        <w:rPr>
          <w:rFonts w:ascii="仿宋_GB2312" w:eastAsia="仿宋_GB2312"/>
          <w:sz w:val="32"/>
          <w:szCs w:val="32"/>
        </w:rPr>
      </w:pPr>
      <w:r>
        <w:rPr>
          <w:rFonts w:ascii="仿宋_GB2312" w:eastAsia="仿宋_GB2312"/>
          <w:b w:val="0"/>
          <w:sz w:val="32"/>
          <w:szCs w:val="32"/>
        </w:rPr>
        <w:t>具体情况如下：</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因公出国（境）费支出0.00万元，开支内容包括无因公出国（境）费支出。单位全年安排的因公出国（境）团组0个，因公出国（境）0人次。</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12.80万元，其中：公务用车购置费0.00万元，公务用车运行维护费12.80万元。公务用车运行维护费开支内容包括公务用车车辆加油、车辆保险及车辆维修等。公务用车购置数0辆，公务用车保有量11辆。国有资产占用情况中固定资产车辆11辆，与公务用车保有量差异原因是：我单位公务用车保有量与国有资产占用情况中固定资产车辆无差异。</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公务接待费0.00万元，开支内容包括无公务接待支出。单位全年安排的国内公务接待0批次，0人次。</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与全年预算相比，财政拨款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全年预算数12.80万元，决算数12.80万元，预决算差异率0.00%，主要原因是：预决算一致无差异。其中：因公出国（境）费全年预算数0.00万元，决算数0.00万元，预决算差异率0.00%，主要原因是：我单位无因公出国（境）费支出。公务用车购置费全年预算数0.00万元，决算数0.00万元，预决算差异率0.00%，主要原因是：我单位无公务用车购置费支出。公务用车运行维护费全年预算数12.80万元，决算数12.80万元，预决算差异率0.00%，主要原因是：预决算一致无差异。公务接待费全年预算数0.00万元，决算数0.00万元，预决算差异率0.00%，主要原因是：我单位无公务接待费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3" w:firstLineChars="200"/>
        <w:jc w:val="left"/>
        <w:textAlignment w:val="auto"/>
        <w:outlineLvl w:val="2"/>
        <w:rPr>
          <w:rFonts w:ascii="仿宋_GB2312" w:eastAsia="仿宋_GB2312"/>
          <w:sz w:val="32"/>
          <w:szCs w:val="32"/>
        </w:rPr>
      </w:pPr>
      <w:r>
        <w:rPr>
          <w:rFonts w:ascii="仿宋_GB2312" w:eastAsia="仿宋_GB2312"/>
          <w:b/>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2024年度公用经费支出50.48万元，比上年增加1.78万元，增长3.66%，主要原因是：本年度新增入职研究生2人，从而相应增加公用经费。</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3" w:firstLineChars="200"/>
        <w:jc w:val="left"/>
        <w:textAlignment w:val="auto"/>
        <w:outlineLvl w:val="2"/>
        <w:rPr>
          <w:rFonts w:ascii="仿宋_GB2312" w:eastAsia="仿宋_GB2312"/>
          <w:sz w:val="32"/>
          <w:szCs w:val="32"/>
        </w:rPr>
      </w:pPr>
      <w:r>
        <w:rPr>
          <w:rFonts w:ascii="仿宋_GB2312" w:eastAsia="仿宋_GB2312"/>
          <w:b/>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2024年度政府采购支出总额731.15万元，其中：政府采购货物支出19.31万元、政府采购工程支出391.43万元、政府采购服务支出320.40万元。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授予中小企业合同金额730.06万元，占政府采购支出总额的99.85%，其中：授予小微企业合同金额709.00万元，占政府采购支出总额的96.97%。</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3" w:firstLineChars="200"/>
        <w:jc w:val="left"/>
        <w:textAlignment w:val="auto"/>
        <w:outlineLvl w:val="2"/>
        <w:rPr>
          <w:rFonts w:ascii="仿宋_GB2312" w:eastAsia="仿宋_GB2312"/>
          <w:sz w:val="32"/>
          <w:szCs w:val="32"/>
        </w:rPr>
      </w:pPr>
      <w:r>
        <w:rPr>
          <w:rFonts w:ascii="仿宋_GB2312" w:eastAsia="仿宋_GB2312"/>
          <w:b/>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截至2024年12月31日，房屋9,043.00平方米，价值5,432.95万元。车辆11辆，价值748.81万元，其中：副部（省）级及以上领导用车0辆、主要负责人用车0辆、机要通信用车0辆、应急保障用车</w:t>
      </w:r>
      <w:r>
        <w:rPr>
          <w:rFonts w:ascii="仿宋_GB2312" w:eastAsia="仿宋_GB2312"/>
          <w:b w:val="0"/>
          <w:sz w:val="32"/>
          <w:szCs w:val="32"/>
          <w:lang w:val="en-US"/>
        </w:rPr>
        <w:t>4</w:t>
      </w:r>
      <w:r>
        <w:rPr>
          <w:rFonts w:ascii="仿宋_GB2312" w:eastAsia="仿宋_GB2312"/>
          <w:b w:val="0"/>
          <w:sz w:val="32"/>
          <w:szCs w:val="32"/>
        </w:rPr>
        <w:t>辆、执法执勤用车0辆、特种专业技术用车0辆、离退休干部服务用车0辆、其他用车7辆，其他用车主要是：</w:t>
      </w:r>
      <w:r>
        <w:rPr>
          <w:rFonts w:ascii="仿宋_GB2312" w:eastAsia="仿宋_GB2312"/>
          <w:b w:val="0"/>
          <w:sz w:val="32"/>
          <w:szCs w:val="32"/>
          <w:lang w:val="en-US"/>
        </w:rPr>
        <w:t>一般公务用车或单位业务用车</w:t>
      </w:r>
      <w:r>
        <w:rPr>
          <w:rFonts w:ascii="仿宋_GB2312" w:eastAsia="仿宋_GB2312"/>
          <w:b w:val="0"/>
          <w:sz w:val="32"/>
          <w:szCs w:val="32"/>
        </w:rPr>
        <w:t>;单价100万元（含）以上设备（不含车辆）1台（套）。</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根据预算绩效管理要求，本单位2024年度预算绩效管理形成整体支出绩效自评表1个，全年预算总额21,438.61万元，实际执行总额21,438.61万元；预算绩效评价项目6个，全年预算数6,879.81万元，全年执行数5,010.15万元。预算绩效管理取得的成效：一是制定预算计划：根据工作目标和任务，制订相关的资源预算计划，并确定预算用途、金额和时间等具体细节。二是根据工作年度计划和预算计划，对工作绩效进行评价，可以采用一些绩效评估指标，对工作完成情况和达成目标程度进行评估。发现的问题及原因：一是对预算绩效的认识还不够深入，相关知识了解还不够、掌握还不够多，把绩效管理简单等同于工作目标、工作考核和业务管理；二是资金管理水平有待进一步提高，财务审核还需进一步加强。下一步改进措施：一是建立健全的预算绩效管理体制，加强对预算绩效相关知识的了解和掌握，促进绩效管理工作向广度和深度延伸，切实提高部门预算收支管理水平；二是加强财务管理，严格财务审核，在费用报账支付时，按照预算规定费用项目和用途进行资金使用审核、列报支付、财务核算，杜绝超支现象发生。具体附部门整体支出绩效自评表，项目支出绩效自评表和部门评价报告。</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本单位无其他需说明事项。</w:t>
      </w:r>
    </w:p>
    <w:p>
      <w:pPr>
        <w:widowControl/>
        <w:spacing w:before="0" w:beforeAutospacing="0" w:after="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Autospacing="0" w:after="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Autospacing="0" w:after="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Autospacing="0" w:after="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Autospacing="0" w:after="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Autospacing="0" w:after="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Autospacing="0" w:after="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Autospacing="0" w:after="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Autospacing="0" w:after="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Autospacing="0" w:after="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Autospacing="0" w:after="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Autospacing="0" w:after="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Autospacing="0" w:after="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Autospacing="0" w:after="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Autospacing="0" w:after="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Autospacing="0" w:after="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Autospacing="0" w:after="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Autospacing="0" w:after="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Autospacing="0" w:after="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Autospacing="0" w:after="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Autospacing="0" w:after="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Autospacing="0" w:after="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Autospacing="0" w:after="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Autospacing="0" w:after="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Autospacing="0" w:after="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Autospacing="0" w:after="0" w:afterAutospacing="0" w:line="240" w:lineRule="auto"/>
        <w:ind w:firstLine="640" w:firstLineChars="200"/>
        <w:jc w:val="left"/>
        <w:outlineLvl w:val="1"/>
        <w:rPr>
          <w:rFonts w:hint="eastAsia" w:ascii="仿宋_GB2312" w:eastAsia="仿宋_GB2312"/>
          <w:b w:val="0"/>
          <w:sz w:val="32"/>
          <w:szCs w:val="32"/>
          <w:lang w:eastAsia="zh-CN"/>
        </w:rPr>
      </w:pPr>
      <w:r>
        <w:rPr>
          <w:rFonts w:ascii="仿宋_GB2312" w:eastAsia="仿宋_GB2312"/>
          <w:b w:val="0"/>
          <w:sz w:val="32"/>
          <w:szCs w:val="32"/>
        </w:rPr>
        <w:t>九、《财政拨款“三公”经费支出决算表》</w:t>
      </w:r>
    </w:p>
    <w:p>
      <w:pPr>
        <w:pStyle w:val="2"/>
        <w:rPr>
          <w:rFonts w:hint="eastAsia" w:ascii="仿宋_GB2312" w:eastAsia="仿宋_GB2312"/>
          <w:b w:val="0"/>
          <w:sz w:val="32"/>
          <w:szCs w:val="32"/>
          <w:lang w:eastAsia="zh-CN"/>
        </w:rPr>
      </w:pPr>
    </w:p>
    <w:p>
      <w:pPr>
        <w:rPr>
          <w:rFonts w:hint="eastAsia" w:ascii="仿宋_GB2312" w:eastAsia="仿宋_GB2312"/>
          <w:b w:val="0"/>
          <w:sz w:val="32"/>
          <w:szCs w:val="32"/>
          <w:lang w:eastAsia="zh-CN"/>
        </w:rPr>
      </w:pPr>
    </w:p>
    <w:p>
      <w:pPr>
        <w:pStyle w:val="2"/>
        <w:rPr>
          <w:rFonts w:hint="eastAsia" w:ascii="仿宋_GB2312" w:eastAsia="仿宋_GB2312"/>
          <w:b w:val="0"/>
          <w:sz w:val="32"/>
          <w:szCs w:val="32"/>
          <w:lang w:eastAsia="zh-CN"/>
        </w:rPr>
      </w:pPr>
    </w:p>
    <w:p>
      <w:pPr>
        <w:rPr>
          <w:rFonts w:hint="eastAsia" w:ascii="仿宋_GB2312" w:eastAsia="仿宋_GB2312"/>
          <w:b w:val="0"/>
          <w:sz w:val="32"/>
          <w:szCs w:val="32"/>
          <w:lang w:eastAsia="zh-CN"/>
        </w:rPr>
      </w:pPr>
    </w:p>
    <w:p>
      <w:pPr>
        <w:pStyle w:val="2"/>
        <w:rPr>
          <w:rFonts w:hint="eastAsia" w:ascii="仿宋_GB2312" w:eastAsia="仿宋_GB2312"/>
          <w:b w:val="0"/>
          <w:sz w:val="32"/>
          <w:szCs w:val="32"/>
          <w:lang w:eastAsia="zh-CN"/>
        </w:rPr>
      </w:pPr>
    </w:p>
    <w:p>
      <w:pPr>
        <w:rPr>
          <w:rFonts w:hint="eastAsia" w:ascii="仿宋_GB2312" w:eastAsia="仿宋_GB2312"/>
          <w:b w:val="0"/>
          <w:sz w:val="32"/>
          <w:szCs w:val="32"/>
          <w:lang w:eastAsia="zh-CN"/>
        </w:rPr>
      </w:pPr>
    </w:p>
    <w:p>
      <w:pPr>
        <w:pStyle w:val="2"/>
        <w:rPr>
          <w:rFonts w:hint="eastAsia" w:ascii="仿宋_GB2312" w:eastAsia="仿宋_GB2312"/>
          <w:b w:val="0"/>
          <w:sz w:val="32"/>
          <w:szCs w:val="32"/>
          <w:lang w:eastAsia="zh-CN"/>
        </w:rPr>
      </w:pPr>
    </w:p>
    <w:p>
      <w:pPr>
        <w:rPr>
          <w:rFonts w:hint="eastAsia" w:ascii="仿宋_GB2312" w:eastAsia="仿宋_GB2312"/>
          <w:b w:val="0"/>
          <w:sz w:val="32"/>
          <w:szCs w:val="32"/>
          <w:lang w:eastAsia="zh-CN"/>
        </w:rPr>
      </w:pPr>
    </w:p>
    <w:p>
      <w:pPr>
        <w:pStyle w:val="2"/>
        <w:rPr>
          <w:rFonts w:hint="eastAsia"/>
          <w:lang w:eastAsia="zh-CN"/>
        </w:rPr>
      </w:pPr>
      <w:r>
        <w:drawing>
          <wp:inline distT="0" distB="0" distL="0" distR="0">
            <wp:extent cx="5473700" cy="7223125"/>
            <wp:effectExtent l="0" t="0" r="12700" b="15875"/>
            <wp:docPr id="1026" name="图片 1"/>
            <wp:cNvGraphicFramePr/>
            <a:graphic xmlns:a="http://schemas.openxmlformats.org/drawingml/2006/main">
              <a:graphicData uri="http://schemas.openxmlformats.org/drawingml/2006/picture">
                <pic:pic xmlns:pic="http://schemas.openxmlformats.org/drawingml/2006/picture">
                  <pic:nvPicPr>
                    <pic:cNvPr id="1026" name="图片 1"/>
                    <pic:cNvPicPr/>
                  </pic:nvPicPr>
                  <pic:blipFill>
                    <a:blip r:embed="rId6" cstate="print"/>
                    <a:srcRect/>
                    <a:stretch>
                      <a:fillRect/>
                    </a:stretch>
                  </pic:blipFill>
                  <pic:spPr>
                    <a:xfrm>
                      <a:off x="0" y="0"/>
                      <a:ext cx="5473700" cy="7223125"/>
                    </a:xfrm>
                    <a:prstGeom prst="rect">
                      <a:avLst/>
                    </a:prstGeom>
                    <a:ln>
                      <a:noFill/>
                    </a:ln>
                  </pic:spPr>
                </pic:pic>
              </a:graphicData>
            </a:graphic>
          </wp:inline>
        </w:drawing>
      </w:r>
    </w:p>
    <w:p>
      <w:pPr>
        <w:pStyle w:val="2"/>
        <w:rPr>
          <w:rFonts w:ascii="仿宋_GB2312" w:eastAsia="仿宋_GB2312"/>
          <w:b w:val="0"/>
          <w:sz w:val="32"/>
          <w:szCs w:val="32"/>
        </w:rPr>
      </w:pPr>
    </w:p>
    <w:p>
      <w:pPr>
        <w:rPr>
          <w:rFonts w:ascii="仿宋_GB2312" w:eastAsia="仿宋_GB2312"/>
          <w:b w:val="0"/>
          <w:sz w:val="32"/>
          <w:szCs w:val="32"/>
        </w:rPr>
      </w:pPr>
      <w:r>
        <w:drawing>
          <wp:inline distT="0" distB="0" distL="0" distR="0">
            <wp:extent cx="5482590" cy="7203440"/>
            <wp:effectExtent l="0" t="0" r="3810" b="16510"/>
            <wp:docPr id="1027" name="图片 2"/>
            <wp:cNvGraphicFramePr/>
            <a:graphic xmlns:a="http://schemas.openxmlformats.org/drawingml/2006/main">
              <a:graphicData uri="http://schemas.openxmlformats.org/drawingml/2006/picture">
                <pic:pic xmlns:pic="http://schemas.openxmlformats.org/drawingml/2006/picture">
                  <pic:nvPicPr>
                    <pic:cNvPr id="1027" name="图片 2"/>
                    <pic:cNvPicPr/>
                  </pic:nvPicPr>
                  <pic:blipFill>
                    <a:blip r:embed="rId7" cstate="print"/>
                    <a:srcRect/>
                    <a:stretch>
                      <a:fillRect/>
                    </a:stretch>
                  </pic:blipFill>
                  <pic:spPr>
                    <a:xfrm>
                      <a:off x="0" y="0"/>
                      <a:ext cx="5482590" cy="7203440"/>
                    </a:xfrm>
                    <a:prstGeom prst="rect">
                      <a:avLst/>
                    </a:prstGeom>
                    <a:ln>
                      <a:noFill/>
                    </a:ln>
                  </pic:spPr>
                </pic:pic>
              </a:graphicData>
            </a:graphic>
          </wp:inline>
        </w:drawing>
      </w:r>
    </w:p>
    <w:p>
      <w:pPr>
        <w:pStyle w:val="2"/>
        <w:rPr>
          <w:rFonts w:ascii="仿宋_GB2312" w:eastAsia="仿宋_GB2312"/>
          <w:b w:val="0"/>
          <w:sz w:val="32"/>
          <w:szCs w:val="32"/>
        </w:rPr>
      </w:pPr>
      <w:r>
        <w:drawing>
          <wp:inline distT="0" distB="0" distL="0" distR="0">
            <wp:extent cx="5483860" cy="7433310"/>
            <wp:effectExtent l="0" t="0" r="2540" b="15240"/>
            <wp:docPr id="1028" name="图片 3"/>
            <wp:cNvGraphicFramePr/>
            <a:graphic xmlns:a="http://schemas.openxmlformats.org/drawingml/2006/main">
              <a:graphicData uri="http://schemas.openxmlformats.org/drawingml/2006/picture">
                <pic:pic xmlns:pic="http://schemas.openxmlformats.org/drawingml/2006/picture">
                  <pic:nvPicPr>
                    <pic:cNvPr id="1028" name="图片 3"/>
                    <pic:cNvPicPr/>
                  </pic:nvPicPr>
                  <pic:blipFill>
                    <a:blip r:embed="rId8" cstate="print"/>
                    <a:srcRect/>
                    <a:stretch>
                      <a:fillRect/>
                    </a:stretch>
                  </pic:blipFill>
                  <pic:spPr>
                    <a:xfrm>
                      <a:off x="0" y="0"/>
                      <a:ext cx="5483860" cy="7433310"/>
                    </a:xfrm>
                    <a:prstGeom prst="rect">
                      <a:avLst/>
                    </a:prstGeom>
                    <a:ln>
                      <a:noFill/>
                    </a:ln>
                  </pic:spPr>
                </pic:pic>
              </a:graphicData>
            </a:graphic>
          </wp:inline>
        </w:drawing>
      </w:r>
    </w:p>
    <w:p>
      <w:pPr>
        <w:rPr>
          <w:rFonts w:ascii="仿宋_GB2312" w:eastAsia="仿宋_GB2312"/>
          <w:b w:val="0"/>
          <w:sz w:val="32"/>
          <w:szCs w:val="32"/>
        </w:rPr>
      </w:pPr>
    </w:p>
    <w:p>
      <w:pPr>
        <w:pStyle w:val="2"/>
        <w:rPr>
          <w:rFonts w:ascii="仿宋_GB2312" w:eastAsia="仿宋_GB2312"/>
          <w:b w:val="0"/>
          <w:sz w:val="32"/>
          <w:szCs w:val="32"/>
        </w:rPr>
      </w:pPr>
      <w:r>
        <w:drawing>
          <wp:inline distT="0" distB="0" distL="0" distR="0">
            <wp:extent cx="5475605" cy="7297420"/>
            <wp:effectExtent l="0" t="0" r="10795" b="17145"/>
            <wp:docPr id="1029" name="图片 4"/>
            <wp:cNvGraphicFramePr/>
            <a:graphic xmlns:a="http://schemas.openxmlformats.org/drawingml/2006/main">
              <a:graphicData uri="http://schemas.openxmlformats.org/drawingml/2006/picture">
                <pic:pic xmlns:pic="http://schemas.openxmlformats.org/drawingml/2006/picture">
                  <pic:nvPicPr>
                    <pic:cNvPr id="1029" name="图片 4"/>
                    <pic:cNvPicPr/>
                  </pic:nvPicPr>
                  <pic:blipFill>
                    <a:blip r:embed="rId9" cstate="print"/>
                    <a:srcRect/>
                    <a:stretch>
                      <a:fillRect/>
                    </a:stretch>
                  </pic:blipFill>
                  <pic:spPr>
                    <a:xfrm>
                      <a:off x="0" y="0"/>
                      <a:ext cx="5475605" cy="7298054"/>
                    </a:xfrm>
                    <a:prstGeom prst="rect">
                      <a:avLst/>
                    </a:prstGeom>
                    <a:ln>
                      <a:noFill/>
                    </a:ln>
                  </pic:spPr>
                </pic:pic>
              </a:graphicData>
            </a:graphic>
          </wp:inline>
        </w:drawing>
      </w:r>
    </w:p>
    <w:p/>
    <w:p>
      <w:pPr>
        <w:pStyle w:val="2"/>
      </w:pPr>
      <w:r>
        <w:drawing>
          <wp:inline distT="0" distB="0" distL="0" distR="0">
            <wp:extent cx="5482590" cy="7550785"/>
            <wp:effectExtent l="0" t="0" r="3810" b="12065"/>
            <wp:docPr id="1030" name="图片 5"/>
            <wp:cNvGraphicFramePr/>
            <a:graphic xmlns:a="http://schemas.openxmlformats.org/drawingml/2006/main">
              <a:graphicData uri="http://schemas.openxmlformats.org/drawingml/2006/picture">
                <pic:pic xmlns:pic="http://schemas.openxmlformats.org/drawingml/2006/picture">
                  <pic:nvPicPr>
                    <pic:cNvPr id="1030" name="图片 5"/>
                    <pic:cNvPicPr/>
                  </pic:nvPicPr>
                  <pic:blipFill>
                    <a:blip r:embed="rId10" cstate="print"/>
                    <a:srcRect/>
                    <a:stretch>
                      <a:fillRect/>
                    </a:stretch>
                  </pic:blipFill>
                  <pic:spPr>
                    <a:xfrm>
                      <a:off x="0" y="0"/>
                      <a:ext cx="5482590" cy="7550785"/>
                    </a:xfrm>
                    <a:prstGeom prst="rect">
                      <a:avLst/>
                    </a:prstGeom>
                    <a:ln>
                      <a:noFill/>
                    </a:ln>
                  </pic:spPr>
                </pic:pic>
              </a:graphicData>
            </a:graphic>
          </wp:inline>
        </w:drawing>
      </w:r>
    </w:p>
    <w:p/>
    <w:p>
      <w:pPr>
        <w:pStyle w:val="2"/>
      </w:pPr>
      <w:r>
        <w:drawing>
          <wp:inline distT="0" distB="0" distL="0" distR="0">
            <wp:extent cx="5485765" cy="7237095"/>
            <wp:effectExtent l="0" t="0" r="635" b="1905"/>
            <wp:docPr id="1031" name="图片 6"/>
            <wp:cNvGraphicFramePr/>
            <a:graphic xmlns:a="http://schemas.openxmlformats.org/drawingml/2006/main">
              <a:graphicData uri="http://schemas.openxmlformats.org/drawingml/2006/picture">
                <pic:pic xmlns:pic="http://schemas.openxmlformats.org/drawingml/2006/picture">
                  <pic:nvPicPr>
                    <pic:cNvPr id="1031" name="图片 6"/>
                    <pic:cNvPicPr/>
                  </pic:nvPicPr>
                  <pic:blipFill>
                    <a:blip r:embed="rId11" cstate="print"/>
                    <a:srcRect/>
                    <a:stretch>
                      <a:fillRect/>
                    </a:stretch>
                  </pic:blipFill>
                  <pic:spPr>
                    <a:xfrm>
                      <a:off x="0" y="0"/>
                      <a:ext cx="5485765" cy="7237095"/>
                    </a:xfrm>
                    <a:prstGeom prst="rect">
                      <a:avLst/>
                    </a:prstGeom>
                    <a:ln>
                      <a:noFill/>
                    </a:ln>
                  </pic:spPr>
                </pic:pic>
              </a:graphicData>
            </a:graphic>
          </wp:inline>
        </w:drawing>
      </w:r>
    </w:p>
    <w:p/>
    <w:p>
      <w:pPr>
        <w:pStyle w:val="2"/>
      </w:pPr>
      <w:r>
        <w:drawing>
          <wp:inline distT="0" distB="0" distL="0" distR="0">
            <wp:extent cx="5478780" cy="2875280"/>
            <wp:effectExtent l="0" t="0" r="7620" b="1270"/>
            <wp:docPr id="1032" name="图片 7"/>
            <wp:cNvGraphicFramePr/>
            <a:graphic xmlns:a="http://schemas.openxmlformats.org/drawingml/2006/main">
              <a:graphicData uri="http://schemas.openxmlformats.org/drawingml/2006/picture">
                <pic:pic xmlns:pic="http://schemas.openxmlformats.org/drawingml/2006/picture">
                  <pic:nvPicPr>
                    <pic:cNvPr id="1032" name="图片 7"/>
                    <pic:cNvPicPr/>
                  </pic:nvPicPr>
                  <pic:blipFill>
                    <a:blip r:embed="rId12" cstate="print"/>
                    <a:srcRect/>
                    <a:stretch>
                      <a:fillRect/>
                    </a:stretch>
                  </pic:blipFill>
                  <pic:spPr>
                    <a:xfrm>
                      <a:off x="0" y="0"/>
                      <a:ext cx="5478780" cy="2875280"/>
                    </a:xfrm>
                    <a:prstGeom prst="rect">
                      <a:avLst/>
                    </a:prstGeom>
                    <a:ln>
                      <a:noFill/>
                    </a:ln>
                  </pic:spPr>
                </pic:pic>
              </a:graphicData>
            </a:graphic>
          </wp:inline>
        </w:drawing>
      </w:r>
    </w:p>
    <w:p/>
    <w:p>
      <w:pPr>
        <w:pStyle w:val="2"/>
      </w:pPr>
    </w:p>
    <w:p/>
    <w:p>
      <w:pPr>
        <w:pStyle w:val="2"/>
      </w:pPr>
    </w:p>
    <w:p/>
    <w:p>
      <w:pPr>
        <w:pStyle w:val="2"/>
      </w:pPr>
    </w:p>
    <w:p/>
    <w:p>
      <w:pPr>
        <w:pStyle w:val="2"/>
      </w:pPr>
    </w:p>
    <w:p/>
    <w:p>
      <w:pPr>
        <w:pStyle w:val="2"/>
      </w:pPr>
    </w:p>
    <w:p/>
    <w:p>
      <w:pPr>
        <w:pStyle w:val="2"/>
      </w:pPr>
      <w:r>
        <w:drawing>
          <wp:inline distT="0" distB="0" distL="0" distR="0">
            <wp:extent cx="5479415" cy="2890520"/>
            <wp:effectExtent l="0" t="0" r="6985" b="0"/>
            <wp:docPr id="1033" name="图片 8"/>
            <wp:cNvGraphicFramePr/>
            <a:graphic xmlns:a="http://schemas.openxmlformats.org/drawingml/2006/main">
              <a:graphicData uri="http://schemas.openxmlformats.org/drawingml/2006/picture">
                <pic:pic xmlns:pic="http://schemas.openxmlformats.org/drawingml/2006/picture">
                  <pic:nvPicPr>
                    <pic:cNvPr id="1033" name="图片 8"/>
                    <pic:cNvPicPr/>
                  </pic:nvPicPr>
                  <pic:blipFill>
                    <a:blip r:embed="rId13" cstate="print"/>
                    <a:srcRect/>
                    <a:stretch>
                      <a:fillRect/>
                    </a:stretch>
                  </pic:blipFill>
                  <pic:spPr>
                    <a:xfrm>
                      <a:off x="0" y="0"/>
                      <a:ext cx="5479415" cy="2890520"/>
                    </a:xfrm>
                    <a:prstGeom prst="rect">
                      <a:avLst/>
                    </a:prstGeom>
                    <a:ln>
                      <a:noFill/>
                    </a:ln>
                  </pic:spPr>
                </pic:pic>
              </a:graphicData>
            </a:graphic>
          </wp:inline>
        </w:drawing>
      </w:r>
    </w:p>
    <w:p/>
    <w:p>
      <w:pPr>
        <w:pStyle w:val="2"/>
      </w:pPr>
    </w:p>
    <w:p/>
    <w:p>
      <w:pPr>
        <w:pStyle w:val="2"/>
      </w:pPr>
    </w:p>
    <w:p/>
    <w:p>
      <w:pPr>
        <w:pStyle w:val="2"/>
      </w:pPr>
    </w:p>
    <w:p/>
    <w:p>
      <w:pPr>
        <w:pStyle w:val="2"/>
      </w:pPr>
    </w:p>
    <w:p/>
    <w:p>
      <w:pPr>
        <w:pStyle w:val="2"/>
      </w:pPr>
    </w:p>
    <w:p/>
    <w:p>
      <w:pPr>
        <w:pStyle w:val="2"/>
      </w:pPr>
      <w:r>
        <w:drawing>
          <wp:inline distT="0" distB="0" distL="0" distR="0">
            <wp:extent cx="5475605" cy="2306320"/>
            <wp:effectExtent l="0" t="0" r="10795" b="17780"/>
            <wp:docPr id="1034" name="图片 9"/>
            <wp:cNvGraphicFramePr/>
            <a:graphic xmlns:a="http://schemas.openxmlformats.org/drawingml/2006/main">
              <a:graphicData uri="http://schemas.openxmlformats.org/drawingml/2006/picture">
                <pic:pic xmlns:pic="http://schemas.openxmlformats.org/drawingml/2006/picture">
                  <pic:nvPicPr>
                    <pic:cNvPr id="1034" name="图片 9"/>
                    <pic:cNvPicPr/>
                  </pic:nvPicPr>
                  <pic:blipFill>
                    <a:blip r:embed="rId14" cstate="print"/>
                    <a:srcRect/>
                    <a:stretch>
                      <a:fillRect/>
                    </a:stretch>
                  </pic:blipFill>
                  <pic:spPr>
                    <a:xfrm>
                      <a:off x="0" y="0"/>
                      <a:ext cx="5475605" cy="2306320"/>
                    </a:xfrm>
                    <a:prstGeom prst="rect">
                      <a:avLst/>
                    </a:prstGeom>
                    <a:ln>
                      <a:noFill/>
                    </a:ln>
                  </pic:spPr>
                </pic:pic>
              </a:graphicData>
            </a:graphic>
          </wp:inline>
        </w:drawing>
      </w:r>
    </w:p>
    <w:p/>
    <w:p>
      <w:pPr>
        <w:pStyle w:val="2"/>
      </w:pPr>
    </w:p>
    <w:p/>
    <w:p>
      <w:pPr>
        <w:pStyle w:val="2"/>
      </w:pPr>
    </w:p>
    <w:p/>
    <w:p>
      <w:pPr>
        <w:pStyle w:val="2"/>
      </w:pPr>
    </w:p>
    <w:p/>
    <w:p>
      <w:pPr>
        <w:pStyle w:val="2"/>
      </w:pPr>
    </w:p>
    <w:p/>
    <w:p>
      <w:pPr>
        <w:pStyle w:val="2"/>
      </w:pPr>
    </w:p>
    <w:p/>
    <w:p>
      <w:pPr>
        <w:pStyle w:val="2"/>
      </w:pPr>
    </w:p>
    <w:p/>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suff w:val="nothing"/>
      <w:lvlText w:val="%1."/>
      <w:lvlJc w:val="left"/>
      <w:pPr>
        <w:spacing w:before="0" w:beforeAutospacing="0" w:line="240" w:lineRule="auto"/>
        <w:ind w:firstLine="640" w:firstLineChars="200"/>
      </w:pPr>
    </w:lvl>
    <w:lvl w:ilvl="1" w:tentative="0">
      <w:start w:val="1"/>
      <w:numFmt w:val="decimal"/>
      <w:suff w:val="nothing"/>
      <w:lvlText w:val="%1.%2."/>
      <w:lvlJc w:val="left"/>
      <w:pPr>
        <w:spacing w:before="0" w:beforeAutospacing="0" w:line="240" w:lineRule="auto"/>
        <w:ind w:firstLine="640" w:firstLineChars="200"/>
      </w:pPr>
    </w:lvl>
    <w:lvl w:ilvl="2" w:tentative="0">
      <w:start w:val="1"/>
      <w:numFmt w:val="decimal"/>
      <w:suff w:val="nothing"/>
      <w:lvlText w:val="%1.%2.%3."/>
      <w:lvlJc w:val="left"/>
      <w:pPr>
        <w:ind w:left="0" w:firstLine="0"/>
      </w:pPr>
    </w:lvl>
  </w:abstractNum>
  <w:abstractNum w:abstractNumId="1">
    <w:nsid w:val="00000001"/>
    <w:multiLevelType w:val="multilevel"/>
    <w:tmpl w:val="00000001"/>
    <w:lvl w:ilvl="0" w:tentative="0">
      <w:start w:val="1"/>
      <w:numFmt w:val="decimal"/>
      <w:suff w:val="nothing"/>
      <w:lvlText w:val="%1."/>
      <w:lvlJc w:val="left"/>
      <w:pPr>
        <w:spacing w:before="0" w:beforeAutospacing="0" w:line="240" w:lineRule="auto"/>
        <w:ind w:firstLine="640" w:firstLineChars="200"/>
      </w:pPr>
    </w:lvl>
    <w:lvl w:ilvl="1" w:tentative="0">
      <w:start w:val="1"/>
      <w:numFmt w:val="decimal"/>
      <w:suff w:val="nothing"/>
      <w:lvlText w:val="%1.%2."/>
      <w:lvlJc w:val="left"/>
      <w:pPr>
        <w:spacing w:before="0" w:beforeAutospacing="0" w:line="240" w:lineRule="auto"/>
        <w:ind w:firstLine="640" w:firstLineChars="200"/>
      </w:pPr>
    </w:lvl>
    <w:lvl w:ilvl="2" w:tentative="0">
      <w:start w:val="1"/>
      <w:numFmt w:val="decimal"/>
      <w:suff w:val="nothing"/>
      <w:lvlText w:val="%1.%2.%3."/>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2"/>
    <w:compatSetting w:name="overrideTableStyleFontSizeAndJustification" w:uri="http://schemas.microsoft.com/office/word" w:val="1"/>
  </w:compat>
  <w:docVars>
    <w:docVar w:name="commondata" w:val="eyJoZGlkIjoiODYzNDhlY2RlODYwZDExMjRmZGJlODA1MjRmY2U3YWMifQ=="/>
  </w:docVars>
  <w:rsids>
    <w:rsidRoot w:val="00000000"/>
    <w:rsid w:val="18901BCB"/>
    <w:rsid w:val="316069F4"/>
    <w:rsid w:val="4CD22C9D"/>
    <w:rsid w:val="4F7F194F"/>
    <w:rsid w:val="6B274FE4"/>
    <w:rsid w:val="6EAF1B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Calibri" w:hAnsi="Calibri" w:eastAsia="Calibri" w:cs="宋体"/>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Cambria" w:hAnsi="Cambria" w:eastAsia="宋体" w:cs="宋体"/>
      <w:b/>
      <w:bCs/>
      <w:color w:val="366091"/>
      <w:sz w:val="28"/>
      <w:szCs w:val="28"/>
    </w:rPr>
  </w:style>
  <w:style w:type="paragraph" w:styleId="3">
    <w:name w:val="heading 2"/>
    <w:basedOn w:val="1"/>
    <w:next w:val="1"/>
    <w:link w:val="18"/>
    <w:qFormat/>
    <w:uiPriority w:val="9"/>
    <w:pPr>
      <w:keepNext/>
      <w:keepLines/>
      <w:spacing w:before="200"/>
      <w:outlineLvl w:val="1"/>
    </w:pPr>
    <w:rPr>
      <w:rFonts w:ascii="Cambria" w:hAnsi="Cambria" w:eastAsia="宋体" w:cs="宋体"/>
      <w:b/>
      <w:bCs/>
      <w:color w:val="4F81BD"/>
      <w:sz w:val="26"/>
      <w:szCs w:val="26"/>
    </w:rPr>
  </w:style>
  <w:style w:type="paragraph" w:styleId="4">
    <w:name w:val="heading 3"/>
    <w:basedOn w:val="1"/>
    <w:next w:val="1"/>
    <w:link w:val="19"/>
    <w:qFormat/>
    <w:uiPriority w:val="9"/>
    <w:pPr>
      <w:keepNext/>
      <w:keepLines/>
      <w:spacing w:before="200"/>
      <w:outlineLvl w:val="2"/>
    </w:pPr>
    <w:rPr>
      <w:rFonts w:ascii="Cambria" w:hAnsi="Cambria" w:eastAsia="宋体" w:cs="宋体"/>
      <w:b/>
      <w:bCs/>
      <w:color w:val="4F81BD"/>
    </w:rPr>
  </w:style>
  <w:style w:type="paragraph" w:styleId="5">
    <w:name w:val="heading 4"/>
    <w:basedOn w:val="1"/>
    <w:next w:val="1"/>
    <w:link w:val="20"/>
    <w:qFormat/>
    <w:uiPriority w:val="9"/>
    <w:pPr>
      <w:keepNext/>
      <w:keepLines/>
      <w:spacing w:before="200"/>
      <w:outlineLvl w:val="3"/>
    </w:pPr>
    <w:rPr>
      <w:rFonts w:ascii="Cambria" w:hAnsi="Cambria" w:eastAsia="宋体" w:cs="宋体"/>
      <w:b/>
      <w:bCs/>
      <w:i/>
      <w:iCs/>
      <w:color w:val="4F81BD"/>
    </w:rPr>
  </w:style>
  <w:style w:type="character" w:default="1" w:styleId="13">
    <w:name w:val="Default Paragraph Font"/>
    <w:qFormat/>
    <w:uiPriority w:val="1"/>
  </w:style>
  <w:style w:type="table" w:default="1" w:styleId="11">
    <w:name w:val="Normal Table"/>
    <w:qFormat/>
    <w:uiPriority w:val="99"/>
    <w:tblPr>
      <w:tblCellMar>
        <w:top w:w="0" w:type="dxa"/>
        <w:left w:w="108" w:type="dxa"/>
        <w:bottom w:w="0" w:type="dxa"/>
        <w:right w:w="108" w:type="dxa"/>
      </w:tblCellMar>
    </w:tblPr>
  </w:style>
  <w:style w:type="paragraph" w:styleId="6">
    <w:name w:val="Normal Indent"/>
    <w:basedOn w:val="1"/>
    <w:qFormat/>
    <w:uiPriority w:val="99"/>
    <w:pPr>
      <w:ind w:left="720"/>
    </w:pPr>
  </w:style>
  <w:style w:type="paragraph" w:styleId="7">
    <w:name w:val="caption"/>
    <w:basedOn w:val="1"/>
    <w:next w:val="1"/>
    <w:qFormat/>
    <w:uiPriority w:val="35"/>
    <w:pPr>
      <w:spacing w:line="240" w:lineRule="auto"/>
    </w:pPr>
    <w:rPr>
      <w:b/>
      <w:bCs/>
      <w:color w:val="4F81BD"/>
      <w:sz w:val="18"/>
      <w:szCs w:val="18"/>
    </w:rPr>
  </w:style>
  <w:style w:type="paragraph" w:styleId="8">
    <w:name w:val="header"/>
    <w:basedOn w:val="1"/>
    <w:link w:val="16"/>
    <w:qFormat/>
    <w:uiPriority w:val="99"/>
    <w:pPr>
      <w:tabs>
        <w:tab w:val="center" w:pos="4680"/>
        <w:tab w:val="right" w:pos="9360"/>
      </w:tabs>
    </w:pPr>
  </w:style>
  <w:style w:type="paragraph" w:styleId="9">
    <w:name w:val="Subtitle"/>
    <w:basedOn w:val="1"/>
    <w:next w:val="1"/>
    <w:link w:val="21"/>
    <w:qFormat/>
    <w:uiPriority w:val="11"/>
    <w:pPr>
      <w:ind w:left="86"/>
    </w:pPr>
    <w:rPr>
      <w:rFonts w:ascii="Cambria" w:hAnsi="Cambria" w:eastAsia="宋体" w:cs="宋体"/>
      <w:i/>
      <w:iCs/>
      <w:color w:val="4F81BD"/>
      <w:spacing w:val="15"/>
      <w:sz w:val="24"/>
      <w:szCs w:val="24"/>
    </w:rPr>
  </w:style>
  <w:style w:type="paragraph" w:styleId="10">
    <w:name w:val="Title"/>
    <w:basedOn w:val="1"/>
    <w:next w:val="1"/>
    <w:link w:val="22"/>
    <w:qFormat/>
    <w:uiPriority w:val="10"/>
    <w:pPr>
      <w:pBdr>
        <w:bottom w:val="single" w:color="4F81BD" w:sz="8" w:space="4"/>
      </w:pBdr>
      <w:spacing w:after="300"/>
      <w:contextualSpacing/>
    </w:pPr>
    <w:rPr>
      <w:rFonts w:ascii="Cambria" w:hAnsi="Cambria" w:eastAsia="宋体" w:cs="宋体"/>
      <w:color w:val="17365D"/>
      <w:spacing w:val="5"/>
      <w:kern w:val="28"/>
      <w:sz w:val="52"/>
      <w:szCs w:val="52"/>
    </w:rPr>
  </w:style>
  <w:style w:type="table" w:styleId="12">
    <w:name w:val="Table Grid"/>
    <w:basedOn w:val="11"/>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qFormat/>
    <w:uiPriority w:val="99"/>
    <w:rPr>
      <w:color w:val="0000FF"/>
      <w:u w:val="single"/>
    </w:rPr>
  </w:style>
  <w:style w:type="character" w:customStyle="1" w:styleId="16">
    <w:name w:val="Header Char_749bb2e0-6727-407e-97b6-34354fbddf90"/>
    <w:basedOn w:val="13"/>
    <w:link w:val="8"/>
    <w:qFormat/>
    <w:uiPriority w:val="99"/>
  </w:style>
  <w:style w:type="character" w:customStyle="1" w:styleId="17">
    <w:name w:val="Heading 1 Char_03f1ede4-021a-4391-9c01-feb12658ebcd"/>
    <w:basedOn w:val="13"/>
    <w:link w:val="2"/>
    <w:qFormat/>
    <w:uiPriority w:val="9"/>
    <w:rPr>
      <w:rFonts w:ascii="Cambria" w:hAnsi="Cambria" w:eastAsia="宋体" w:cs="宋体"/>
      <w:b/>
      <w:bCs/>
      <w:color w:val="366091"/>
      <w:sz w:val="28"/>
      <w:szCs w:val="28"/>
    </w:rPr>
  </w:style>
  <w:style w:type="character" w:customStyle="1" w:styleId="18">
    <w:name w:val="Heading 2 Char_78104483-bff5-40e8-820c-b4008b0e4d16"/>
    <w:basedOn w:val="13"/>
    <w:link w:val="3"/>
    <w:qFormat/>
    <w:uiPriority w:val="9"/>
    <w:rPr>
      <w:rFonts w:ascii="Cambria" w:hAnsi="Cambria" w:eastAsia="宋体" w:cs="宋体"/>
      <w:b/>
      <w:bCs/>
      <w:color w:val="4F81BD"/>
      <w:sz w:val="26"/>
      <w:szCs w:val="26"/>
    </w:rPr>
  </w:style>
  <w:style w:type="character" w:customStyle="1" w:styleId="19">
    <w:name w:val="Heading 3 Char_ea4eefa0-7528-4551-b772-3701bf2c44d3"/>
    <w:basedOn w:val="13"/>
    <w:link w:val="4"/>
    <w:qFormat/>
    <w:uiPriority w:val="9"/>
    <w:rPr>
      <w:rFonts w:ascii="Cambria" w:hAnsi="Cambria" w:eastAsia="宋体" w:cs="宋体"/>
      <w:b/>
      <w:bCs/>
      <w:color w:val="4F81BD"/>
    </w:rPr>
  </w:style>
  <w:style w:type="character" w:customStyle="1" w:styleId="20">
    <w:name w:val="Heading 4 Char_3ae05581-ce70-4959-93d5-642215d1171a"/>
    <w:basedOn w:val="13"/>
    <w:link w:val="5"/>
    <w:qFormat/>
    <w:uiPriority w:val="9"/>
    <w:rPr>
      <w:rFonts w:ascii="Cambria" w:hAnsi="Cambria" w:eastAsia="宋体" w:cs="宋体"/>
      <w:b/>
      <w:bCs/>
      <w:i/>
      <w:iCs/>
      <w:color w:val="4F81BD"/>
    </w:rPr>
  </w:style>
  <w:style w:type="character" w:customStyle="1" w:styleId="21">
    <w:name w:val="Subtitle Char"/>
    <w:basedOn w:val="13"/>
    <w:link w:val="9"/>
    <w:qFormat/>
    <w:uiPriority w:val="11"/>
    <w:rPr>
      <w:rFonts w:ascii="Cambria" w:hAnsi="Cambria" w:eastAsia="宋体" w:cs="宋体"/>
      <w:i/>
      <w:iCs/>
      <w:color w:val="4F81BD"/>
      <w:spacing w:val="15"/>
      <w:sz w:val="24"/>
      <w:szCs w:val="24"/>
    </w:rPr>
  </w:style>
  <w:style w:type="character" w:customStyle="1" w:styleId="22">
    <w:name w:val="Title Char_3f7c3b3d-7d5f-4f80-9a71-31b41e8d7ae7"/>
    <w:basedOn w:val="13"/>
    <w:link w:val="10"/>
    <w:qFormat/>
    <w:uiPriority w:val="10"/>
    <w:rPr>
      <w:rFonts w:ascii="Cambria" w:hAnsi="Cambria" w:eastAsia="宋体" w:cs="宋体"/>
      <w:color w:val="17365D"/>
      <w:spacing w:val="5"/>
      <w:kern w:val="28"/>
      <w:sz w:val="52"/>
      <w:szCs w:val="52"/>
    </w:rPr>
  </w:style>
</w:styles>
</file>

<file path=word/_rels/document.xml.rels><?xml version="1.0" encoding="UTF-8" standalone="yes"?>
<Relationships xmlns="http://schemas.openxmlformats.org/package/2006/relationships"><Relationship Id="rId9" Type="http://schemas.openxmlformats.org/officeDocument/2006/relationships/image" Target="media/image4.emf"/><Relationship Id="rId8" Type="http://schemas.openxmlformats.org/officeDocument/2006/relationships/image" Target="media/image3.emf"/><Relationship Id="rId7" Type="http://schemas.openxmlformats.org/officeDocument/2006/relationships/image" Target="media/image2.emf"/><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9.emf"/><Relationship Id="rId13" Type="http://schemas.openxmlformats.org/officeDocument/2006/relationships/image" Target="media/image8.emf"/><Relationship Id="rId12" Type="http://schemas.openxmlformats.org/officeDocument/2006/relationships/image" Target="media/image7.emf"/><Relationship Id="rId11" Type="http://schemas.openxmlformats.org/officeDocument/2006/relationships/image" Target="media/image6.emf"/><Relationship Id="rId10" Type="http://schemas.openxmlformats.org/officeDocument/2006/relationships/image" Target="media/image5.e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25</Pages>
  <Words>7675</Words>
  <Characters>8806</Characters>
  <Paragraphs>221</Paragraphs>
  <TotalTime>3</TotalTime>
  <ScaleCrop>false</ScaleCrop>
  <LinksUpToDate>false</LinksUpToDate>
  <CharactersWithSpaces>8808</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2025-08-13T06:22:00Z</dcterms:created>
  <dc:creator>MyPC</dc:creator>
  <cp:lastModifiedBy>文新华</cp:lastModifiedBy>
  <dcterms:modified xsi:type="dcterms:W3CDTF">2025-12-08T11:42:02Z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eyJoZGlkIjoiYWM5MDE2NGYwMGE1YjY5YWVjYTgwN2E3N2ViNDAyMWIiLCJ1c2VySWQiOiI1MzMyNjY2NjMifQ==</vt:lpwstr>
  </property>
  <property fmtid="{D5CDD505-2E9C-101B-9397-08002B2CF9AE}" pid="3" name="KSOProductBuildVer">
    <vt:lpwstr>2052-11.1.0.14309</vt:lpwstr>
  </property>
  <property fmtid="{D5CDD505-2E9C-101B-9397-08002B2CF9AE}" pid="4" name="ICV">
    <vt:lpwstr>B8726F552A754377899BD32268633710_12</vt:lpwstr>
  </property>
</Properties>
</file>