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F859A">
      <w:pPr>
        <w:spacing w:line="540" w:lineRule="exact"/>
        <w:jc w:val="center"/>
        <w:rPr>
          <w:rFonts w:hint="default" w:ascii="Times New Roman" w:hAnsi="Times New Roman" w:eastAsia="华文中宋" w:cs="Times New Roman"/>
          <w:b/>
          <w:kern w:val="0"/>
          <w:sz w:val="52"/>
          <w:szCs w:val="52"/>
        </w:rPr>
      </w:pPr>
    </w:p>
    <w:p w14:paraId="6F76D05A">
      <w:pPr>
        <w:spacing w:line="540" w:lineRule="exact"/>
        <w:rPr>
          <w:rFonts w:hint="default" w:ascii="Times New Roman" w:hAnsi="Times New Roman" w:eastAsia="华文中宋" w:cs="Times New Roman"/>
          <w:b/>
          <w:kern w:val="0"/>
          <w:sz w:val="52"/>
          <w:szCs w:val="52"/>
        </w:rPr>
      </w:pPr>
    </w:p>
    <w:p w14:paraId="593ECEE0">
      <w:pPr>
        <w:spacing w:line="540" w:lineRule="exact"/>
        <w:jc w:val="center"/>
        <w:rPr>
          <w:rFonts w:hint="default" w:ascii="Times New Roman" w:hAnsi="Times New Roman" w:eastAsia="华文中宋" w:cs="Times New Roman"/>
          <w:b/>
          <w:kern w:val="0"/>
          <w:sz w:val="52"/>
          <w:szCs w:val="52"/>
        </w:rPr>
      </w:pPr>
    </w:p>
    <w:p w14:paraId="108EC890">
      <w:pPr>
        <w:spacing w:line="540" w:lineRule="exact"/>
        <w:jc w:val="center"/>
        <w:rPr>
          <w:rFonts w:hint="default" w:ascii="Times New Roman" w:hAnsi="Times New Roman" w:eastAsia="华文中宋" w:cs="Times New Roman"/>
          <w:b/>
          <w:kern w:val="0"/>
          <w:sz w:val="52"/>
          <w:szCs w:val="52"/>
        </w:rPr>
      </w:pPr>
    </w:p>
    <w:p w14:paraId="25223A39">
      <w:pPr>
        <w:spacing w:line="540" w:lineRule="exact"/>
        <w:jc w:val="center"/>
        <w:rPr>
          <w:rFonts w:hint="default" w:ascii="Times New Roman" w:hAnsi="Times New Roman" w:eastAsia="方正小标宋_GBK" w:cs="Times New Roman"/>
          <w:kern w:val="0"/>
          <w:sz w:val="48"/>
          <w:szCs w:val="48"/>
        </w:rPr>
      </w:pPr>
      <w:r>
        <w:rPr>
          <w:rFonts w:hint="eastAsia" w:eastAsia="方正小标宋_GBK" w:cs="Times New Roman"/>
          <w:kern w:val="0"/>
          <w:sz w:val="48"/>
          <w:szCs w:val="48"/>
          <w:lang w:eastAsia="zh-CN"/>
        </w:rPr>
        <w:t>延续项目—</w:t>
      </w:r>
      <w:r>
        <w:rPr>
          <w:rFonts w:hint="default" w:ascii="Times New Roman" w:hAnsi="Times New Roman" w:eastAsia="方正小标宋_GBK" w:cs="Times New Roman"/>
          <w:kern w:val="0"/>
          <w:sz w:val="48"/>
          <w:szCs w:val="48"/>
        </w:rPr>
        <w:t>塔里木乙烷制乙烯二期占用林地资源各项费用项目支出绩效评价</w:t>
      </w:r>
    </w:p>
    <w:p w14:paraId="607095E8">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5402FE2A">
      <w:pPr>
        <w:spacing w:line="540" w:lineRule="exact"/>
        <w:jc w:val="center"/>
        <w:rPr>
          <w:rFonts w:hint="default" w:ascii="Times New Roman" w:hAnsi="Times New Roman" w:eastAsia="华文中宋" w:cs="Times New Roman"/>
          <w:b/>
          <w:kern w:val="0"/>
          <w:sz w:val="52"/>
          <w:szCs w:val="52"/>
        </w:rPr>
      </w:pPr>
    </w:p>
    <w:p w14:paraId="331C87CA">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6B7883E">
      <w:pPr>
        <w:spacing w:line="540" w:lineRule="exact"/>
        <w:jc w:val="center"/>
        <w:rPr>
          <w:rFonts w:hint="default" w:ascii="Times New Roman" w:hAnsi="Times New Roman" w:eastAsia="仿宋_GB2312" w:cs="Times New Roman"/>
          <w:kern w:val="0"/>
          <w:sz w:val="30"/>
          <w:szCs w:val="30"/>
        </w:rPr>
      </w:pPr>
    </w:p>
    <w:p w14:paraId="56E81418">
      <w:pPr>
        <w:spacing w:line="540" w:lineRule="exact"/>
        <w:jc w:val="center"/>
        <w:rPr>
          <w:rFonts w:hint="default" w:ascii="Times New Roman" w:hAnsi="Times New Roman" w:eastAsia="仿宋_GB2312" w:cs="Times New Roman"/>
          <w:kern w:val="0"/>
          <w:sz w:val="30"/>
          <w:szCs w:val="30"/>
        </w:rPr>
      </w:pPr>
    </w:p>
    <w:p w14:paraId="7CE314C2">
      <w:pPr>
        <w:spacing w:line="540" w:lineRule="exact"/>
        <w:jc w:val="center"/>
        <w:rPr>
          <w:rFonts w:hint="default" w:ascii="Times New Roman" w:hAnsi="Times New Roman" w:eastAsia="仿宋_GB2312" w:cs="Times New Roman"/>
          <w:kern w:val="0"/>
          <w:sz w:val="30"/>
          <w:szCs w:val="30"/>
        </w:rPr>
      </w:pPr>
    </w:p>
    <w:p w14:paraId="1545E170">
      <w:pPr>
        <w:pStyle w:val="11"/>
        <w:rPr>
          <w:rFonts w:hint="default" w:ascii="Times New Roman" w:hAnsi="Times New Roman" w:cs="Times New Roman"/>
        </w:rPr>
      </w:pPr>
    </w:p>
    <w:p w14:paraId="0954884E">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eastAsia="zh-CN"/>
        </w:rPr>
        <w:t>延续项目</w:t>
      </w:r>
      <w:r>
        <w:rPr>
          <w:rFonts w:hint="eastAsia" w:eastAsia="仿宋_GB2312" w:cs="Times New Roman"/>
          <w:kern w:val="0"/>
          <w:sz w:val="36"/>
          <w:szCs w:val="36"/>
          <w:lang w:val="en-US" w:eastAsia="zh-CN"/>
        </w:rPr>
        <w:t>—</w:t>
      </w:r>
      <w:r>
        <w:rPr>
          <w:rFonts w:hint="default" w:ascii="Times New Roman" w:hAnsi="Times New Roman" w:eastAsia="仿宋_GB2312" w:cs="Times New Roman"/>
          <w:kern w:val="0"/>
          <w:sz w:val="36"/>
          <w:szCs w:val="36"/>
        </w:rPr>
        <w:t>塔里木乙烷制乙烯二期占用林地资源各项费用项目</w:t>
      </w:r>
    </w:p>
    <w:p w14:paraId="60B88530">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库尔勒上库高新技术产业开发区管理委员会</w:t>
      </w:r>
    </w:p>
    <w:p w14:paraId="6C393A92">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库尔勒上库高新技术产业开发区管理委员会</w:t>
      </w:r>
    </w:p>
    <w:p w14:paraId="7FDA2E6D">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孙鹏程</w:t>
      </w:r>
    </w:p>
    <w:p w14:paraId="722EBE3F">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9</w:t>
      </w:r>
      <w:r>
        <w:rPr>
          <w:rFonts w:hint="default" w:ascii="Times New Roman" w:hAnsi="Times New Roman" w:eastAsia="仿宋_GB2312" w:cs="Times New Roman"/>
          <w:kern w:val="0"/>
          <w:sz w:val="36"/>
          <w:szCs w:val="36"/>
        </w:rPr>
        <w:t>日</w:t>
      </w:r>
    </w:p>
    <w:p w14:paraId="138700BA">
      <w:pPr>
        <w:spacing w:line="540" w:lineRule="exact"/>
        <w:jc w:val="center"/>
        <w:rPr>
          <w:rFonts w:hint="default" w:ascii="Times New Roman" w:hAnsi="Times New Roman" w:eastAsia="仿宋_GB2312" w:cs="Times New Roman"/>
          <w:kern w:val="0"/>
          <w:sz w:val="30"/>
          <w:szCs w:val="30"/>
        </w:rPr>
      </w:pPr>
    </w:p>
    <w:p w14:paraId="0E9579B3">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0E6E233E">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6A5B076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1DAADCEB">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近年来，库尔勒上库高新技术产业开发区在库尔勒市委的大力支持和高位推动下，为上库高新区高质量发展打下了良好的基础。中石油塔里木60万吨乙烷制乙烯项目及中泰石化120万吨PTA项目已投料生产，中石油塔里木乙烷制乙烯二期即将开工建设。独山子石化塔里木120万吨/年二期乙烯项目是中国石油发挥上下游一体化优势、引领资源高附加值综合利用的示范项目，是推动炼化业务转型升级、实现高质量发展的“示范工程”，具有“装置原料轻、收率高、流程短、投资少、成本低”“产品专用料、品牌化、高端化、多元化”等特点。该公司努力把项目打造为绿色低碳示范工程、国产化电气化先进工程、项目管理标杆工程。</w:t>
      </w:r>
    </w:p>
    <w:p w14:paraId="196F48F4">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0BE8A89E">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lang w:val="en-US" w:eastAsia="zh-CN" w:bidi="ar-SA"/>
        </w:rPr>
        <w:t>项目主要内容：</w:t>
      </w:r>
      <w:r>
        <w:rPr>
          <w:rFonts w:hint="eastAsia" w:ascii="仿宋_GB2312" w:hAnsi="仿宋_GB2312" w:eastAsia="仿宋_GB2312" w:cs="仿宋_GB2312"/>
          <w:b w:val="0"/>
          <w:bCs w:val="0"/>
          <w:kern w:val="2"/>
          <w:sz w:val="32"/>
          <w:szCs w:val="32"/>
          <w:lang w:val="en-US" w:eastAsia="zh-CN" w:bidi="ar-SA"/>
        </w:rPr>
        <w:t>按照《中华人民共和国土地管理法》和《中华人民共和国森林法》及相关规定，库尔勒上库高新技术产业开发区管委会和库尔勒市林业和草原局对库尔勒市2023年第三批次农用地转用项目使用林地补偿事项达成共识，用地项目：库尔勒市2023年第三批次农用地转用项目，用地地点：巴音郭楞蒙古自治州库尔勒市石油石化产业园。拟使用林地面积为68.8913公顷，长期使用林地面积68.8913公顷，需缴纳项目</w:t>
      </w:r>
      <w:r>
        <w:rPr>
          <w:rFonts w:hint="eastAsia" w:ascii="仿宋_GB2312" w:hAnsi="仿宋_GB2312" w:eastAsia="仿宋_GB2312" w:cs="仿宋_GB2312"/>
          <w:b w:val="0"/>
          <w:bCs w:val="0"/>
          <w:kern w:val="2"/>
          <w:sz w:val="32"/>
          <w:szCs w:val="32"/>
          <w:highlight w:val="none"/>
          <w:lang w:val="en-US" w:eastAsia="zh-CN" w:bidi="ar-SA"/>
        </w:rPr>
        <w:t>占用林地资源费，全力保障中石油塔里木乙烷制乙烯二期顺利开工建设。</w:t>
      </w:r>
    </w:p>
    <w:p w14:paraId="45BAB71B">
      <w:pPr>
        <w:pStyle w:val="11"/>
        <w:numPr>
          <w:ilvl w:val="0"/>
          <w:numId w:val="0"/>
        </w:numPr>
        <w:spacing w:before="0" w:after="0" w:line="560" w:lineRule="exact"/>
        <w:ind w:firstLine="640" w:firstLineChars="200"/>
        <w:jc w:val="both"/>
        <w:rPr>
          <w:rFonts w:hint="default"/>
          <w:lang w:val="en-US" w:eastAsia="zh-CN"/>
        </w:rPr>
      </w:pPr>
      <w:r>
        <w:rPr>
          <w:rFonts w:hint="eastAsia" w:ascii="仿宋_GB2312" w:hAnsi="仿宋_GB2312" w:eastAsia="仿宋_GB2312" w:cs="仿宋_GB2312"/>
          <w:b w:val="0"/>
          <w:bCs w:val="0"/>
          <w:kern w:val="2"/>
          <w:sz w:val="32"/>
          <w:szCs w:val="32"/>
          <w:highlight w:val="none"/>
          <w:lang w:val="en-US" w:eastAsia="zh-CN" w:bidi="ar-SA"/>
        </w:rPr>
        <w:t>项目实施情况：按照《中华人民共和国土地管理法》和《中华人民共和国森林法》及相关规定，库尔勒上库高新技术产业开发区管委会于2024年3月，对库尔勒市2023年第三批次农用地转用项目支付了林地补偿、安置补助及林木补偿等费用，全力保障了中石油塔里木乙烷制乙烯二期顺利开工建设。</w:t>
      </w:r>
    </w:p>
    <w:p w14:paraId="2986A493">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420D94C">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（1）资金投入情况</w:t>
      </w:r>
    </w:p>
    <w:p w14:paraId="7A4A7BCC">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该项目年初预算数</w:t>
      </w:r>
      <w:bookmarkStart w:id="0" w:name="OLE_LINK1"/>
      <w:r>
        <w:rPr>
          <w:rFonts w:hint="default" w:ascii="仿宋_GB2312" w:hAnsi="仿宋_GB2312" w:eastAsia="仿宋_GB2312" w:cs="仿宋_GB2312"/>
          <w:b w:val="0"/>
          <w:bCs w:val="0"/>
          <w:kern w:val="2"/>
          <w:sz w:val="32"/>
          <w:szCs w:val="32"/>
          <w:lang w:val="en-US" w:eastAsia="zh-CN" w:bidi="ar-SA"/>
        </w:rPr>
        <w:t>2224.01</w:t>
      </w:r>
      <w:bookmarkEnd w:id="0"/>
      <w:r>
        <w:rPr>
          <w:rFonts w:hint="default" w:ascii="仿宋_GB2312" w:hAnsi="仿宋_GB2312" w:eastAsia="仿宋_GB2312" w:cs="仿宋_GB2312"/>
          <w:b w:val="0"/>
          <w:bCs w:val="0"/>
          <w:kern w:val="2"/>
          <w:sz w:val="32"/>
          <w:szCs w:val="32"/>
          <w:lang w:val="en-US" w:eastAsia="zh-CN" w:bidi="ar-SA"/>
        </w:rPr>
        <w:t>万元，全年预算数2224.01万元，该项目资金已全部落实到位，资金来源为</w:t>
      </w:r>
      <w:r>
        <w:rPr>
          <w:rFonts w:hint="eastAsia" w:ascii="仿宋_GB2312" w:hAnsi="仿宋_GB2312" w:eastAsia="仿宋_GB2312" w:cs="仿宋_GB2312"/>
          <w:b w:val="0"/>
          <w:bCs w:val="0"/>
          <w:kern w:val="2"/>
          <w:sz w:val="32"/>
          <w:szCs w:val="32"/>
          <w:lang w:val="en-US" w:eastAsia="zh-CN" w:bidi="ar-SA"/>
        </w:rPr>
        <w:t>财政拨款</w:t>
      </w:r>
      <w:r>
        <w:rPr>
          <w:rFonts w:hint="default" w:ascii="仿宋_GB2312" w:hAnsi="仿宋_GB2312" w:eastAsia="仿宋_GB2312" w:cs="仿宋_GB2312"/>
          <w:b w:val="0"/>
          <w:bCs w:val="0"/>
          <w:kern w:val="2"/>
          <w:sz w:val="32"/>
          <w:szCs w:val="32"/>
          <w:lang w:val="en-US" w:eastAsia="zh-CN" w:bidi="ar-SA"/>
        </w:rPr>
        <w:t>。</w:t>
      </w:r>
    </w:p>
    <w:p w14:paraId="01F478A2">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（2）资金使用情况</w:t>
      </w:r>
    </w:p>
    <w:p w14:paraId="088862E7">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该项目年初预算数2224.01万元，全年预算数2224.01万元</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全年执行数</w:t>
      </w:r>
      <w:r>
        <w:rPr>
          <w:rFonts w:hint="eastAsia" w:ascii="仿宋_GB2312" w:hAnsi="仿宋_GB2312" w:eastAsia="仿宋_GB2312" w:cs="仿宋_GB2312"/>
          <w:b w:val="0"/>
          <w:bCs w:val="0"/>
          <w:kern w:val="2"/>
          <w:sz w:val="32"/>
          <w:szCs w:val="32"/>
          <w:lang w:val="en-US" w:eastAsia="zh-CN" w:bidi="ar-SA"/>
        </w:rPr>
        <w:t>2154.58</w:t>
      </w:r>
      <w:r>
        <w:rPr>
          <w:rFonts w:hint="default" w:ascii="仿宋_GB2312" w:hAnsi="仿宋_GB2312" w:eastAsia="仿宋_GB2312" w:cs="仿宋_GB2312"/>
          <w:b w:val="0"/>
          <w:bCs w:val="0"/>
          <w:kern w:val="2"/>
          <w:sz w:val="32"/>
          <w:szCs w:val="32"/>
          <w:lang w:val="en-US" w:eastAsia="zh-CN" w:bidi="ar-SA"/>
        </w:rPr>
        <w:t>万元，预算执行率为</w:t>
      </w:r>
      <w:r>
        <w:rPr>
          <w:rFonts w:hint="eastAsia" w:ascii="仿宋_GB2312" w:hAnsi="仿宋_GB2312" w:eastAsia="仿宋_GB2312" w:cs="仿宋_GB2312"/>
          <w:b w:val="0"/>
          <w:bCs w:val="0"/>
          <w:kern w:val="2"/>
          <w:sz w:val="32"/>
          <w:szCs w:val="32"/>
          <w:lang w:val="en-US" w:eastAsia="zh-CN" w:bidi="ar-SA"/>
        </w:rPr>
        <w:t>96.88</w:t>
      </w:r>
      <w:r>
        <w:rPr>
          <w:rFonts w:hint="default" w:ascii="仿宋_GB2312" w:hAnsi="仿宋_GB2312" w:eastAsia="仿宋_GB2312" w:cs="仿宋_GB2312"/>
          <w:b w:val="0"/>
          <w:bCs w:val="0"/>
          <w:kern w:val="2"/>
          <w:sz w:val="32"/>
          <w:szCs w:val="32"/>
          <w:lang w:val="en-US" w:eastAsia="zh-CN" w:bidi="ar-SA"/>
        </w:rPr>
        <w:t>%，主要用于：</w:t>
      </w:r>
      <w:r>
        <w:rPr>
          <w:rFonts w:hint="eastAsia" w:ascii="仿宋_GB2312" w:hAnsi="仿宋_GB2312" w:eastAsia="仿宋_GB2312" w:cs="仿宋_GB2312"/>
          <w:b w:val="0"/>
          <w:bCs w:val="0"/>
          <w:kern w:val="2"/>
          <w:sz w:val="32"/>
          <w:szCs w:val="32"/>
          <w:lang w:val="en-US" w:eastAsia="zh-CN" w:bidi="ar-SA"/>
        </w:rPr>
        <w:t>办理</w:t>
      </w:r>
      <w:bookmarkStart w:id="1" w:name="OLE_LINK2"/>
      <w:r>
        <w:rPr>
          <w:rFonts w:hint="default" w:ascii="仿宋_GB2312" w:hAnsi="仿宋_GB2312" w:eastAsia="仿宋_GB2312" w:cs="仿宋_GB2312"/>
          <w:b w:val="0"/>
          <w:bCs w:val="0"/>
          <w:kern w:val="2"/>
          <w:sz w:val="32"/>
          <w:szCs w:val="32"/>
          <w:lang w:val="en-US" w:eastAsia="zh-CN" w:bidi="ar-SA"/>
        </w:rPr>
        <w:t>塔里木乙烷制乙烯二期</w:t>
      </w:r>
      <w:r>
        <w:rPr>
          <w:rFonts w:hint="eastAsia" w:ascii="仿宋_GB2312" w:hAnsi="仿宋_GB2312" w:eastAsia="仿宋_GB2312" w:cs="仿宋_GB2312"/>
          <w:b w:val="0"/>
          <w:bCs w:val="0"/>
          <w:kern w:val="2"/>
          <w:sz w:val="32"/>
          <w:szCs w:val="32"/>
          <w:lang w:val="en-US" w:eastAsia="zh-CN" w:bidi="ar-SA"/>
        </w:rPr>
        <w:t>项目</w:t>
      </w:r>
      <w:r>
        <w:rPr>
          <w:rFonts w:hint="default" w:ascii="仿宋_GB2312" w:hAnsi="仿宋_GB2312" w:eastAsia="仿宋_GB2312" w:cs="仿宋_GB2312"/>
          <w:b w:val="0"/>
          <w:bCs w:val="0"/>
          <w:kern w:val="2"/>
          <w:sz w:val="32"/>
          <w:szCs w:val="32"/>
          <w:lang w:val="en-US" w:eastAsia="zh-CN" w:bidi="ar-SA"/>
        </w:rPr>
        <w:t>占用林地资源</w:t>
      </w:r>
      <w:r>
        <w:rPr>
          <w:rFonts w:hint="eastAsia" w:ascii="仿宋_GB2312" w:hAnsi="仿宋_GB2312" w:eastAsia="仿宋_GB2312" w:cs="仿宋_GB2312"/>
          <w:b w:val="0"/>
          <w:bCs w:val="0"/>
          <w:kern w:val="2"/>
          <w:sz w:val="32"/>
          <w:szCs w:val="32"/>
          <w:lang w:val="en-US" w:eastAsia="zh-CN" w:bidi="ar-SA"/>
        </w:rPr>
        <w:t>补偿费用2154.58万元</w:t>
      </w:r>
      <w:bookmarkEnd w:id="1"/>
      <w:r>
        <w:rPr>
          <w:rFonts w:hint="eastAsia" w:ascii="仿宋_GB2312" w:hAnsi="仿宋_GB2312" w:eastAsia="仿宋_GB2312" w:cs="仿宋_GB2312"/>
          <w:b w:val="0"/>
          <w:bCs w:val="0"/>
          <w:kern w:val="2"/>
          <w:sz w:val="32"/>
          <w:szCs w:val="32"/>
          <w:lang w:val="en-US" w:eastAsia="zh-CN" w:bidi="ar-SA"/>
        </w:rPr>
        <w:t>，属一次性缴纳的费用</w:t>
      </w:r>
      <w:r>
        <w:rPr>
          <w:rFonts w:hint="default" w:ascii="仿宋_GB2312" w:hAnsi="仿宋_GB2312" w:eastAsia="仿宋_GB2312" w:cs="仿宋_GB2312"/>
          <w:b w:val="0"/>
          <w:bCs w:val="0"/>
          <w:kern w:val="2"/>
          <w:sz w:val="32"/>
          <w:szCs w:val="32"/>
          <w:lang w:val="en-US" w:eastAsia="zh-CN" w:bidi="ar-SA"/>
        </w:rPr>
        <w:t>。</w:t>
      </w:r>
    </w:p>
    <w:p w14:paraId="661A471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10C1D4E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1.总体目标</w:t>
      </w:r>
    </w:p>
    <w:p w14:paraId="46B263D4">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目标一：完成库尔勒上库高新技术产业开发区组织实施园区规划2023年第三批建设用地项目，使用林地面积68.8913公顷，使用林地数量6个小班。目标二：增加当地税收收入2224.01万元。</w:t>
      </w:r>
    </w:p>
    <w:p w14:paraId="32BBEF0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w:t>
      </w:r>
      <w:r>
        <w:rPr>
          <w:rFonts w:hint="default" w:ascii="仿宋_GB2312" w:hAnsi="仿宋_GB2312" w:eastAsia="仿宋_GB2312" w:cs="仿宋_GB2312"/>
          <w:b w:val="0"/>
          <w:bCs w:val="0"/>
          <w:kern w:val="2"/>
          <w:sz w:val="32"/>
          <w:szCs w:val="32"/>
          <w:lang w:val="en-US" w:eastAsia="zh-CN" w:bidi="ar-SA"/>
        </w:rPr>
        <w:t>阶段性目标</w:t>
      </w:r>
    </w:p>
    <w:p w14:paraId="193D61D9">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2024年1月计划与库尔勒市林草局对接项目占用林地的面积、所需费用等相关信息；2024年2月计划向库尔勒市财经委员会申请专项经费；2024年3月计划缴纳</w:t>
      </w:r>
      <w:r>
        <w:rPr>
          <w:rFonts w:hint="default" w:ascii="仿宋_GB2312" w:hAnsi="仿宋_GB2312" w:eastAsia="仿宋_GB2312" w:cs="仿宋_GB2312"/>
          <w:b w:val="0"/>
          <w:bCs w:val="0"/>
          <w:kern w:val="2"/>
          <w:sz w:val="32"/>
          <w:szCs w:val="32"/>
          <w:lang w:val="en-US" w:eastAsia="zh-CN" w:bidi="ar-SA"/>
        </w:rPr>
        <w:t>塔里木乙烷制乙烯二期</w:t>
      </w:r>
      <w:r>
        <w:rPr>
          <w:rFonts w:hint="eastAsia" w:ascii="仿宋_GB2312" w:hAnsi="仿宋_GB2312" w:eastAsia="仿宋_GB2312" w:cs="仿宋_GB2312"/>
          <w:b w:val="0"/>
          <w:bCs w:val="0"/>
          <w:kern w:val="2"/>
          <w:sz w:val="32"/>
          <w:szCs w:val="32"/>
          <w:lang w:val="en-US" w:eastAsia="zh-CN" w:bidi="ar-SA"/>
        </w:rPr>
        <w:t>项目</w:t>
      </w:r>
      <w:r>
        <w:rPr>
          <w:rFonts w:hint="default" w:ascii="仿宋_GB2312" w:hAnsi="仿宋_GB2312" w:eastAsia="仿宋_GB2312" w:cs="仿宋_GB2312"/>
          <w:b w:val="0"/>
          <w:bCs w:val="0"/>
          <w:kern w:val="2"/>
          <w:sz w:val="32"/>
          <w:szCs w:val="32"/>
          <w:lang w:val="en-US" w:eastAsia="zh-CN" w:bidi="ar-SA"/>
        </w:rPr>
        <w:t>占用林地资源</w:t>
      </w:r>
      <w:r>
        <w:rPr>
          <w:rFonts w:hint="eastAsia" w:ascii="仿宋_GB2312" w:hAnsi="仿宋_GB2312" w:eastAsia="仿宋_GB2312" w:cs="仿宋_GB2312"/>
          <w:b w:val="0"/>
          <w:bCs w:val="0"/>
          <w:kern w:val="2"/>
          <w:sz w:val="32"/>
          <w:szCs w:val="32"/>
          <w:lang w:val="en-US" w:eastAsia="zh-CN" w:bidi="ar-SA"/>
        </w:rPr>
        <w:t>补偿费用2224.01万元</w:t>
      </w:r>
      <w:r>
        <w:rPr>
          <w:rFonts w:hint="default" w:ascii="仿宋_GB2312" w:hAnsi="仿宋_GB2312" w:eastAsia="仿宋_GB2312" w:cs="仿宋_GB2312"/>
          <w:b w:val="0"/>
          <w:bCs w:val="0"/>
          <w:kern w:val="2"/>
          <w:sz w:val="32"/>
          <w:szCs w:val="32"/>
          <w:lang w:val="en-US" w:eastAsia="zh-CN" w:bidi="ar-SA"/>
        </w:rPr>
        <w:t>。</w:t>
      </w:r>
    </w:p>
    <w:p w14:paraId="5C1EAA38">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73AC12AE">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DBE8CFC">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1.绩效评价完整性</w:t>
      </w:r>
    </w:p>
    <w:p w14:paraId="2A40EAC2">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4BAE364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14:paraId="47B27F3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数据收集与分析环节，采用了多种科学合理的方法，如实地调研，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62812A85">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32430350">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4722D71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2.绩效评价的目的</w:t>
      </w:r>
    </w:p>
    <w:p w14:paraId="7F36C9D8">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（1）评估项目实施效果</w:t>
      </w:r>
    </w:p>
    <w:p w14:paraId="6D9F8453">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通过对项目预算执行情况及各项绩效目标达成程度的系统性分析，全面、客观地评估项目在预定周期内的实施效果，</w:t>
      </w:r>
      <w:r>
        <w:rPr>
          <w:rFonts w:hint="eastAsia" w:ascii="仿宋_GB2312" w:hAnsi="仿宋_GB2312" w:eastAsia="仿宋_GB2312" w:cs="仿宋_GB2312"/>
          <w:b w:val="0"/>
          <w:bCs w:val="0"/>
          <w:kern w:val="2"/>
          <w:sz w:val="32"/>
          <w:szCs w:val="32"/>
          <w:lang w:val="en-US" w:eastAsia="zh-CN" w:bidi="ar-SA"/>
        </w:rPr>
        <w:t>包括</w:t>
      </w:r>
      <w:r>
        <w:rPr>
          <w:rFonts w:hint="default" w:ascii="仿宋_GB2312" w:hAnsi="仿宋_GB2312" w:eastAsia="仿宋_GB2312" w:cs="仿宋_GB2312"/>
          <w:b w:val="0"/>
          <w:bCs w:val="0"/>
          <w:kern w:val="2"/>
          <w:sz w:val="32"/>
          <w:szCs w:val="32"/>
          <w:lang w:val="en-US" w:eastAsia="zh-CN" w:bidi="ar-SA"/>
        </w:rPr>
        <w:t>社会效益指标</w:t>
      </w:r>
      <w:r>
        <w:rPr>
          <w:rFonts w:hint="eastAsia" w:ascii="仿宋_GB2312" w:hAnsi="仿宋_GB2312" w:eastAsia="仿宋_GB2312" w:cs="仿宋_GB2312"/>
          <w:b w:val="0"/>
          <w:bCs w:val="0"/>
          <w:kern w:val="2"/>
          <w:sz w:val="32"/>
          <w:szCs w:val="32"/>
          <w:lang w:val="en-US" w:eastAsia="zh-CN" w:bidi="ar-SA"/>
        </w:rPr>
        <w:t>等多维度指标</w:t>
      </w:r>
      <w:r>
        <w:rPr>
          <w:rFonts w:hint="default" w:ascii="仿宋_GB2312" w:hAnsi="仿宋_GB2312" w:eastAsia="仿宋_GB2312" w:cs="仿宋_GB2312"/>
          <w:b w:val="0"/>
          <w:bCs w:val="0"/>
          <w:kern w:val="2"/>
          <w:sz w:val="32"/>
          <w:szCs w:val="32"/>
          <w:lang w:val="en-US" w:eastAsia="zh-CN" w:bidi="ar-SA"/>
        </w:rPr>
        <w:t>，为项目后续的改进与优化提供科学依据。</w:t>
      </w:r>
    </w:p>
    <w:p w14:paraId="4FDC6C34">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（2）提升资源利用效率</w:t>
      </w:r>
    </w:p>
    <w:p w14:paraId="7E243798">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1512092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（3）强化项目管理责任</w:t>
      </w:r>
    </w:p>
    <w:p w14:paraId="3FB8798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20A191A4">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（4）为决策提供支持</w:t>
      </w:r>
    </w:p>
    <w:p w14:paraId="33F2FB69">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5FB1F2BF">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（5）促进项目持续改进</w:t>
      </w:r>
    </w:p>
    <w:p w14:paraId="78DCDFC9">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231B0BD1">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66CFEB0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3.绩效评价的对象</w:t>
      </w:r>
    </w:p>
    <w:p w14:paraId="727EAAA4">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本项目预算绩效评价报告的评价对象是</w:t>
      </w:r>
      <w:r>
        <w:rPr>
          <w:rFonts w:hint="eastAsia" w:ascii="仿宋_GB2312" w:hAnsi="仿宋_GB2312" w:eastAsia="仿宋_GB2312" w:cs="仿宋_GB2312"/>
          <w:b w:val="0"/>
          <w:bCs w:val="0"/>
          <w:kern w:val="2"/>
          <w:sz w:val="32"/>
          <w:szCs w:val="32"/>
          <w:lang w:val="en-US" w:eastAsia="zh-CN" w:bidi="ar-SA"/>
        </w:rPr>
        <w:t>延续项目—</w:t>
      </w:r>
      <w:r>
        <w:rPr>
          <w:rFonts w:hint="default" w:ascii="仿宋_GB2312" w:hAnsi="仿宋_GB2312" w:eastAsia="仿宋_GB2312" w:cs="仿宋_GB2312"/>
          <w:b w:val="0"/>
          <w:bCs w:val="0"/>
          <w:kern w:val="2"/>
          <w:sz w:val="32"/>
          <w:szCs w:val="32"/>
          <w:lang w:val="en-US" w:eastAsia="zh-CN" w:bidi="ar-SA"/>
        </w:rPr>
        <w:t>塔里木乙烷制乙烯二期占用林地资源各项费用项目及其预算执行情况。该项目由</w:t>
      </w:r>
      <w:r>
        <w:rPr>
          <w:rFonts w:hint="eastAsia" w:ascii="仿宋_GB2312" w:hAnsi="仿宋_GB2312" w:eastAsia="仿宋_GB2312" w:cs="仿宋_GB2312"/>
          <w:b w:val="0"/>
          <w:bCs w:val="0"/>
          <w:kern w:val="2"/>
          <w:sz w:val="32"/>
          <w:szCs w:val="32"/>
          <w:lang w:val="en-US" w:eastAsia="zh-CN" w:bidi="ar-SA"/>
        </w:rPr>
        <w:t>库尔勒上库高新技术产业开发区管理委员会</w:t>
      </w:r>
      <w:r>
        <w:rPr>
          <w:rFonts w:hint="default" w:ascii="仿宋_GB2312" w:hAnsi="仿宋_GB2312" w:eastAsia="仿宋_GB2312" w:cs="仿宋_GB2312"/>
          <w:b w:val="0"/>
          <w:bCs w:val="0"/>
          <w:kern w:val="2"/>
          <w:sz w:val="32"/>
          <w:szCs w:val="32"/>
          <w:lang w:val="en-US" w:eastAsia="zh-CN" w:bidi="ar-SA"/>
        </w:rPr>
        <w:t>负责实施，旨在完成库尔勒上库高新技术产业开发区组织实施园区规划2023年第三批建设用地项目，使用林地面积68.8913公顷，使用林地数量6个小班。增加当地税收收入2224.01万元。项目预算涵盖从</w:t>
      </w:r>
      <w:r>
        <w:rPr>
          <w:rFonts w:hint="eastAsia" w:ascii="仿宋_GB2312" w:hAnsi="仿宋_GB2312" w:eastAsia="仿宋_GB2312" w:cs="仿宋_GB2312"/>
          <w:b w:val="0"/>
          <w:bCs w:val="0"/>
          <w:kern w:val="2"/>
          <w:sz w:val="32"/>
          <w:szCs w:val="32"/>
          <w:lang w:val="en-US" w:eastAsia="zh-CN" w:bidi="ar-SA"/>
        </w:rPr>
        <w:t>2024年1月1日</w:t>
      </w:r>
      <w:r>
        <w:rPr>
          <w:rFonts w:hint="default" w:ascii="仿宋_GB2312" w:hAnsi="仿宋_GB2312" w:eastAsia="仿宋_GB2312" w:cs="仿宋_GB2312"/>
          <w:b w:val="0"/>
          <w:bCs w:val="0"/>
          <w:kern w:val="2"/>
          <w:sz w:val="32"/>
          <w:szCs w:val="32"/>
          <w:lang w:val="en-US" w:eastAsia="zh-CN" w:bidi="ar-SA"/>
        </w:rPr>
        <w:t>至</w:t>
      </w:r>
      <w:r>
        <w:rPr>
          <w:rFonts w:hint="eastAsia" w:ascii="仿宋_GB2312" w:hAnsi="仿宋_GB2312" w:eastAsia="仿宋_GB2312" w:cs="仿宋_GB2312"/>
          <w:b w:val="0"/>
          <w:bCs w:val="0"/>
          <w:kern w:val="2"/>
          <w:sz w:val="32"/>
          <w:szCs w:val="32"/>
          <w:lang w:val="en-US" w:eastAsia="zh-CN" w:bidi="ar-SA"/>
        </w:rPr>
        <w:t>2024年12月31日</w:t>
      </w:r>
      <w:r>
        <w:rPr>
          <w:rFonts w:hint="default" w:ascii="仿宋_GB2312" w:hAnsi="仿宋_GB2312" w:eastAsia="仿宋_GB2312" w:cs="仿宋_GB2312"/>
          <w:b w:val="0"/>
          <w:bCs w:val="0"/>
          <w:kern w:val="2"/>
          <w:sz w:val="32"/>
          <w:szCs w:val="32"/>
          <w:lang w:val="en-US" w:eastAsia="zh-CN" w:bidi="ar-SA"/>
        </w:rPr>
        <w:t>的全部资金投入与支出，涉及资金总额为</w:t>
      </w:r>
      <w:r>
        <w:rPr>
          <w:rFonts w:hint="eastAsia" w:ascii="仿宋_GB2312" w:hAnsi="仿宋_GB2312" w:eastAsia="仿宋_GB2312" w:cs="仿宋_GB2312"/>
          <w:b w:val="0"/>
          <w:bCs w:val="0"/>
          <w:kern w:val="2"/>
          <w:sz w:val="32"/>
          <w:szCs w:val="32"/>
          <w:lang w:val="en-US" w:eastAsia="zh-CN" w:bidi="ar-SA"/>
        </w:rPr>
        <w:t>2224.01</w:t>
      </w:r>
      <w:r>
        <w:rPr>
          <w:rFonts w:hint="default" w:ascii="仿宋_GB2312" w:hAnsi="仿宋_GB2312" w:eastAsia="仿宋_GB2312" w:cs="仿宋_GB2312"/>
          <w:b w:val="0"/>
          <w:bCs w:val="0"/>
          <w:kern w:val="2"/>
          <w:sz w:val="32"/>
          <w:szCs w:val="32"/>
          <w:lang w:val="en-US" w:eastAsia="zh-CN" w:bidi="ar-SA"/>
        </w:rPr>
        <w:t>万元。</w:t>
      </w:r>
    </w:p>
    <w:p w14:paraId="0ABF45B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4.绩效评价的范围</w:t>
      </w:r>
    </w:p>
    <w:p w14:paraId="7D309590">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本项目预算绩效评价报告的评价范围广泛而全面，涵盖了从项目立项至评价时点期间的所有关键预算活动和财务流程。具体而言，评价范围包括但不限于以下几个方面：</w:t>
      </w:r>
    </w:p>
    <w:p w14:paraId="5D5BD4C3">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项目预算编制与执行：全面审视项目预算的编制依据、合理性、科学性以及实际执行情况，包括预算调整的原因和效果。</w:t>
      </w:r>
    </w:p>
    <w:p w14:paraId="4E9BC6C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资金管理：深入分析项目资金的分配、使用和监管情况，确保资金使用的合规性、高效性和透明度。</w:t>
      </w:r>
    </w:p>
    <w:p w14:paraId="580FC44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项目实施进度与产出：评估项目是否按照既定计划顺利推进，各项任务是否按时完成，以及项目产出的数量、质量和时效性是否符合预期。</w:t>
      </w:r>
    </w:p>
    <w:p w14:paraId="6A81D31D">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社会影响：考察项目对社会方面的影响。</w:t>
      </w:r>
    </w:p>
    <w:p w14:paraId="7DEBFD29">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F748AE2">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1.绩效评价原则</w:t>
      </w:r>
    </w:p>
    <w:p w14:paraId="18F821C5">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本次项目绩效评价遵循以下基本原则：</w:t>
      </w:r>
    </w:p>
    <w:p w14:paraId="5B90896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（1）科学公正。绩效评价应当运用科学合理的方法，按照规范的程序，对项目绩效进行客观、公正的反映。</w:t>
      </w:r>
    </w:p>
    <w:p w14:paraId="4142474D">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2268EE90">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（3）激励约束。绩效评价结果应与预算安排、政策调整、改进管理实质性挂钩，体现奖优罚劣和激励相容导向，有效要安排、低效要压减、无效要问责。</w:t>
      </w:r>
    </w:p>
    <w:p w14:paraId="4FF5C44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（4）公开透明。绩效评价结果应依法依规公开，并自觉接受社会监督。</w:t>
      </w:r>
    </w:p>
    <w:p w14:paraId="7EE163C7">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2.评价指标体系</w:t>
      </w:r>
    </w:p>
    <w:p w14:paraId="3D8D2FD7">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绩效评价框架是开展绩效评价的核心。绩效评价框架包括评价准则、关键评价问题、评价指标、数据来源、数据收集方法等。指标体系建立过程如下：</w:t>
      </w:r>
    </w:p>
    <w:p w14:paraId="50439ABC">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（1）确定评价指标</w:t>
      </w:r>
    </w:p>
    <w:p w14:paraId="00D8095F">
      <w:pPr>
        <w:pStyle w:val="11"/>
        <w:numPr>
          <w:ilvl w:val="0"/>
          <w:numId w:val="0"/>
        </w:numPr>
        <w:spacing w:before="0" w:after="0" w:line="560" w:lineRule="exact"/>
        <w:ind w:firstLine="640" w:firstLineChars="200"/>
        <w:jc w:val="both"/>
        <w:rPr>
          <w:rFonts w:hint="default" w:ascii="Times New Roman" w:hAnsi="Times New Roman" w:eastAsia="仿宋_GB2312" w:cs="Times New Roman"/>
          <w:color w:val="000000"/>
          <w:spacing w:val="17"/>
          <w:sz w:val="32"/>
          <w:szCs w:val="32"/>
        </w:rPr>
      </w:pPr>
      <w:r>
        <w:rPr>
          <w:rFonts w:hint="default" w:ascii="仿宋_GB2312" w:hAnsi="仿宋_GB2312" w:eastAsia="仿宋_GB2312" w:cs="仿宋_GB2312"/>
          <w:b w:val="0"/>
          <w:bCs w:val="0"/>
          <w:kern w:val="2"/>
          <w:sz w:val="32"/>
          <w:szCs w:val="32"/>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3F14414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73A39C5D">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确定各个指标相对于项目总体绩效的权重分值。在绩效评价指标体系中，项目决策权重为20分，项目过程权重为20分，项目产出权重为40分，项目效益权重为20分。</w:t>
      </w:r>
    </w:p>
    <w:p w14:paraId="167BA2E6">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（3）确定指标标准值</w:t>
      </w:r>
    </w:p>
    <w:p w14:paraId="475EEFED">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指标标准值是绩效评价指标的尺度，既要反映同类项目的先进水平，又要符合项目的实际绩效水平。具体采用计划标准等确定此次绩效评价指标标准值。</w:t>
      </w:r>
    </w:p>
    <w:p w14:paraId="00B964D1">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绩效评价总分值100分，根据综合评分结果，90（含）-100分为优、80（含）-90分为良、60（含）-80分为中、60分以下为差。</w:t>
      </w:r>
    </w:p>
    <w:p w14:paraId="3FA5082D">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具体评价指标体系详情见附件1</w:t>
      </w:r>
    </w:p>
    <w:p w14:paraId="5210CCB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3.绩效评价方法</w:t>
      </w:r>
    </w:p>
    <w:p w14:paraId="134C4E24">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绩效评价从项目决策、项目过程、项目产出、项目效益四个维度进行评价。评价对象为项目目标实施情况，  评价核心为资金的支出完成情况和项目的产出效益。</w:t>
      </w:r>
    </w:p>
    <w:p w14:paraId="759AD98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本次评价指标中，既有定性指标又有定量指标，各类指标因考核内容不同和客观标准不同存在较大差异，因此核定具体指标时采用了不同方法，具体评价方法如下：</w:t>
      </w:r>
    </w:p>
    <w:p w14:paraId="73537F44">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本项目采用了</w:t>
      </w:r>
      <w:r>
        <w:rPr>
          <w:rFonts w:hint="default" w:ascii="仿宋_GB2312" w:hAnsi="仿宋_GB2312" w:eastAsia="仿宋_GB2312" w:cs="仿宋_GB2312"/>
          <w:b w:val="0"/>
          <w:bCs w:val="0"/>
          <w:kern w:val="2"/>
          <w:sz w:val="32"/>
          <w:szCs w:val="32"/>
          <w:lang w:val="en-US" w:eastAsia="zh-CN" w:bidi="ar-SA"/>
        </w:rPr>
        <w:t>因素分析法</w:t>
      </w:r>
      <w:r>
        <w:rPr>
          <w:rFonts w:hint="eastAsia" w:ascii="仿宋_GB2312" w:hAnsi="仿宋_GB2312" w:eastAsia="仿宋_GB2312" w:cs="仿宋_GB2312"/>
          <w:b w:val="0"/>
          <w:bCs w:val="0"/>
          <w:kern w:val="2"/>
          <w:sz w:val="32"/>
          <w:szCs w:val="32"/>
          <w:lang w:val="en-US" w:eastAsia="zh-CN" w:bidi="ar-SA"/>
        </w:rPr>
        <w:t>，通过年初设置7个绩效目标，年中监控，年底自评等措施，对项目实施效果的相关因素进行分析评价。</w:t>
      </w:r>
    </w:p>
    <w:p w14:paraId="302C2A01">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4.评价标准</w:t>
      </w:r>
    </w:p>
    <w:p w14:paraId="7EFC0F5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绩效评价标准通常包括计划标准、行业标准、历史标准等，用于对绩效指标完成情况进行比较、分析、评价。本次评价主要采用了</w:t>
      </w:r>
      <w:r>
        <w:rPr>
          <w:rFonts w:hint="eastAsia" w:ascii="仿宋_GB2312" w:hAnsi="仿宋_GB2312" w:eastAsia="仿宋_GB2312" w:cs="仿宋_GB2312"/>
          <w:b w:val="0"/>
          <w:bCs w:val="0"/>
          <w:kern w:val="2"/>
          <w:sz w:val="32"/>
          <w:szCs w:val="32"/>
          <w:lang w:val="en-US" w:eastAsia="zh-CN" w:bidi="ar-SA"/>
        </w:rPr>
        <w:t>计划</w:t>
      </w:r>
      <w:r>
        <w:rPr>
          <w:rFonts w:hint="default" w:ascii="仿宋_GB2312" w:hAnsi="仿宋_GB2312" w:eastAsia="仿宋_GB2312" w:cs="仿宋_GB2312"/>
          <w:b w:val="0"/>
          <w:bCs w:val="0"/>
          <w:kern w:val="2"/>
          <w:sz w:val="32"/>
          <w:szCs w:val="32"/>
          <w:lang w:val="en-US" w:eastAsia="zh-CN" w:bidi="ar-SA"/>
        </w:rPr>
        <w:t>标准。</w:t>
      </w:r>
      <w:r>
        <w:rPr>
          <w:rFonts w:hint="eastAsia" w:ascii="仿宋_GB2312" w:hAnsi="仿宋_GB2312" w:eastAsia="仿宋_GB2312" w:cs="仿宋_GB2312"/>
          <w:b w:val="0"/>
          <w:bCs w:val="0"/>
          <w:kern w:val="2"/>
          <w:sz w:val="32"/>
          <w:szCs w:val="32"/>
          <w:lang w:val="en-US" w:eastAsia="zh-CN" w:bidi="ar-SA"/>
        </w:rPr>
        <w:t>原因是：根据该项目的实际情况，年初预先制定了目标，在执行过程中，结合项目实施情况、预算执行、效益等方面，对项目进行对比分析。</w:t>
      </w:r>
    </w:p>
    <w:p w14:paraId="139BBFC0">
      <w:pPr>
        <w:pStyle w:val="11"/>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7B7DDF34">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（1）前期准备与规划</w:t>
      </w:r>
    </w:p>
    <w:p w14:paraId="162DA80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项目绩效评价工作启动之初，成立了专门的评价工作小组，小组成员由项目管理专业人员及相关领域技术骨干组成，确保从多角度、全方位对项目绩效进行评价。同时，明确了评价工作的目标、范围、重点及时间安排，制定了详细的工作计划，为评价工作的顺利开展奠定了坚实基础。</w:t>
      </w:r>
    </w:p>
    <w:p w14:paraId="73D7B466">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（2）指标体系构建</w:t>
      </w:r>
    </w:p>
    <w:p w14:paraId="53C59768">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28C510CC">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（3）数据收集与整理</w:t>
      </w:r>
    </w:p>
    <w:p w14:paraId="3EADBAA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广泛收集与项目相关的各类数据，包括项目文档、</w:t>
      </w:r>
      <w:r>
        <w:rPr>
          <w:rFonts w:hint="eastAsia" w:ascii="仿宋_GB2312" w:hAnsi="仿宋_GB2312" w:eastAsia="仿宋_GB2312" w:cs="仿宋_GB2312"/>
          <w:b w:val="0"/>
          <w:bCs w:val="0"/>
          <w:kern w:val="2"/>
          <w:sz w:val="32"/>
          <w:szCs w:val="32"/>
          <w:lang w:val="en-US" w:eastAsia="zh-CN" w:bidi="ar-SA"/>
        </w:rPr>
        <w:t>实地调研数据</w:t>
      </w:r>
      <w:r>
        <w:rPr>
          <w:rFonts w:hint="default" w:ascii="仿宋_GB2312" w:hAnsi="仿宋_GB2312" w:eastAsia="仿宋_GB2312" w:cs="仿宋_GB2312"/>
          <w:b w:val="0"/>
          <w:bCs w:val="0"/>
          <w:kern w:val="2"/>
          <w:sz w:val="32"/>
          <w:szCs w:val="32"/>
          <w:lang w:val="en-US" w:eastAsia="zh-CN" w:bidi="ar-SA"/>
        </w:rPr>
        <w:t>等。在数据收集过程中，注重数据的质量与完整性，对缺失或异常的数据进行了合理的处理和补充。随后，对收集到的数据进行了系统的整理与分类，为后续的数据分析提供了有力支持。</w:t>
      </w:r>
    </w:p>
    <w:p w14:paraId="3435C4E7">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（4）数据分析与评估</w:t>
      </w:r>
    </w:p>
    <w:p w14:paraId="38DAFC5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191F2C95">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（5）报告撰写与反馈</w:t>
      </w:r>
    </w:p>
    <w:p w14:paraId="075EC91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22AA2B5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（6）后续跟踪与改进</w:t>
      </w:r>
    </w:p>
    <w:p w14:paraId="00089139">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C739E45">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169EB5F4">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20D6D17C">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本项目的综合评价基于对项目各方面绩效的深入分析与评估。从项目目标的达成情况来看，</w:t>
      </w:r>
      <w:r>
        <w:rPr>
          <w:rFonts w:hint="eastAsia" w:ascii="仿宋_GB2312" w:hAnsi="仿宋_GB2312" w:eastAsia="仿宋_GB2312" w:cs="仿宋_GB2312"/>
          <w:b w:val="0"/>
          <w:bCs w:val="0"/>
          <w:kern w:val="2"/>
          <w:sz w:val="32"/>
          <w:szCs w:val="32"/>
          <w:lang w:val="en-US" w:eastAsia="zh-CN" w:bidi="ar-SA"/>
        </w:rPr>
        <w:t>延续项目—</w:t>
      </w:r>
      <w:r>
        <w:rPr>
          <w:rFonts w:hint="default" w:ascii="仿宋_GB2312" w:hAnsi="仿宋_GB2312" w:eastAsia="仿宋_GB2312" w:cs="仿宋_GB2312"/>
          <w:b w:val="0"/>
          <w:bCs w:val="0"/>
          <w:kern w:val="2"/>
          <w:sz w:val="32"/>
          <w:szCs w:val="32"/>
          <w:lang w:val="en-US" w:eastAsia="zh-CN" w:bidi="ar-SA"/>
        </w:rPr>
        <w:t>塔里木乙烷制乙烯二期占用林地资源各项费用</w:t>
      </w:r>
      <w:r>
        <w:rPr>
          <w:rFonts w:hint="eastAsia" w:ascii="仿宋_GB2312" w:hAnsi="仿宋_GB2312" w:eastAsia="仿宋_GB2312" w:cs="仿宋_GB2312"/>
          <w:b w:val="0"/>
          <w:bCs w:val="0"/>
          <w:kern w:val="2"/>
          <w:sz w:val="32"/>
          <w:szCs w:val="32"/>
          <w:lang w:val="en-US" w:eastAsia="zh-CN" w:bidi="ar-SA"/>
        </w:rPr>
        <w:t>项目</w:t>
      </w:r>
      <w:r>
        <w:rPr>
          <w:rFonts w:hint="default" w:ascii="仿宋_GB2312" w:hAnsi="仿宋_GB2312" w:eastAsia="仿宋_GB2312" w:cs="仿宋_GB2312"/>
          <w:b w:val="0"/>
          <w:bCs w:val="0"/>
          <w:kern w:val="2"/>
          <w:sz w:val="32"/>
          <w:szCs w:val="32"/>
          <w:lang w:val="en-US" w:eastAsia="zh-CN" w:bidi="ar-SA"/>
        </w:rPr>
        <w:t>在使用林地面积68.8913</w:t>
      </w:r>
      <w:r>
        <w:rPr>
          <w:rFonts w:hint="eastAsia" w:ascii="仿宋_GB2312" w:hAnsi="仿宋_GB2312" w:eastAsia="仿宋_GB2312" w:cs="仿宋_GB2312"/>
          <w:b w:val="0"/>
          <w:bCs w:val="0"/>
          <w:kern w:val="2"/>
          <w:sz w:val="32"/>
          <w:szCs w:val="32"/>
          <w:lang w:val="en-US" w:eastAsia="zh-CN" w:bidi="ar-SA"/>
        </w:rPr>
        <w:t>公</w:t>
      </w:r>
      <w:r>
        <w:rPr>
          <w:rFonts w:hint="default" w:ascii="仿宋_GB2312" w:hAnsi="仿宋_GB2312" w:eastAsia="仿宋_GB2312" w:cs="仿宋_GB2312"/>
          <w:b w:val="0"/>
          <w:bCs w:val="0"/>
          <w:kern w:val="2"/>
          <w:sz w:val="32"/>
          <w:szCs w:val="32"/>
          <w:lang w:val="en-US" w:eastAsia="zh-CN" w:bidi="ar-SA"/>
        </w:rPr>
        <w:t>顷</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使用6个小班林地等方面表现出色，达到了预期的标准与要求。同时，项目也在</w:t>
      </w:r>
      <w:r>
        <w:rPr>
          <w:rFonts w:hint="eastAsia" w:ascii="仿宋_GB2312" w:hAnsi="仿宋_GB2312" w:eastAsia="仿宋_GB2312" w:cs="仿宋_GB2312"/>
          <w:b w:val="0"/>
          <w:bCs w:val="0"/>
          <w:kern w:val="2"/>
          <w:sz w:val="32"/>
          <w:szCs w:val="32"/>
          <w:lang w:val="en-US" w:eastAsia="zh-CN" w:bidi="ar-SA"/>
        </w:rPr>
        <w:t>生态效益</w:t>
      </w:r>
      <w:r>
        <w:rPr>
          <w:rFonts w:hint="default" w:ascii="仿宋_GB2312" w:hAnsi="仿宋_GB2312" w:eastAsia="仿宋_GB2312" w:cs="仿宋_GB2312"/>
          <w:b w:val="0"/>
          <w:bCs w:val="0"/>
          <w:kern w:val="2"/>
          <w:sz w:val="32"/>
          <w:szCs w:val="32"/>
          <w:lang w:val="en-US" w:eastAsia="zh-CN" w:bidi="ar-SA"/>
        </w:rPr>
        <w:t>取得了显著的成效，</w:t>
      </w:r>
      <w:r>
        <w:rPr>
          <w:rFonts w:hint="eastAsia" w:ascii="仿宋_GB2312" w:hAnsi="仿宋_GB2312" w:eastAsia="仿宋_GB2312" w:cs="仿宋_GB2312"/>
          <w:b w:val="0"/>
          <w:bCs w:val="0"/>
          <w:kern w:val="2"/>
          <w:sz w:val="32"/>
          <w:szCs w:val="32"/>
          <w:lang w:val="en-US" w:eastAsia="zh-CN" w:bidi="ar-SA"/>
        </w:rPr>
        <w:t>如：保护当地草原植被，促进当地生态和谐发展</w:t>
      </w:r>
      <w:r>
        <w:rPr>
          <w:rFonts w:hint="default" w:ascii="仿宋_GB2312" w:hAnsi="仿宋_GB2312" w:eastAsia="仿宋_GB2312" w:cs="仿宋_GB2312"/>
          <w:b w:val="0"/>
          <w:bCs w:val="0"/>
          <w:kern w:val="2"/>
          <w:sz w:val="32"/>
          <w:szCs w:val="32"/>
          <w:lang w:val="en-US" w:eastAsia="zh-CN" w:bidi="ar-SA"/>
        </w:rPr>
        <w:t>。</w:t>
      </w:r>
    </w:p>
    <w:p w14:paraId="1CE0C33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在项目管理方面，</w:t>
      </w:r>
      <w:r>
        <w:rPr>
          <w:rFonts w:hint="eastAsia" w:ascii="仿宋_GB2312" w:hAnsi="仿宋_GB2312" w:eastAsia="仿宋_GB2312" w:cs="仿宋_GB2312"/>
          <w:b w:val="0"/>
          <w:bCs w:val="0"/>
          <w:kern w:val="2"/>
          <w:sz w:val="32"/>
          <w:szCs w:val="32"/>
          <w:lang w:val="en-US" w:eastAsia="zh-CN" w:bidi="ar-SA"/>
        </w:rPr>
        <w:t>库尔勒上库高新技术产业开发区管理委员会</w:t>
      </w:r>
      <w:r>
        <w:rPr>
          <w:rFonts w:hint="default" w:ascii="仿宋_GB2312" w:hAnsi="仿宋_GB2312" w:eastAsia="仿宋_GB2312" w:cs="仿宋_GB2312"/>
          <w:b w:val="0"/>
          <w:bCs w:val="0"/>
          <w:kern w:val="2"/>
          <w:sz w:val="32"/>
          <w:szCs w:val="32"/>
          <w:lang w:val="en-US" w:eastAsia="zh-CN" w:bidi="ar-SA"/>
        </w:rPr>
        <w:t>通过有效的规划、组织与协调，项目得以顺利实施，并在预算与时间上保持了良好的控制。</w:t>
      </w:r>
    </w:p>
    <w:p w14:paraId="098DD77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从项目效益的角度来看，本项目不仅实现了预期的社会效益方面产生了积极的影响。具体而言，增加当地税收收入方面的提升，为项目的利益相关者带来了实实在在的利益。</w:t>
      </w:r>
    </w:p>
    <w:p w14:paraId="70EBB0F0">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综上所述，</w:t>
      </w:r>
      <w:r>
        <w:rPr>
          <w:rFonts w:hint="eastAsia" w:ascii="仿宋_GB2312" w:hAnsi="仿宋_GB2312" w:eastAsia="仿宋_GB2312" w:cs="仿宋_GB2312"/>
          <w:b w:val="0"/>
          <w:bCs w:val="0"/>
          <w:kern w:val="2"/>
          <w:sz w:val="32"/>
          <w:szCs w:val="32"/>
          <w:lang w:val="en-US" w:eastAsia="zh-CN" w:bidi="ar-SA"/>
        </w:rPr>
        <w:t>延续项目—</w:t>
      </w:r>
      <w:r>
        <w:rPr>
          <w:rFonts w:hint="default" w:ascii="仿宋_GB2312" w:hAnsi="仿宋_GB2312" w:eastAsia="仿宋_GB2312" w:cs="仿宋_GB2312"/>
          <w:b w:val="0"/>
          <w:bCs w:val="0"/>
          <w:kern w:val="2"/>
          <w:sz w:val="32"/>
          <w:szCs w:val="32"/>
          <w:lang w:val="en-US" w:eastAsia="zh-CN" w:bidi="ar-SA"/>
        </w:rPr>
        <w:t>塔里木乙烷制乙烯二期占用林地资源各项费用</w:t>
      </w:r>
      <w:r>
        <w:rPr>
          <w:rFonts w:hint="eastAsia" w:ascii="仿宋_GB2312" w:hAnsi="仿宋_GB2312" w:eastAsia="仿宋_GB2312" w:cs="仿宋_GB2312"/>
          <w:b w:val="0"/>
          <w:bCs w:val="0"/>
          <w:kern w:val="2"/>
          <w:sz w:val="32"/>
          <w:szCs w:val="32"/>
          <w:lang w:val="en-US" w:eastAsia="zh-CN" w:bidi="ar-SA"/>
        </w:rPr>
        <w:t>项目</w:t>
      </w:r>
      <w:r>
        <w:rPr>
          <w:rFonts w:hint="default" w:ascii="仿宋_GB2312" w:hAnsi="仿宋_GB2312" w:eastAsia="仿宋_GB2312" w:cs="仿宋_GB2312"/>
          <w:b w:val="0"/>
          <w:bCs w:val="0"/>
          <w:kern w:val="2"/>
          <w:sz w:val="32"/>
          <w:szCs w:val="32"/>
          <w:lang w:val="en-US" w:eastAsia="zh-CN" w:bidi="ar-SA"/>
        </w:rPr>
        <w:t>在绩效评价中表现出色，达到了项目的预期目标，并在多个方面取得了显著的成效。</w:t>
      </w:r>
    </w:p>
    <w:p w14:paraId="7BC8078E">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2154A02D">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仿宋_GB2312" w:hAnsi="仿宋_GB2312" w:eastAsia="仿宋_GB2312" w:cs="仿宋_GB2312"/>
          <w:b w:val="0"/>
          <w:bCs w:val="0"/>
          <w:kern w:val="2"/>
          <w:sz w:val="32"/>
          <w:szCs w:val="32"/>
          <w:highlight w:val="none"/>
          <w:lang w:val="en-US" w:eastAsia="zh-CN" w:bidi="ar-SA"/>
        </w:rPr>
        <w:t>98.63</w:t>
      </w:r>
      <w:r>
        <w:rPr>
          <w:rFonts w:hint="default" w:ascii="仿宋_GB2312" w:hAnsi="仿宋_GB2312" w:eastAsia="仿宋_GB2312" w:cs="仿宋_GB2312"/>
          <w:b w:val="0"/>
          <w:bCs w:val="0"/>
          <w:kern w:val="2"/>
          <w:sz w:val="32"/>
          <w:szCs w:val="32"/>
          <w:highlight w:val="none"/>
          <w:lang w:val="en-US" w:eastAsia="zh-CN" w:bidi="ar-SA"/>
        </w:rPr>
        <w:t>分，属于“优”。其中，项目决策类指标权重为20分，得分为</w:t>
      </w:r>
      <w:r>
        <w:rPr>
          <w:rFonts w:hint="eastAsia" w:ascii="仿宋_GB2312" w:hAnsi="仿宋_GB2312" w:eastAsia="仿宋_GB2312" w:cs="仿宋_GB2312"/>
          <w:b w:val="0"/>
          <w:bCs w:val="0"/>
          <w:kern w:val="2"/>
          <w:sz w:val="32"/>
          <w:szCs w:val="32"/>
          <w:highlight w:val="none"/>
          <w:lang w:val="en-US" w:eastAsia="zh-CN" w:bidi="ar-SA"/>
        </w:rPr>
        <w:t>20</w:t>
      </w:r>
      <w:r>
        <w:rPr>
          <w:rFonts w:hint="default" w:ascii="仿宋_GB2312" w:hAnsi="仿宋_GB2312" w:eastAsia="仿宋_GB2312" w:cs="仿宋_GB2312"/>
          <w:b w:val="0"/>
          <w:bCs w:val="0"/>
          <w:kern w:val="2"/>
          <w:sz w:val="32"/>
          <w:szCs w:val="32"/>
          <w:highlight w:val="none"/>
          <w:lang w:val="en-US" w:eastAsia="zh-CN" w:bidi="ar-SA"/>
        </w:rPr>
        <w:t xml:space="preserve">分，得分率为 </w:t>
      </w:r>
      <w:r>
        <w:rPr>
          <w:rFonts w:hint="eastAsia" w:ascii="仿宋_GB2312" w:hAnsi="仿宋_GB2312" w:eastAsia="仿宋_GB2312" w:cs="仿宋_GB2312"/>
          <w:b w:val="0"/>
          <w:bCs w:val="0"/>
          <w:kern w:val="2"/>
          <w:sz w:val="32"/>
          <w:szCs w:val="32"/>
          <w:highlight w:val="none"/>
          <w:lang w:val="en-US" w:eastAsia="zh-CN" w:bidi="ar-SA"/>
        </w:rPr>
        <w:t>100.00</w:t>
      </w:r>
      <w:r>
        <w:rPr>
          <w:rFonts w:hint="default" w:ascii="仿宋_GB2312" w:hAnsi="仿宋_GB2312" w:eastAsia="仿宋_GB2312" w:cs="仿宋_GB2312"/>
          <w:b w:val="0"/>
          <w:bCs w:val="0"/>
          <w:kern w:val="2"/>
          <w:sz w:val="32"/>
          <w:szCs w:val="32"/>
          <w:highlight w:val="none"/>
          <w:lang w:val="en-US" w:eastAsia="zh-CN" w:bidi="ar-SA"/>
        </w:rPr>
        <w:t>%。项目过程类指标权重为20分，得分为</w:t>
      </w:r>
      <w:r>
        <w:rPr>
          <w:rFonts w:hint="eastAsia" w:ascii="仿宋_GB2312" w:hAnsi="仿宋_GB2312" w:eastAsia="仿宋_GB2312" w:cs="仿宋_GB2312"/>
          <w:b w:val="0"/>
          <w:bCs w:val="0"/>
          <w:kern w:val="2"/>
          <w:sz w:val="32"/>
          <w:szCs w:val="32"/>
          <w:highlight w:val="none"/>
          <w:lang w:val="en-US" w:eastAsia="zh-CN" w:bidi="ar-SA"/>
        </w:rPr>
        <w:t>19.87</w:t>
      </w:r>
      <w:r>
        <w:rPr>
          <w:rFonts w:hint="default" w:ascii="仿宋_GB2312" w:hAnsi="仿宋_GB2312" w:eastAsia="仿宋_GB2312" w:cs="仿宋_GB2312"/>
          <w:b w:val="0"/>
          <w:bCs w:val="0"/>
          <w:kern w:val="2"/>
          <w:sz w:val="32"/>
          <w:szCs w:val="32"/>
          <w:highlight w:val="none"/>
          <w:lang w:val="en-US" w:eastAsia="zh-CN" w:bidi="ar-SA"/>
        </w:rPr>
        <w:t xml:space="preserve">分，得分率为 </w:t>
      </w:r>
      <w:r>
        <w:rPr>
          <w:rFonts w:hint="eastAsia" w:ascii="仿宋_GB2312" w:hAnsi="仿宋_GB2312" w:eastAsia="仿宋_GB2312" w:cs="仿宋_GB2312"/>
          <w:b w:val="0"/>
          <w:bCs w:val="0"/>
          <w:kern w:val="2"/>
          <w:sz w:val="32"/>
          <w:szCs w:val="32"/>
          <w:highlight w:val="none"/>
          <w:lang w:val="en-US" w:eastAsia="zh-CN" w:bidi="ar-SA"/>
        </w:rPr>
        <w:t>99.35</w:t>
      </w:r>
      <w:r>
        <w:rPr>
          <w:rFonts w:hint="default" w:ascii="仿宋_GB2312" w:hAnsi="仿宋_GB2312" w:eastAsia="仿宋_GB2312" w:cs="仿宋_GB2312"/>
          <w:b w:val="0"/>
          <w:bCs w:val="0"/>
          <w:kern w:val="2"/>
          <w:sz w:val="32"/>
          <w:szCs w:val="32"/>
          <w:highlight w:val="none"/>
          <w:lang w:val="en-US" w:eastAsia="zh-CN" w:bidi="ar-SA"/>
        </w:rPr>
        <w:t>%。项目产出类指标权重为40分，得分为</w:t>
      </w:r>
      <w:r>
        <w:rPr>
          <w:rFonts w:hint="eastAsia" w:ascii="仿宋_GB2312" w:hAnsi="仿宋_GB2312" w:eastAsia="仿宋_GB2312" w:cs="仿宋_GB2312"/>
          <w:b w:val="0"/>
          <w:bCs w:val="0"/>
          <w:kern w:val="2"/>
          <w:sz w:val="32"/>
          <w:szCs w:val="32"/>
          <w:highlight w:val="none"/>
          <w:lang w:val="en-US" w:eastAsia="zh-CN" w:bidi="ar-SA"/>
        </w:rPr>
        <w:t>39.07</w:t>
      </w:r>
      <w:r>
        <w:rPr>
          <w:rFonts w:hint="default" w:ascii="仿宋_GB2312" w:hAnsi="仿宋_GB2312" w:eastAsia="仿宋_GB2312" w:cs="仿宋_GB2312"/>
          <w:b w:val="0"/>
          <w:bCs w:val="0"/>
          <w:kern w:val="2"/>
          <w:sz w:val="32"/>
          <w:szCs w:val="32"/>
          <w:highlight w:val="none"/>
          <w:lang w:val="en-US" w:eastAsia="zh-CN" w:bidi="ar-SA"/>
        </w:rPr>
        <w:t>分，得分率为</w:t>
      </w:r>
      <w:r>
        <w:rPr>
          <w:rFonts w:hint="eastAsia" w:ascii="仿宋_GB2312" w:hAnsi="仿宋_GB2312" w:eastAsia="仿宋_GB2312" w:cs="仿宋_GB2312"/>
          <w:b w:val="0"/>
          <w:bCs w:val="0"/>
          <w:kern w:val="2"/>
          <w:sz w:val="32"/>
          <w:szCs w:val="32"/>
          <w:highlight w:val="none"/>
          <w:lang w:val="en-US" w:eastAsia="zh-CN" w:bidi="ar-SA"/>
        </w:rPr>
        <w:t>97.68</w:t>
      </w:r>
      <w:r>
        <w:rPr>
          <w:rFonts w:hint="default" w:ascii="仿宋_GB2312" w:hAnsi="仿宋_GB2312" w:eastAsia="仿宋_GB2312" w:cs="仿宋_GB2312"/>
          <w:b w:val="0"/>
          <w:bCs w:val="0"/>
          <w:kern w:val="2"/>
          <w:sz w:val="32"/>
          <w:szCs w:val="32"/>
          <w:highlight w:val="none"/>
          <w:lang w:val="en-US" w:eastAsia="zh-CN" w:bidi="ar-SA"/>
        </w:rPr>
        <w:t>%。项目效益类指标权重为20分，得分为</w:t>
      </w:r>
      <w:r>
        <w:rPr>
          <w:rFonts w:hint="eastAsia" w:ascii="仿宋_GB2312" w:hAnsi="仿宋_GB2312" w:eastAsia="仿宋_GB2312" w:cs="仿宋_GB2312"/>
          <w:b w:val="0"/>
          <w:bCs w:val="0"/>
          <w:kern w:val="2"/>
          <w:sz w:val="32"/>
          <w:szCs w:val="32"/>
          <w:highlight w:val="none"/>
          <w:lang w:val="en-US" w:eastAsia="zh-CN" w:bidi="ar-SA"/>
        </w:rPr>
        <w:t>19.69</w:t>
      </w:r>
      <w:r>
        <w:rPr>
          <w:rFonts w:hint="default" w:ascii="仿宋_GB2312" w:hAnsi="仿宋_GB2312" w:eastAsia="仿宋_GB2312" w:cs="仿宋_GB2312"/>
          <w:b w:val="0"/>
          <w:bCs w:val="0"/>
          <w:kern w:val="2"/>
          <w:sz w:val="32"/>
          <w:szCs w:val="32"/>
          <w:highlight w:val="none"/>
          <w:lang w:val="en-US" w:eastAsia="zh-CN" w:bidi="ar-SA"/>
        </w:rPr>
        <w:t>分，得分率为</w:t>
      </w:r>
      <w:r>
        <w:rPr>
          <w:rFonts w:hint="eastAsia" w:ascii="仿宋_GB2312" w:hAnsi="仿宋_GB2312" w:eastAsia="仿宋_GB2312" w:cs="仿宋_GB2312"/>
          <w:b w:val="0"/>
          <w:bCs w:val="0"/>
          <w:kern w:val="2"/>
          <w:sz w:val="32"/>
          <w:szCs w:val="32"/>
          <w:highlight w:val="none"/>
          <w:lang w:val="en-US" w:eastAsia="zh-CN" w:bidi="ar-SA"/>
        </w:rPr>
        <w:t>98.45</w:t>
      </w:r>
      <w:r>
        <w:rPr>
          <w:rFonts w:hint="default" w:ascii="仿宋_GB2312" w:hAnsi="仿宋_GB2312" w:eastAsia="仿宋_GB2312" w:cs="仿宋_GB2312"/>
          <w:b w:val="0"/>
          <w:bCs w:val="0"/>
          <w:kern w:val="2"/>
          <w:sz w:val="32"/>
          <w:szCs w:val="32"/>
          <w:highlight w:val="none"/>
          <w:lang w:val="en-US" w:eastAsia="zh-CN" w:bidi="ar-SA"/>
        </w:rPr>
        <w:t>%。具体打分情况详见：附件1综合评分表。</w:t>
      </w:r>
    </w:p>
    <w:p w14:paraId="0E36EE23">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1CE7E66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214A4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CAA79E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D009ED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6A64E32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C865C8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7B7920C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1EC237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20.00</w:t>
            </w:r>
          </w:p>
        </w:tc>
      </w:tr>
      <w:tr w14:paraId="4D6BAC3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03D8B8E">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41B4068A">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9E7E59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19.87</w:t>
            </w:r>
          </w:p>
        </w:tc>
      </w:tr>
      <w:tr w14:paraId="70A1900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783755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000E608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39A701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39.07</w:t>
            </w:r>
          </w:p>
        </w:tc>
      </w:tr>
      <w:tr w14:paraId="310251E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74B377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5A6F985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A434B6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19.69</w:t>
            </w:r>
          </w:p>
        </w:tc>
      </w:tr>
      <w:tr w14:paraId="6EE4121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F80BFF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30A0910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07323D1">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98.63</w:t>
            </w:r>
          </w:p>
        </w:tc>
      </w:tr>
    </w:tbl>
    <w:p w14:paraId="4D032A44">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5A68563">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D9C7C21">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项目决策类指标包括项目立项、绩效目标和资金投入三方面的内容，由6个三级指标构成，权重分值为20分，实际得分</w:t>
      </w:r>
      <w:r>
        <w:rPr>
          <w:rFonts w:hint="eastAsia" w:ascii="仿宋_GB2312" w:hAnsi="仿宋_GB2312" w:eastAsia="仿宋_GB2312" w:cs="仿宋_GB2312"/>
          <w:b w:val="0"/>
          <w:bCs w:val="0"/>
          <w:kern w:val="2"/>
          <w:sz w:val="32"/>
          <w:szCs w:val="32"/>
          <w:lang w:val="en-US" w:eastAsia="zh-CN" w:bidi="ar-SA"/>
        </w:rPr>
        <w:t>20</w:t>
      </w:r>
      <w:r>
        <w:rPr>
          <w:rFonts w:hint="default" w:ascii="仿宋_GB2312" w:hAnsi="仿宋_GB2312" w:eastAsia="仿宋_GB2312" w:cs="仿宋_GB2312"/>
          <w:b w:val="0"/>
          <w:bCs w:val="0"/>
          <w:kern w:val="2"/>
          <w:sz w:val="32"/>
          <w:szCs w:val="32"/>
          <w:lang w:val="en-US" w:eastAsia="zh-CN" w:bidi="ar-SA"/>
        </w:rPr>
        <w:t>分，得分率为</w:t>
      </w:r>
      <w:r>
        <w:rPr>
          <w:rFonts w:hint="eastAsia" w:ascii="仿宋_GB2312" w:hAnsi="仿宋_GB2312" w:eastAsia="仿宋_GB2312" w:cs="仿宋_GB2312"/>
          <w:b w:val="0"/>
          <w:bCs w:val="0"/>
          <w:kern w:val="2"/>
          <w:sz w:val="32"/>
          <w:szCs w:val="32"/>
          <w:lang w:val="en-US" w:eastAsia="zh-CN" w:bidi="ar-SA"/>
        </w:rPr>
        <w:t>100.00</w:t>
      </w:r>
      <w:r>
        <w:rPr>
          <w:rFonts w:hint="default" w:ascii="仿宋_GB2312" w:hAnsi="仿宋_GB2312" w:eastAsia="仿宋_GB2312" w:cs="仿宋_GB2312"/>
          <w:b w:val="0"/>
          <w:bCs w:val="0"/>
          <w:kern w:val="2"/>
          <w:sz w:val="32"/>
          <w:szCs w:val="32"/>
          <w:lang w:val="en-US" w:eastAsia="zh-CN" w:bidi="ar-SA"/>
        </w:rPr>
        <w:t>%。</w:t>
      </w:r>
    </w:p>
    <w:p w14:paraId="3C0C7DE3">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439521C3">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（1）立项依据充分性</w:t>
      </w:r>
    </w:p>
    <w:p w14:paraId="526163E0">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该项目立项符合</w:t>
      </w:r>
      <w:bookmarkStart w:id="2" w:name="OLE_LINK3"/>
      <w:r>
        <w:rPr>
          <w:rFonts w:hint="eastAsia" w:ascii="仿宋_GB2312" w:hAnsi="仿宋_GB2312" w:eastAsia="仿宋_GB2312" w:cs="仿宋_GB2312"/>
          <w:b w:val="0"/>
          <w:bCs w:val="0"/>
          <w:kern w:val="2"/>
          <w:sz w:val="32"/>
          <w:szCs w:val="32"/>
          <w:lang w:val="en-US" w:eastAsia="zh-CN" w:bidi="ar-SA"/>
        </w:rPr>
        <w:t>《中华人民共和国预算法》、</w:t>
      </w:r>
      <w:bookmarkEnd w:id="2"/>
      <w:r>
        <w:rPr>
          <w:rFonts w:hint="eastAsia" w:ascii="仿宋_GB2312" w:hAnsi="仿宋_GB2312" w:eastAsia="仿宋_GB2312" w:cs="仿宋_GB2312"/>
          <w:b w:val="0"/>
          <w:bCs w:val="0"/>
          <w:kern w:val="2"/>
          <w:sz w:val="32"/>
          <w:szCs w:val="32"/>
          <w:lang w:val="en-US" w:eastAsia="zh-CN" w:bidi="ar-SA"/>
        </w:rPr>
        <w:t>《中华人民共和国土地管理法》、《中华人民共和国森林法》等</w:t>
      </w:r>
      <w:r>
        <w:rPr>
          <w:rFonts w:hint="default" w:ascii="仿宋_GB2312" w:hAnsi="仿宋_GB2312" w:eastAsia="仿宋_GB2312" w:cs="仿宋_GB2312"/>
          <w:b w:val="0"/>
          <w:bCs w:val="0"/>
          <w:kern w:val="2"/>
          <w:sz w:val="32"/>
          <w:szCs w:val="32"/>
          <w:lang w:val="en-US" w:eastAsia="zh-CN" w:bidi="ar-SA"/>
        </w:rPr>
        <w:t>国家相关法律法规及</w:t>
      </w:r>
      <w:r>
        <w:rPr>
          <w:rFonts w:hint="eastAsia" w:ascii="仿宋_GB2312" w:hAnsi="仿宋_GB2312" w:eastAsia="仿宋_GB2312" w:cs="仿宋_GB2312"/>
          <w:b w:val="0"/>
          <w:bCs w:val="0"/>
          <w:kern w:val="2"/>
          <w:sz w:val="32"/>
          <w:szCs w:val="32"/>
          <w:lang w:val="en-US" w:eastAsia="zh-CN" w:bidi="ar-SA"/>
        </w:rPr>
        <w:t>国家《石化产业规划布局方案》</w:t>
      </w:r>
      <w:r>
        <w:rPr>
          <w:rFonts w:hint="default" w:ascii="仿宋_GB2312" w:hAnsi="仿宋_GB2312" w:eastAsia="仿宋_GB2312" w:cs="仿宋_GB2312"/>
          <w:b w:val="0"/>
          <w:bCs w:val="0"/>
          <w:kern w:val="2"/>
          <w:sz w:val="32"/>
          <w:szCs w:val="32"/>
          <w:lang w:val="en-US" w:eastAsia="zh-CN" w:bidi="ar-SA"/>
        </w:rPr>
        <w:t>发展政策，符合行业规划要求，围绕本年度工作重点和工作计划制定经费预算，属于公共财政支持范围。本项目与部门内部其他相关项目不重复。部门发展规划及职能文件等归档完整。</w:t>
      </w:r>
    </w:p>
    <w:p w14:paraId="2639181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此项权重分值为3分，得分为3分。</w:t>
      </w:r>
    </w:p>
    <w:p w14:paraId="2EECA66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（2）立项程序规范性</w:t>
      </w:r>
    </w:p>
    <w:p w14:paraId="7DCCAEF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项目申请、设立过程符合相关要求，</w:t>
      </w:r>
      <w:r>
        <w:rPr>
          <w:rFonts w:hint="default" w:ascii="仿宋_GB2312" w:hAnsi="仿宋_GB2312" w:eastAsia="仿宋_GB2312" w:cs="仿宋_GB2312"/>
          <w:b w:val="0"/>
          <w:bCs w:val="0"/>
          <w:kern w:val="2"/>
          <w:sz w:val="32"/>
          <w:szCs w:val="32"/>
          <w:lang w:val="en-US" w:eastAsia="zh-Hans" w:bidi="ar-SA"/>
        </w:rPr>
        <w:t>严格按照审批流程准备符合要求的文件、材料；</w:t>
      </w:r>
      <w:r>
        <w:rPr>
          <w:rFonts w:hint="default" w:ascii="仿宋_GB2312" w:hAnsi="仿宋_GB2312" w:eastAsia="仿宋_GB2312" w:cs="仿宋_GB2312"/>
          <w:b w:val="0"/>
          <w:bCs w:val="0"/>
          <w:kern w:val="2"/>
          <w:sz w:val="32"/>
          <w:szCs w:val="32"/>
          <w:lang w:val="en-US" w:eastAsia="zh-CN" w:bidi="ar-SA"/>
        </w:rPr>
        <w:t>根据决算依据编制工作计划和经费</w:t>
      </w:r>
      <w:r>
        <w:rPr>
          <w:rFonts w:hint="default" w:ascii="仿宋_GB2312" w:hAnsi="仿宋_GB2312" w:eastAsia="仿宋_GB2312" w:cs="仿宋_GB2312"/>
          <w:b w:val="0"/>
          <w:bCs w:val="0"/>
          <w:kern w:val="2"/>
          <w:sz w:val="32"/>
          <w:szCs w:val="32"/>
          <w:highlight w:val="none"/>
          <w:lang w:val="en-US" w:eastAsia="zh-CN" w:bidi="ar-SA"/>
        </w:rPr>
        <w:t>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37FAA166">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此项权重分值为3分，得分为3分。</w:t>
      </w:r>
    </w:p>
    <w:p w14:paraId="2DCD8229">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C48EA1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（1）绩效目标合理性</w:t>
      </w:r>
    </w:p>
    <w:p w14:paraId="68B7ECF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Hans" w:bidi="ar-SA"/>
        </w:rPr>
        <w:t>年初结合实际工作内容</w:t>
      </w:r>
      <w:r>
        <w:rPr>
          <w:rFonts w:hint="default" w:ascii="仿宋_GB2312" w:hAnsi="仿宋_GB2312" w:eastAsia="仿宋_GB2312" w:cs="仿宋_GB2312"/>
          <w:b w:val="0"/>
          <w:bCs w:val="0"/>
          <w:kern w:val="2"/>
          <w:sz w:val="32"/>
          <w:szCs w:val="32"/>
          <w:lang w:val="en-US" w:eastAsia="zh-CN" w:bidi="ar-SA"/>
        </w:rPr>
        <w:t>设定绩效目标</w:t>
      </w:r>
      <w:r>
        <w:rPr>
          <w:rFonts w:hint="default" w:ascii="仿宋_GB2312" w:hAnsi="仿宋_GB2312" w:eastAsia="仿宋_GB2312" w:cs="仿宋_GB2312"/>
          <w:b w:val="0"/>
          <w:bCs w:val="0"/>
          <w:kern w:val="2"/>
          <w:sz w:val="32"/>
          <w:szCs w:val="32"/>
          <w:lang w:val="en-US" w:eastAsia="zh-Hans" w:bidi="ar-SA"/>
        </w:rPr>
        <w:t>，绩效目标</w:t>
      </w:r>
      <w:r>
        <w:rPr>
          <w:rFonts w:hint="default" w:ascii="仿宋_GB2312" w:hAnsi="仿宋_GB2312" w:eastAsia="仿宋_GB2312" w:cs="仿宋_GB2312"/>
          <w:b w:val="0"/>
          <w:bCs w:val="0"/>
          <w:kern w:val="2"/>
          <w:sz w:val="32"/>
          <w:szCs w:val="32"/>
          <w:lang w:val="en-US" w:eastAsia="zh-CN" w:bidi="ar-SA"/>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7761827">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此项权重分值为3分，得分为3分。</w:t>
      </w:r>
    </w:p>
    <w:p w14:paraId="2B24A512">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（2）绩效指标明确性</w:t>
      </w:r>
    </w:p>
    <w:p w14:paraId="0F484DFF">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项目设置了明确的预期产出效益和效果，将绩效目标细化分解为具体的</w:t>
      </w:r>
      <w:r>
        <w:rPr>
          <w:rFonts w:hint="eastAsia" w:ascii="仿宋_GB2312" w:hAnsi="仿宋_GB2312" w:eastAsia="仿宋_GB2312" w:cs="仿宋_GB2312"/>
          <w:b w:val="0"/>
          <w:bCs w:val="0"/>
          <w:kern w:val="2"/>
          <w:sz w:val="32"/>
          <w:szCs w:val="32"/>
          <w:lang w:val="en-US" w:eastAsia="zh-CN" w:bidi="ar-SA"/>
        </w:rPr>
        <w:t>7条三级绩效指标</w:t>
      </w:r>
      <w:r>
        <w:rPr>
          <w:rFonts w:hint="default" w:ascii="仿宋_GB2312" w:hAnsi="仿宋_GB2312" w:eastAsia="仿宋_GB2312" w:cs="仿宋_GB2312"/>
          <w:b w:val="0"/>
          <w:bCs w:val="0"/>
          <w:kern w:val="2"/>
          <w:sz w:val="32"/>
          <w:szCs w:val="32"/>
          <w:lang w:val="en-US" w:eastAsia="zh-CN" w:bidi="ar-SA"/>
        </w:rPr>
        <w:t>，绩效目标与项目目标任务数相对应，绩效目标设定的绩效指标清晰、细化、可衡量。</w:t>
      </w:r>
    </w:p>
    <w:p w14:paraId="6E95F767">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此项权重分值为3分，得分为3分。</w:t>
      </w:r>
    </w:p>
    <w:p w14:paraId="2424F4CF">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1E1B83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（1）预算编制科学性</w:t>
      </w:r>
    </w:p>
    <w:p w14:paraId="6E7C5ED2">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638CA99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0CCC1104">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此项权重分值为4分，得分为4分。</w:t>
      </w:r>
    </w:p>
    <w:p w14:paraId="6742A846">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（2）资金分配合理性</w:t>
      </w:r>
    </w:p>
    <w:p w14:paraId="00821325">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02E17C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E8D9FC5">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370F9B9D">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此项权重分值为4分，得分为4分。</w:t>
      </w:r>
    </w:p>
    <w:p w14:paraId="05077525">
      <w:pPr>
        <w:pStyle w:val="11"/>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04C26F08">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项目过程类指标包括资金管理和组织实施两方面的内容，由5个三级指标构成，权重分值为20分，实际得分</w:t>
      </w:r>
      <w:r>
        <w:rPr>
          <w:rFonts w:hint="eastAsia" w:ascii="仿宋_GB2312" w:hAnsi="仿宋_GB2312" w:eastAsia="仿宋_GB2312" w:cs="仿宋_GB2312"/>
          <w:b w:val="0"/>
          <w:bCs w:val="0"/>
          <w:kern w:val="2"/>
          <w:sz w:val="32"/>
          <w:szCs w:val="32"/>
          <w:lang w:val="en-US" w:eastAsia="zh-CN" w:bidi="ar-SA"/>
        </w:rPr>
        <w:t>19.87</w:t>
      </w:r>
      <w:r>
        <w:rPr>
          <w:rFonts w:hint="default" w:ascii="仿宋_GB2312" w:hAnsi="仿宋_GB2312" w:eastAsia="仿宋_GB2312" w:cs="仿宋_GB2312"/>
          <w:b w:val="0"/>
          <w:bCs w:val="0"/>
          <w:kern w:val="2"/>
          <w:sz w:val="32"/>
          <w:szCs w:val="32"/>
          <w:lang w:val="en-US" w:eastAsia="zh-CN" w:bidi="ar-SA"/>
        </w:rPr>
        <w:t>分，得分率为</w:t>
      </w:r>
      <w:r>
        <w:rPr>
          <w:rFonts w:hint="eastAsia" w:ascii="仿宋_GB2312" w:hAnsi="仿宋_GB2312" w:eastAsia="仿宋_GB2312" w:cs="仿宋_GB2312"/>
          <w:b w:val="0"/>
          <w:bCs w:val="0"/>
          <w:kern w:val="2"/>
          <w:sz w:val="32"/>
          <w:szCs w:val="32"/>
          <w:lang w:val="en-US" w:eastAsia="zh-CN" w:bidi="ar-SA"/>
        </w:rPr>
        <w:t>99.35</w:t>
      </w:r>
      <w:r>
        <w:rPr>
          <w:rFonts w:hint="default" w:ascii="仿宋_GB2312" w:hAnsi="仿宋_GB2312" w:eastAsia="仿宋_GB2312" w:cs="仿宋_GB2312"/>
          <w:b w:val="0"/>
          <w:bCs w:val="0"/>
          <w:kern w:val="2"/>
          <w:sz w:val="32"/>
          <w:szCs w:val="32"/>
          <w:lang w:val="en-US" w:eastAsia="zh-CN" w:bidi="ar-SA"/>
        </w:rPr>
        <w:t>%。</w:t>
      </w:r>
    </w:p>
    <w:p w14:paraId="481D0C2C">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1E2929F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（1）资金到位率</w:t>
      </w:r>
    </w:p>
    <w:p w14:paraId="314CEE34">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本项目总投资</w:t>
      </w:r>
      <w:r>
        <w:rPr>
          <w:rFonts w:hint="eastAsia" w:ascii="仿宋_GB2312" w:hAnsi="仿宋_GB2312" w:eastAsia="仿宋_GB2312" w:cs="仿宋_GB2312"/>
          <w:b w:val="0"/>
          <w:bCs w:val="0"/>
          <w:kern w:val="2"/>
          <w:sz w:val="32"/>
          <w:szCs w:val="32"/>
          <w:lang w:val="en-US" w:eastAsia="zh-CN" w:bidi="ar-SA"/>
        </w:rPr>
        <w:t>2224.01</w:t>
      </w:r>
      <w:r>
        <w:rPr>
          <w:rFonts w:hint="default" w:ascii="仿宋_GB2312" w:hAnsi="仿宋_GB2312" w:eastAsia="仿宋_GB2312" w:cs="仿宋_GB2312"/>
          <w:b w:val="0"/>
          <w:bCs w:val="0"/>
          <w:kern w:val="2"/>
          <w:sz w:val="32"/>
          <w:szCs w:val="32"/>
          <w:lang w:val="en-US" w:eastAsia="zh-CN" w:bidi="ar-SA"/>
        </w:rPr>
        <w:t>万元，财政资金及时足额到位，到位率</w:t>
      </w:r>
      <w:r>
        <w:rPr>
          <w:rFonts w:hint="eastAsia" w:ascii="仿宋_GB2312" w:hAnsi="仿宋_GB2312" w:eastAsia="仿宋_GB2312" w:cs="仿宋_GB2312"/>
          <w:b w:val="0"/>
          <w:bCs w:val="0"/>
          <w:kern w:val="2"/>
          <w:sz w:val="32"/>
          <w:szCs w:val="32"/>
          <w:lang w:val="en-US" w:eastAsia="zh-CN" w:bidi="ar-SA"/>
        </w:rPr>
        <w:t>100.00</w:t>
      </w:r>
      <w:r>
        <w:rPr>
          <w:rFonts w:hint="default" w:ascii="仿宋_GB2312" w:hAnsi="仿宋_GB2312" w:eastAsia="仿宋_GB2312" w:cs="仿宋_GB2312"/>
          <w:b w:val="0"/>
          <w:bCs w:val="0"/>
          <w:kern w:val="2"/>
          <w:sz w:val="32"/>
          <w:szCs w:val="32"/>
          <w:lang w:val="en-US" w:eastAsia="zh-CN" w:bidi="ar-SA"/>
        </w:rPr>
        <w:t>%，预算资金按计划进度执行。</w:t>
      </w:r>
    </w:p>
    <w:p w14:paraId="4463BA29">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此项权重分值为4分，得分为4分。</w:t>
      </w:r>
    </w:p>
    <w:p w14:paraId="3DA2CC8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（2）预算执行率</w:t>
      </w:r>
    </w:p>
    <w:p w14:paraId="1AA1C2B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预算编制较为详细，项目资金支出总体能够按照预算执行，预算资金支出</w:t>
      </w:r>
      <w:r>
        <w:rPr>
          <w:rFonts w:hint="eastAsia" w:ascii="仿宋_GB2312" w:hAnsi="仿宋_GB2312" w:eastAsia="仿宋_GB2312" w:cs="仿宋_GB2312"/>
          <w:b w:val="0"/>
          <w:bCs w:val="0"/>
          <w:kern w:val="2"/>
          <w:sz w:val="32"/>
          <w:szCs w:val="32"/>
          <w:lang w:val="en-US" w:eastAsia="zh-CN" w:bidi="ar-SA"/>
        </w:rPr>
        <w:t>2154.58</w:t>
      </w:r>
      <w:r>
        <w:rPr>
          <w:rFonts w:hint="default" w:ascii="仿宋_GB2312" w:hAnsi="仿宋_GB2312" w:eastAsia="仿宋_GB2312" w:cs="仿宋_GB2312"/>
          <w:b w:val="0"/>
          <w:bCs w:val="0"/>
          <w:kern w:val="2"/>
          <w:sz w:val="32"/>
          <w:szCs w:val="32"/>
          <w:lang w:val="en-US" w:eastAsia="zh-CN" w:bidi="ar-SA"/>
        </w:rPr>
        <w:t>万元，预算执行率为</w:t>
      </w:r>
      <w:r>
        <w:rPr>
          <w:rFonts w:hint="eastAsia" w:ascii="仿宋_GB2312" w:hAnsi="仿宋_GB2312" w:eastAsia="仿宋_GB2312" w:cs="仿宋_GB2312"/>
          <w:b w:val="0"/>
          <w:bCs w:val="0"/>
          <w:kern w:val="2"/>
          <w:sz w:val="32"/>
          <w:szCs w:val="32"/>
          <w:lang w:val="en-US" w:eastAsia="zh-CN" w:bidi="ar-SA"/>
        </w:rPr>
        <w:t>96.88</w:t>
      </w:r>
      <w:r>
        <w:rPr>
          <w:rFonts w:hint="default" w:ascii="仿宋_GB2312" w:hAnsi="仿宋_GB2312" w:eastAsia="仿宋_GB2312" w:cs="仿宋_GB2312"/>
          <w:b w:val="0"/>
          <w:bCs w:val="0"/>
          <w:kern w:val="2"/>
          <w:sz w:val="32"/>
          <w:szCs w:val="32"/>
          <w:lang w:val="en-US" w:eastAsia="zh-CN" w:bidi="ar-SA"/>
        </w:rPr>
        <w:t>%。</w:t>
      </w:r>
    </w:p>
    <w:p w14:paraId="0C410C62">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此项权重分值为4分，得分为3.87分。</w:t>
      </w:r>
    </w:p>
    <w:p w14:paraId="69E315D1">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（3）资金使用合规性</w:t>
      </w:r>
    </w:p>
    <w:p w14:paraId="47848183">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本项目的资金使用严格遵循了</w:t>
      </w:r>
      <w:r>
        <w:rPr>
          <w:rFonts w:hint="eastAsia" w:ascii="仿宋_GB2312" w:hAnsi="仿宋_GB2312" w:eastAsia="仿宋_GB2312" w:cs="仿宋_GB2312"/>
          <w:b w:val="0"/>
          <w:bCs w:val="0"/>
          <w:kern w:val="2"/>
          <w:sz w:val="32"/>
          <w:szCs w:val="32"/>
          <w:lang w:val="en-US" w:eastAsia="zh-CN" w:bidi="ar-SA"/>
        </w:rPr>
        <w:t>《中华人民共和国预算法》、《中华人民共和国土地管理法》、《中华人民共和国森林法》等国家法律法规</w:t>
      </w:r>
      <w:r>
        <w:rPr>
          <w:rFonts w:hint="default" w:ascii="仿宋_GB2312" w:hAnsi="仿宋_GB2312" w:eastAsia="仿宋_GB2312" w:cs="仿宋_GB2312"/>
          <w:b w:val="0"/>
          <w:bCs w:val="0"/>
          <w:kern w:val="2"/>
          <w:sz w:val="32"/>
          <w:szCs w:val="32"/>
          <w:lang w:val="en-US" w:eastAsia="zh-CN" w:bidi="ar-SA"/>
        </w:rPr>
        <w:t>，确保了资金的合规性与安全性。在资金使用过程中，我们建立了完善的财务管理体系，对资金的流动进行了全程监控与记录。</w:t>
      </w:r>
    </w:p>
    <w:p w14:paraId="33A147BC">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D926CED">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F71A187">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此项权重分值为4分，得分为4分。</w:t>
      </w:r>
    </w:p>
    <w:p w14:paraId="2D4CA25A">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410A0C9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540ABD6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本项目拥有一套完善、健全的管理制度体系，为项目的成功实施提供了坚实的制度保障。项目管理制度的制定紧密结合了项目的特点与实际情况，涵盖了项目的策划、组织、实施、监控与收尾等各个环节。</w:t>
      </w:r>
    </w:p>
    <w:p w14:paraId="224BA6E6">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在制度设计上，我们注重了制度的科学性与可操作性，确保制度能够切实指导项目的执行与管理。</w:t>
      </w:r>
    </w:p>
    <w:p w14:paraId="41D73EF3">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285741CC">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综上所述，本项目的管理制度是健全的、有效的，既符合项目的实际情况，又满足了项目管理的需要。管理制度的健全性为项目的成功实施提供了有力的保障，也为项目的绩效评价奠定了坚实的基础。</w:t>
      </w:r>
    </w:p>
    <w:p w14:paraId="1B7C035C">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此项权重分值为4分，得分为4分。</w:t>
      </w:r>
    </w:p>
    <w:p w14:paraId="05E41214">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（2）制度执行有效性</w:t>
      </w:r>
    </w:p>
    <w:p w14:paraId="595D8817">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26542175">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在具体执行过程中，项目团队成员严格按照制度要求进行操作。同时，我们还建立了有效的沟通机制与反馈机制，确保项目信息的及时传递与问题的及时解决，进一步提高了制度执行的效率与效果。</w:t>
      </w:r>
    </w:p>
    <w:p w14:paraId="1FB246CB">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综上所述，本项目的管理制度在执行过程中表现出了高度的有效性，既确保了项目的顺利进行，又实现了项目目标的有效达成。</w:t>
      </w:r>
    </w:p>
    <w:p w14:paraId="5DCDD1E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此项权重分值为4分，得分为4分。</w:t>
      </w:r>
    </w:p>
    <w:p w14:paraId="1CC0056C">
      <w:pPr>
        <w:pStyle w:val="13"/>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787BC761">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lang w:val="en-US" w:eastAsia="zh-CN" w:bidi="ar-SA"/>
        </w:rPr>
        <w:t>项目产出类指标包括产出数量、产出质量、产出时效、产出成本四方面的内容，</w:t>
      </w:r>
      <w:r>
        <w:rPr>
          <w:rFonts w:hint="default" w:ascii="仿宋_GB2312" w:hAnsi="仿宋_GB2312" w:eastAsia="仿宋_GB2312" w:cs="仿宋_GB2312"/>
          <w:b w:val="0"/>
          <w:bCs w:val="0"/>
          <w:kern w:val="2"/>
          <w:sz w:val="32"/>
          <w:szCs w:val="32"/>
          <w:highlight w:val="none"/>
          <w:lang w:val="en-US" w:eastAsia="zh-CN" w:bidi="ar-SA"/>
        </w:rPr>
        <w:t>由</w:t>
      </w:r>
      <w:r>
        <w:rPr>
          <w:rFonts w:hint="eastAsia" w:ascii="仿宋_GB2312" w:hAnsi="仿宋_GB2312" w:eastAsia="仿宋_GB2312" w:cs="仿宋_GB2312"/>
          <w:b w:val="0"/>
          <w:bCs w:val="0"/>
          <w:kern w:val="2"/>
          <w:sz w:val="32"/>
          <w:szCs w:val="32"/>
          <w:highlight w:val="none"/>
          <w:lang w:val="en-US" w:eastAsia="zh-CN" w:bidi="ar-SA"/>
        </w:rPr>
        <w:t>5</w:t>
      </w:r>
      <w:r>
        <w:rPr>
          <w:rFonts w:hint="default" w:ascii="仿宋_GB2312" w:hAnsi="仿宋_GB2312" w:eastAsia="仿宋_GB2312" w:cs="仿宋_GB2312"/>
          <w:b w:val="0"/>
          <w:bCs w:val="0"/>
          <w:kern w:val="2"/>
          <w:sz w:val="32"/>
          <w:szCs w:val="32"/>
          <w:highlight w:val="none"/>
          <w:lang w:val="en-US" w:eastAsia="zh-CN" w:bidi="ar-SA"/>
        </w:rPr>
        <w:t>个三级指标构成，权重分为40分，实际得分</w:t>
      </w:r>
      <w:r>
        <w:rPr>
          <w:rFonts w:hint="eastAsia" w:ascii="仿宋_GB2312" w:hAnsi="仿宋_GB2312" w:eastAsia="仿宋_GB2312" w:cs="仿宋_GB2312"/>
          <w:b w:val="0"/>
          <w:bCs w:val="0"/>
          <w:kern w:val="2"/>
          <w:sz w:val="32"/>
          <w:szCs w:val="32"/>
          <w:highlight w:val="none"/>
          <w:lang w:val="en-US" w:eastAsia="zh-CN" w:bidi="ar-SA"/>
        </w:rPr>
        <w:t>39.07</w:t>
      </w:r>
      <w:r>
        <w:rPr>
          <w:rFonts w:hint="default" w:ascii="仿宋_GB2312" w:hAnsi="仿宋_GB2312" w:eastAsia="仿宋_GB2312" w:cs="仿宋_GB2312"/>
          <w:b w:val="0"/>
          <w:bCs w:val="0"/>
          <w:kern w:val="2"/>
          <w:sz w:val="32"/>
          <w:szCs w:val="32"/>
          <w:highlight w:val="none"/>
          <w:lang w:val="en-US" w:eastAsia="zh-CN" w:bidi="ar-SA"/>
        </w:rPr>
        <w:t>分，得分率为</w:t>
      </w:r>
      <w:r>
        <w:rPr>
          <w:rFonts w:hint="eastAsia" w:ascii="仿宋_GB2312" w:hAnsi="仿宋_GB2312" w:eastAsia="仿宋_GB2312" w:cs="仿宋_GB2312"/>
          <w:b w:val="0"/>
          <w:bCs w:val="0"/>
          <w:kern w:val="2"/>
          <w:sz w:val="32"/>
          <w:szCs w:val="32"/>
          <w:highlight w:val="none"/>
          <w:lang w:val="en-US" w:eastAsia="zh-CN" w:bidi="ar-SA"/>
        </w:rPr>
        <w:t>97.68</w:t>
      </w:r>
      <w:r>
        <w:rPr>
          <w:rFonts w:hint="default" w:ascii="仿宋_GB2312" w:hAnsi="仿宋_GB2312" w:eastAsia="仿宋_GB2312" w:cs="仿宋_GB2312"/>
          <w:b w:val="0"/>
          <w:bCs w:val="0"/>
          <w:kern w:val="2"/>
          <w:sz w:val="32"/>
          <w:szCs w:val="32"/>
          <w:highlight w:val="none"/>
          <w:lang w:val="en-US" w:eastAsia="zh-CN" w:bidi="ar-SA"/>
        </w:rPr>
        <w:t>%。具体产出指标完成情况如下：</w:t>
      </w:r>
    </w:p>
    <w:p w14:paraId="2607976C">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fldChar w:fldCharType="begin"/>
      </w:r>
      <w:r>
        <w:rPr>
          <w:rFonts w:hint="default" w:ascii="仿宋_GB2312" w:hAnsi="仿宋_GB2312" w:eastAsia="仿宋_GB2312" w:cs="仿宋_GB2312"/>
          <w:b w:val="0"/>
          <w:bCs w:val="0"/>
          <w:kern w:val="2"/>
          <w:sz w:val="32"/>
          <w:szCs w:val="32"/>
          <w:lang w:val="en-US" w:eastAsia="zh-CN" w:bidi="ar-SA"/>
        </w:rPr>
        <w:instrText xml:space="preserve"> = 1 \* GB3 </w:instrText>
      </w:r>
      <w:r>
        <w:rPr>
          <w:rFonts w:hint="default" w:ascii="仿宋_GB2312" w:hAnsi="仿宋_GB2312" w:eastAsia="仿宋_GB2312" w:cs="仿宋_GB2312"/>
          <w:b w:val="0"/>
          <w:bCs w:val="0"/>
          <w:kern w:val="2"/>
          <w:sz w:val="32"/>
          <w:szCs w:val="32"/>
          <w:lang w:val="en-US" w:eastAsia="zh-CN" w:bidi="ar-SA"/>
        </w:rPr>
        <w:fldChar w:fldCharType="separate"/>
      </w:r>
      <w:r>
        <w:rPr>
          <w:rFonts w:hint="default" w:ascii="仿宋_GB2312" w:hAnsi="仿宋_GB2312" w:eastAsia="仿宋_GB2312" w:cs="仿宋_GB2312"/>
          <w:b w:val="0"/>
          <w:bCs w:val="0"/>
          <w:kern w:val="2"/>
          <w:sz w:val="32"/>
          <w:szCs w:val="32"/>
          <w:lang w:val="en-US" w:eastAsia="zh-CN" w:bidi="ar-SA"/>
        </w:rPr>
        <w:t>①</w:t>
      </w:r>
      <w:r>
        <w:rPr>
          <w:rFonts w:hint="default" w:ascii="仿宋_GB2312" w:hAnsi="仿宋_GB2312" w:eastAsia="仿宋_GB2312" w:cs="仿宋_GB2312"/>
          <w:b w:val="0"/>
          <w:bCs w:val="0"/>
          <w:kern w:val="2"/>
          <w:sz w:val="32"/>
          <w:szCs w:val="32"/>
          <w:lang w:val="en-US" w:eastAsia="zh-CN" w:bidi="ar-SA"/>
        </w:rPr>
        <w:fldChar w:fldCharType="end"/>
      </w:r>
      <w:r>
        <w:rPr>
          <w:rFonts w:hint="default" w:ascii="仿宋_GB2312" w:hAnsi="仿宋_GB2312" w:eastAsia="仿宋_GB2312" w:cs="仿宋_GB2312"/>
          <w:b w:val="0"/>
          <w:bCs w:val="0"/>
          <w:kern w:val="2"/>
          <w:sz w:val="32"/>
          <w:szCs w:val="32"/>
          <w:lang w:val="en-US" w:eastAsia="zh-CN" w:bidi="ar-SA"/>
        </w:rPr>
        <w:t>数量指标：</w:t>
      </w:r>
    </w:p>
    <w:p w14:paraId="32CE3EFC">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指标1：使用林地面积，指标值：</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68.89公顷，实际完成值：68.89公顷，指标完成率</w:t>
      </w:r>
      <w:r>
        <w:rPr>
          <w:rFonts w:hint="eastAsia" w:ascii="仿宋_GB2312" w:hAnsi="仿宋_GB2312" w:eastAsia="仿宋_GB2312" w:cs="仿宋_GB2312"/>
          <w:b w:val="0"/>
          <w:bCs w:val="0"/>
          <w:kern w:val="2"/>
          <w:sz w:val="32"/>
          <w:szCs w:val="32"/>
          <w:lang w:val="en-US" w:eastAsia="zh-CN" w:bidi="ar-SA"/>
        </w:rPr>
        <w:t>100.00</w:t>
      </w:r>
      <w:r>
        <w:rPr>
          <w:rFonts w:hint="default" w:ascii="仿宋_GB2312" w:hAnsi="仿宋_GB2312" w:eastAsia="仿宋_GB2312" w:cs="仿宋_GB2312"/>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w:t>
      </w:r>
    </w:p>
    <w:p w14:paraId="2F12F30E">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指标</w:t>
      </w:r>
      <w:r>
        <w:rPr>
          <w:rFonts w:hint="eastAsia" w:ascii="仿宋_GB2312" w:hAnsi="仿宋_GB2312" w:eastAsia="仿宋_GB2312" w:cs="仿宋_GB2312"/>
          <w:b w:val="0"/>
          <w:bCs w:val="0"/>
          <w:kern w:val="2"/>
          <w:sz w:val="32"/>
          <w:szCs w:val="32"/>
          <w:lang w:val="en-US" w:eastAsia="zh-CN" w:bidi="ar-SA"/>
        </w:rPr>
        <w:t>2</w:t>
      </w:r>
      <w:r>
        <w:rPr>
          <w:rFonts w:hint="default" w:ascii="仿宋_GB2312" w:hAnsi="仿宋_GB2312" w:eastAsia="仿宋_GB2312" w:cs="仿宋_GB2312"/>
          <w:b w:val="0"/>
          <w:bCs w:val="0"/>
          <w:kern w:val="2"/>
          <w:sz w:val="32"/>
          <w:szCs w:val="32"/>
          <w:lang w:val="en-US" w:eastAsia="zh-CN" w:bidi="ar-SA"/>
        </w:rPr>
        <w:t>：使用林地</w:t>
      </w:r>
      <w:r>
        <w:rPr>
          <w:rFonts w:hint="eastAsia" w:ascii="仿宋_GB2312" w:hAnsi="仿宋_GB2312" w:eastAsia="仿宋_GB2312" w:cs="仿宋_GB2312"/>
          <w:b w:val="0"/>
          <w:bCs w:val="0"/>
          <w:kern w:val="2"/>
          <w:sz w:val="32"/>
          <w:szCs w:val="32"/>
          <w:lang w:val="en-US" w:eastAsia="zh-CN" w:bidi="ar-SA"/>
        </w:rPr>
        <w:t>数量</w:t>
      </w:r>
      <w:r>
        <w:rPr>
          <w:rFonts w:hint="default" w:ascii="仿宋_GB2312" w:hAnsi="仿宋_GB2312" w:eastAsia="仿宋_GB2312" w:cs="仿宋_GB2312"/>
          <w:b w:val="0"/>
          <w:bCs w:val="0"/>
          <w:kern w:val="2"/>
          <w:sz w:val="32"/>
          <w:szCs w:val="32"/>
          <w:lang w:val="en-US" w:eastAsia="zh-CN" w:bidi="ar-SA"/>
        </w:rPr>
        <w:t>，指标值：</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6个小班，实际完成值：6个小班，指标完成率</w:t>
      </w:r>
      <w:r>
        <w:rPr>
          <w:rFonts w:hint="eastAsia" w:ascii="仿宋_GB2312" w:hAnsi="仿宋_GB2312" w:eastAsia="仿宋_GB2312" w:cs="仿宋_GB2312"/>
          <w:b w:val="0"/>
          <w:bCs w:val="0"/>
          <w:kern w:val="2"/>
          <w:sz w:val="32"/>
          <w:szCs w:val="32"/>
          <w:lang w:val="en-US" w:eastAsia="zh-CN" w:bidi="ar-SA"/>
        </w:rPr>
        <w:t>100.00</w:t>
      </w:r>
      <w:r>
        <w:rPr>
          <w:rFonts w:hint="default" w:ascii="仿宋_GB2312" w:hAnsi="仿宋_GB2312" w:eastAsia="仿宋_GB2312" w:cs="仿宋_GB2312"/>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w:t>
      </w:r>
    </w:p>
    <w:p w14:paraId="4E207532">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fldChar w:fldCharType="begin"/>
      </w:r>
      <w:r>
        <w:rPr>
          <w:rFonts w:hint="default" w:ascii="仿宋_GB2312" w:hAnsi="仿宋_GB2312" w:eastAsia="仿宋_GB2312" w:cs="仿宋_GB2312"/>
          <w:b w:val="0"/>
          <w:bCs w:val="0"/>
          <w:kern w:val="2"/>
          <w:sz w:val="32"/>
          <w:szCs w:val="32"/>
          <w:lang w:val="en-US" w:eastAsia="zh-CN" w:bidi="ar-SA"/>
        </w:rPr>
        <w:instrText xml:space="preserve"> = 2 \* GB3 </w:instrText>
      </w:r>
      <w:r>
        <w:rPr>
          <w:rFonts w:hint="default" w:ascii="仿宋_GB2312" w:hAnsi="仿宋_GB2312" w:eastAsia="仿宋_GB2312" w:cs="仿宋_GB2312"/>
          <w:b w:val="0"/>
          <w:bCs w:val="0"/>
          <w:kern w:val="2"/>
          <w:sz w:val="32"/>
          <w:szCs w:val="32"/>
          <w:lang w:val="en-US" w:eastAsia="zh-CN" w:bidi="ar-SA"/>
        </w:rPr>
        <w:fldChar w:fldCharType="separate"/>
      </w:r>
      <w:r>
        <w:rPr>
          <w:rFonts w:hint="default" w:ascii="仿宋_GB2312" w:hAnsi="仿宋_GB2312" w:eastAsia="仿宋_GB2312" w:cs="仿宋_GB2312"/>
          <w:b w:val="0"/>
          <w:bCs w:val="0"/>
          <w:kern w:val="2"/>
          <w:sz w:val="32"/>
          <w:szCs w:val="32"/>
          <w:lang w:val="en-US" w:eastAsia="zh-CN" w:bidi="ar-SA"/>
        </w:rPr>
        <w:t>②</w:t>
      </w:r>
      <w:r>
        <w:rPr>
          <w:rFonts w:hint="default" w:ascii="仿宋_GB2312" w:hAnsi="仿宋_GB2312" w:eastAsia="仿宋_GB2312" w:cs="仿宋_GB2312"/>
          <w:b w:val="0"/>
          <w:bCs w:val="0"/>
          <w:kern w:val="2"/>
          <w:sz w:val="32"/>
          <w:szCs w:val="32"/>
          <w:lang w:val="en-US" w:eastAsia="zh-CN" w:bidi="ar-SA"/>
        </w:rPr>
        <w:fldChar w:fldCharType="end"/>
      </w:r>
      <w:r>
        <w:rPr>
          <w:rFonts w:hint="default" w:ascii="仿宋_GB2312" w:hAnsi="仿宋_GB2312" w:eastAsia="仿宋_GB2312" w:cs="仿宋_GB2312"/>
          <w:b w:val="0"/>
          <w:bCs w:val="0"/>
          <w:kern w:val="2"/>
          <w:sz w:val="32"/>
          <w:szCs w:val="32"/>
          <w:lang w:val="en-US" w:eastAsia="zh-CN" w:bidi="ar-SA"/>
        </w:rPr>
        <w:t>质量指标：</w:t>
      </w:r>
    </w:p>
    <w:p w14:paraId="020EF7FE">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指标</w:t>
      </w:r>
      <w:r>
        <w:rPr>
          <w:rFonts w:hint="eastAsia" w:ascii="仿宋_GB2312" w:hAnsi="仿宋_GB2312" w:eastAsia="仿宋_GB2312" w:cs="仿宋_GB2312"/>
          <w:b w:val="0"/>
          <w:bCs w:val="0"/>
          <w:kern w:val="2"/>
          <w:sz w:val="32"/>
          <w:szCs w:val="32"/>
          <w:lang w:val="en-US" w:eastAsia="zh-CN" w:bidi="ar-SA"/>
        </w:rPr>
        <w:t>1</w:t>
      </w:r>
      <w:r>
        <w:rPr>
          <w:rFonts w:hint="default" w:ascii="仿宋_GB2312" w:hAnsi="仿宋_GB2312" w:eastAsia="仿宋_GB2312" w:cs="仿宋_GB2312"/>
          <w:b w:val="0"/>
          <w:bCs w:val="0"/>
          <w:kern w:val="2"/>
          <w:sz w:val="32"/>
          <w:szCs w:val="32"/>
          <w:lang w:val="en-US" w:eastAsia="zh-CN" w:bidi="ar-SA"/>
        </w:rPr>
        <w:t>：资金使用合规率，指标值：</w:t>
      </w:r>
      <w:r>
        <w:rPr>
          <w:rFonts w:hint="eastAsia" w:ascii="仿宋_GB2312" w:hAnsi="仿宋_GB2312" w:eastAsia="仿宋_GB2312" w:cs="仿宋_GB2312"/>
          <w:b w:val="0"/>
          <w:bCs w:val="0"/>
          <w:kern w:val="2"/>
          <w:sz w:val="32"/>
          <w:szCs w:val="32"/>
          <w:lang w:val="en-US" w:eastAsia="zh-CN" w:bidi="ar-SA"/>
        </w:rPr>
        <w:t>=100.00%</w:t>
      </w:r>
      <w:r>
        <w:rPr>
          <w:rFonts w:hint="default" w:ascii="仿宋_GB2312" w:hAnsi="仿宋_GB2312" w:eastAsia="仿宋_GB2312" w:cs="仿宋_GB2312"/>
          <w:b w:val="0"/>
          <w:bCs w:val="0"/>
          <w:kern w:val="2"/>
          <w:sz w:val="32"/>
          <w:szCs w:val="32"/>
          <w:lang w:val="en-US" w:eastAsia="zh-CN" w:bidi="ar-SA"/>
        </w:rPr>
        <w:t>，实际完成值：</w:t>
      </w:r>
      <w:r>
        <w:rPr>
          <w:rFonts w:hint="eastAsia" w:ascii="仿宋_GB2312" w:hAnsi="仿宋_GB2312" w:eastAsia="仿宋_GB2312" w:cs="仿宋_GB2312"/>
          <w:b w:val="0"/>
          <w:bCs w:val="0"/>
          <w:kern w:val="2"/>
          <w:sz w:val="32"/>
          <w:szCs w:val="32"/>
          <w:lang w:val="en-US" w:eastAsia="zh-CN" w:bidi="ar-SA"/>
        </w:rPr>
        <w:t>100.00%</w:t>
      </w:r>
      <w:r>
        <w:rPr>
          <w:rFonts w:hint="default" w:ascii="仿宋_GB2312" w:hAnsi="仿宋_GB2312" w:eastAsia="仿宋_GB2312" w:cs="仿宋_GB2312"/>
          <w:b w:val="0"/>
          <w:bCs w:val="0"/>
          <w:kern w:val="2"/>
          <w:sz w:val="32"/>
          <w:szCs w:val="32"/>
          <w:lang w:val="en-US" w:eastAsia="zh-CN" w:bidi="ar-SA"/>
        </w:rPr>
        <w:t>，指标完成率</w:t>
      </w:r>
      <w:r>
        <w:rPr>
          <w:rFonts w:hint="eastAsia" w:ascii="仿宋_GB2312" w:hAnsi="仿宋_GB2312" w:eastAsia="仿宋_GB2312" w:cs="仿宋_GB2312"/>
          <w:b w:val="0"/>
          <w:bCs w:val="0"/>
          <w:kern w:val="2"/>
          <w:sz w:val="32"/>
          <w:szCs w:val="32"/>
          <w:lang w:val="en-US" w:eastAsia="zh-CN" w:bidi="ar-SA"/>
        </w:rPr>
        <w:t>100.00</w:t>
      </w:r>
      <w:r>
        <w:rPr>
          <w:rFonts w:hint="default" w:ascii="仿宋_GB2312" w:hAnsi="仿宋_GB2312" w:eastAsia="仿宋_GB2312" w:cs="仿宋_GB2312"/>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w:t>
      </w:r>
    </w:p>
    <w:p w14:paraId="2F63A191">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fldChar w:fldCharType="begin"/>
      </w:r>
      <w:r>
        <w:rPr>
          <w:rFonts w:hint="default" w:ascii="仿宋_GB2312" w:hAnsi="仿宋_GB2312" w:eastAsia="仿宋_GB2312" w:cs="仿宋_GB2312"/>
          <w:b w:val="0"/>
          <w:bCs w:val="0"/>
          <w:kern w:val="2"/>
          <w:sz w:val="32"/>
          <w:szCs w:val="32"/>
          <w:lang w:val="en-US" w:eastAsia="zh-CN" w:bidi="ar-SA"/>
        </w:rPr>
        <w:instrText xml:space="preserve"> = 3 \* GB3 </w:instrText>
      </w:r>
      <w:r>
        <w:rPr>
          <w:rFonts w:hint="default" w:ascii="仿宋_GB2312" w:hAnsi="仿宋_GB2312" w:eastAsia="仿宋_GB2312" w:cs="仿宋_GB2312"/>
          <w:b w:val="0"/>
          <w:bCs w:val="0"/>
          <w:kern w:val="2"/>
          <w:sz w:val="32"/>
          <w:szCs w:val="32"/>
          <w:lang w:val="en-US" w:eastAsia="zh-CN" w:bidi="ar-SA"/>
        </w:rPr>
        <w:fldChar w:fldCharType="separate"/>
      </w:r>
      <w:r>
        <w:rPr>
          <w:rFonts w:hint="default" w:ascii="仿宋_GB2312" w:hAnsi="仿宋_GB2312" w:eastAsia="仿宋_GB2312" w:cs="仿宋_GB2312"/>
          <w:b w:val="0"/>
          <w:bCs w:val="0"/>
          <w:kern w:val="2"/>
          <w:sz w:val="32"/>
          <w:szCs w:val="32"/>
          <w:lang w:val="en-US" w:eastAsia="zh-CN" w:bidi="ar-SA"/>
        </w:rPr>
        <w:t>③</w:t>
      </w:r>
      <w:r>
        <w:rPr>
          <w:rFonts w:hint="default" w:ascii="仿宋_GB2312" w:hAnsi="仿宋_GB2312" w:eastAsia="仿宋_GB2312" w:cs="仿宋_GB2312"/>
          <w:b w:val="0"/>
          <w:bCs w:val="0"/>
          <w:kern w:val="2"/>
          <w:sz w:val="32"/>
          <w:szCs w:val="32"/>
          <w:lang w:val="en-US" w:eastAsia="zh-CN" w:bidi="ar-SA"/>
        </w:rPr>
        <w:fldChar w:fldCharType="end"/>
      </w:r>
      <w:r>
        <w:rPr>
          <w:rFonts w:hint="default" w:ascii="仿宋_GB2312" w:hAnsi="仿宋_GB2312" w:eastAsia="仿宋_GB2312" w:cs="仿宋_GB2312"/>
          <w:b w:val="0"/>
          <w:bCs w:val="0"/>
          <w:kern w:val="2"/>
          <w:sz w:val="32"/>
          <w:szCs w:val="32"/>
          <w:lang w:val="en-US" w:eastAsia="zh-CN" w:bidi="ar-SA"/>
        </w:rPr>
        <w:t>时效指标：</w:t>
      </w:r>
    </w:p>
    <w:p w14:paraId="40E3732C">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指标</w:t>
      </w:r>
      <w:r>
        <w:rPr>
          <w:rFonts w:hint="eastAsia" w:ascii="仿宋_GB2312" w:hAnsi="仿宋_GB2312" w:eastAsia="仿宋_GB2312" w:cs="仿宋_GB2312"/>
          <w:b w:val="0"/>
          <w:bCs w:val="0"/>
          <w:kern w:val="2"/>
          <w:sz w:val="32"/>
          <w:szCs w:val="32"/>
          <w:lang w:val="en-US" w:eastAsia="zh-CN" w:bidi="ar-SA"/>
        </w:rPr>
        <w:t>1</w:t>
      </w:r>
      <w:r>
        <w:rPr>
          <w:rFonts w:hint="default" w:ascii="仿宋_GB2312" w:hAnsi="仿宋_GB2312" w:eastAsia="仿宋_GB2312" w:cs="仿宋_GB2312"/>
          <w:b w:val="0"/>
          <w:bCs w:val="0"/>
          <w:kern w:val="2"/>
          <w:sz w:val="32"/>
          <w:szCs w:val="32"/>
          <w:lang w:val="en-US" w:eastAsia="zh-CN" w:bidi="ar-SA"/>
        </w:rPr>
        <w:t>：资金支付及时率，指标值：</w:t>
      </w:r>
      <w:r>
        <w:rPr>
          <w:rFonts w:hint="eastAsia" w:ascii="仿宋_GB2312" w:hAnsi="仿宋_GB2312" w:eastAsia="仿宋_GB2312" w:cs="仿宋_GB2312"/>
          <w:b w:val="0"/>
          <w:bCs w:val="0"/>
          <w:kern w:val="2"/>
          <w:sz w:val="32"/>
          <w:szCs w:val="32"/>
          <w:lang w:val="en-US" w:eastAsia="zh-CN" w:bidi="ar-SA"/>
        </w:rPr>
        <w:t>=100.00%</w:t>
      </w:r>
      <w:r>
        <w:rPr>
          <w:rFonts w:hint="default" w:ascii="仿宋_GB2312" w:hAnsi="仿宋_GB2312" w:eastAsia="仿宋_GB2312" w:cs="仿宋_GB2312"/>
          <w:b w:val="0"/>
          <w:bCs w:val="0"/>
          <w:kern w:val="2"/>
          <w:sz w:val="32"/>
          <w:szCs w:val="32"/>
          <w:lang w:val="en-US" w:eastAsia="zh-CN" w:bidi="ar-SA"/>
        </w:rPr>
        <w:t>，实际完成值：</w:t>
      </w:r>
      <w:r>
        <w:rPr>
          <w:rFonts w:hint="eastAsia" w:ascii="仿宋_GB2312" w:hAnsi="仿宋_GB2312" w:eastAsia="仿宋_GB2312" w:cs="仿宋_GB2312"/>
          <w:b w:val="0"/>
          <w:bCs w:val="0"/>
          <w:kern w:val="2"/>
          <w:sz w:val="32"/>
          <w:szCs w:val="32"/>
          <w:lang w:val="en-US" w:eastAsia="zh-CN" w:bidi="ar-SA"/>
        </w:rPr>
        <w:t>96.88%</w:t>
      </w:r>
      <w:r>
        <w:rPr>
          <w:rFonts w:hint="default" w:ascii="仿宋_GB2312" w:hAnsi="仿宋_GB2312" w:eastAsia="仿宋_GB2312" w:cs="仿宋_GB2312"/>
          <w:b w:val="0"/>
          <w:bCs w:val="0"/>
          <w:kern w:val="2"/>
          <w:sz w:val="32"/>
          <w:szCs w:val="32"/>
          <w:lang w:val="en-US" w:eastAsia="zh-CN" w:bidi="ar-SA"/>
        </w:rPr>
        <w:t>，指标完成率</w:t>
      </w:r>
      <w:r>
        <w:rPr>
          <w:rFonts w:hint="eastAsia" w:ascii="仿宋_GB2312" w:hAnsi="仿宋_GB2312" w:eastAsia="仿宋_GB2312" w:cs="仿宋_GB2312"/>
          <w:b w:val="0"/>
          <w:bCs w:val="0"/>
          <w:kern w:val="2"/>
          <w:sz w:val="32"/>
          <w:szCs w:val="32"/>
          <w:lang w:val="en-US" w:eastAsia="zh-CN" w:bidi="ar-SA"/>
        </w:rPr>
        <w:t>96.88%。偏差原因：项目总成本降低，导致资金支付减少，</w:t>
      </w:r>
      <w:bookmarkStart w:id="3" w:name="OLE_LINK4"/>
      <w:r>
        <w:rPr>
          <w:rFonts w:hint="eastAsia" w:ascii="仿宋_GB2312" w:hAnsi="仿宋_GB2312" w:eastAsia="仿宋_GB2312" w:cs="仿宋_GB2312"/>
          <w:b w:val="0"/>
          <w:bCs w:val="0"/>
          <w:kern w:val="2"/>
          <w:sz w:val="32"/>
          <w:szCs w:val="32"/>
          <w:lang w:val="en-US" w:eastAsia="zh-CN" w:bidi="ar-SA"/>
        </w:rPr>
        <w:t>改进措施：</w:t>
      </w:r>
      <w:bookmarkEnd w:id="3"/>
      <w:r>
        <w:rPr>
          <w:rFonts w:hint="eastAsia" w:ascii="仿宋_GB2312" w:hAnsi="仿宋_GB2312" w:eastAsia="仿宋_GB2312" w:cs="仿宋_GB2312"/>
          <w:b w:val="0"/>
          <w:bCs w:val="0"/>
          <w:kern w:val="2"/>
          <w:sz w:val="32"/>
          <w:szCs w:val="32"/>
          <w:lang w:val="en-US" w:eastAsia="zh-CN" w:bidi="ar-SA"/>
        </w:rPr>
        <w:t>下一步项目精准预算。</w:t>
      </w:r>
    </w:p>
    <w:p w14:paraId="286466CD">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fldChar w:fldCharType="begin"/>
      </w:r>
      <w:r>
        <w:rPr>
          <w:rFonts w:hint="default" w:ascii="仿宋_GB2312" w:hAnsi="仿宋_GB2312" w:eastAsia="仿宋_GB2312" w:cs="仿宋_GB2312"/>
          <w:b w:val="0"/>
          <w:bCs w:val="0"/>
          <w:kern w:val="2"/>
          <w:sz w:val="32"/>
          <w:szCs w:val="32"/>
          <w:lang w:val="en-US" w:eastAsia="zh-CN" w:bidi="ar-SA"/>
        </w:rPr>
        <w:instrText xml:space="preserve"> = 4 \* GB3 </w:instrText>
      </w:r>
      <w:r>
        <w:rPr>
          <w:rFonts w:hint="default" w:ascii="仿宋_GB2312" w:hAnsi="仿宋_GB2312" w:eastAsia="仿宋_GB2312" w:cs="仿宋_GB2312"/>
          <w:b w:val="0"/>
          <w:bCs w:val="0"/>
          <w:kern w:val="2"/>
          <w:sz w:val="32"/>
          <w:szCs w:val="32"/>
          <w:lang w:val="en-US" w:eastAsia="zh-CN" w:bidi="ar-SA"/>
        </w:rPr>
        <w:fldChar w:fldCharType="separate"/>
      </w:r>
      <w:r>
        <w:rPr>
          <w:rFonts w:hint="default" w:ascii="仿宋_GB2312" w:hAnsi="仿宋_GB2312" w:eastAsia="仿宋_GB2312" w:cs="仿宋_GB2312"/>
          <w:b w:val="0"/>
          <w:bCs w:val="0"/>
          <w:kern w:val="2"/>
          <w:sz w:val="32"/>
          <w:szCs w:val="32"/>
          <w:lang w:val="en-US" w:eastAsia="zh-CN" w:bidi="ar-SA"/>
        </w:rPr>
        <w:t>④</w:t>
      </w:r>
      <w:r>
        <w:rPr>
          <w:rFonts w:hint="default" w:ascii="仿宋_GB2312" w:hAnsi="仿宋_GB2312" w:eastAsia="仿宋_GB2312" w:cs="仿宋_GB2312"/>
          <w:b w:val="0"/>
          <w:bCs w:val="0"/>
          <w:kern w:val="2"/>
          <w:sz w:val="32"/>
          <w:szCs w:val="32"/>
          <w:lang w:val="en-US" w:eastAsia="zh-CN" w:bidi="ar-SA"/>
        </w:rPr>
        <w:fldChar w:fldCharType="end"/>
      </w:r>
      <w:r>
        <w:rPr>
          <w:rFonts w:hint="default" w:ascii="仿宋_GB2312" w:hAnsi="仿宋_GB2312" w:eastAsia="仿宋_GB2312" w:cs="仿宋_GB2312"/>
          <w:b w:val="0"/>
          <w:bCs w:val="0"/>
          <w:kern w:val="2"/>
          <w:sz w:val="32"/>
          <w:szCs w:val="32"/>
          <w:lang w:val="en-US" w:eastAsia="zh-CN" w:bidi="ar-SA"/>
        </w:rPr>
        <w:t>成本指标：</w:t>
      </w:r>
    </w:p>
    <w:p w14:paraId="0CC32768">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指标</w:t>
      </w:r>
      <w:r>
        <w:rPr>
          <w:rFonts w:hint="eastAsia" w:ascii="仿宋_GB2312" w:hAnsi="仿宋_GB2312" w:eastAsia="仿宋_GB2312" w:cs="仿宋_GB2312"/>
          <w:b w:val="0"/>
          <w:bCs w:val="0"/>
          <w:kern w:val="2"/>
          <w:sz w:val="32"/>
          <w:szCs w:val="32"/>
          <w:lang w:val="en-US" w:eastAsia="zh-CN" w:bidi="ar-SA"/>
        </w:rPr>
        <w:t>1</w:t>
      </w:r>
      <w:r>
        <w:rPr>
          <w:rFonts w:hint="default" w:ascii="仿宋_GB2312" w:hAnsi="仿宋_GB2312" w:eastAsia="仿宋_GB2312" w:cs="仿宋_GB2312"/>
          <w:b w:val="0"/>
          <w:bCs w:val="0"/>
          <w:kern w:val="2"/>
          <w:sz w:val="32"/>
          <w:szCs w:val="32"/>
          <w:lang w:val="en-US" w:eastAsia="zh-CN" w:bidi="ar-SA"/>
        </w:rPr>
        <w:t>：林地补偿费用成本，指标值：</w:t>
      </w:r>
      <w:r>
        <w:rPr>
          <w:rFonts w:hint="eastAsia" w:ascii="仿宋_GB2312" w:hAnsi="仿宋_GB2312" w:eastAsia="仿宋_GB2312" w:cs="仿宋_GB2312"/>
          <w:b w:val="0"/>
          <w:bCs w:val="0"/>
          <w:kern w:val="2"/>
          <w:sz w:val="32"/>
          <w:szCs w:val="32"/>
          <w:lang w:val="en-US" w:eastAsia="zh-CN" w:bidi="ar-SA"/>
        </w:rPr>
        <w:t>≤2224.01万元</w:t>
      </w:r>
      <w:r>
        <w:rPr>
          <w:rFonts w:hint="default" w:ascii="仿宋_GB2312" w:hAnsi="仿宋_GB2312" w:eastAsia="仿宋_GB2312" w:cs="仿宋_GB2312"/>
          <w:b w:val="0"/>
          <w:bCs w:val="0"/>
          <w:kern w:val="2"/>
          <w:sz w:val="32"/>
          <w:szCs w:val="32"/>
          <w:lang w:val="en-US" w:eastAsia="zh-CN" w:bidi="ar-SA"/>
        </w:rPr>
        <w:t>，实际完成值：</w:t>
      </w:r>
      <w:r>
        <w:rPr>
          <w:rFonts w:hint="eastAsia" w:ascii="仿宋_GB2312" w:hAnsi="仿宋_GB2312" w:eastAsia="仿宋_GB2312" w:cs="仿宋_GB2312"/>
          <w:b w:val="0"/>
          <w:bCs w:val="0"/>
          <w:kern w:val="2"/>
          <w:sz w:val="32"/>
          <w:szCs w:val="32"/>
          <w:lang w:val="en-US" w:eastAsia="zh-CN" w:bidi="ar-SA"/>
        </w:rPr>
        <w:t>2154.58万元</w:t>
      </w:r>
      <w:r>
        <w:rPr>
          <w:rFonts w:hint="default" w:ascii="仿宋_GB2312" w:hAnsi="仿宋_GB2312" w:eastAsia="仿宋_GB2312" w:cs="仿宋_GB2312"/>
          <w:b w:val="0"/>
          <w:bCs w:val="0"/>
          <w:kern w:val="2"/>
          <w:sz w:val="32"/>
          <w:szCs w:val="32"/>
          <w:lang w:val="en-US" w:eastAsia="zh-CN" w:bidi="ar-SA"/>
        </w:rPr>
        <w:t>，指标完成率</w:t>
      </w:r>
      <w:r>
        <w:rPr>
          <w:rFonts w:hint="eastAsia" w:ascii="仿宋_GB2312" w:hAnsi="仿宋_GB2312" w:eastAsia="仿宋_GB2312" w:cs="仿宋_GB2312"/>
          <w:b w:val="0"/>
          <w:bCs w:val="0"/>
          <w:kern w:val="2"/>
          <w:sz w:val="32"/>
          <w:szCs w:val="32"/>
          <w:lang w:val="en-US" w:eastAsia="zh-CN" w:bidi="ar-SA"/>
        </w:rPr>
        <w:t>96.88%。偏差原因：项目总成本降低，导致资金支付减少，改进措施：下一步项目精准预算。</w:t>
      </w:r>
    </w:p>
    <w:p w14:paraId="78423CE0">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此项权重分值为40分，得分为39.07分。</w:t>
      </w:r>
    </w:p>
    <w:p w14:paraId="5A6B6FA8">
      <w:pPr>
        <w:pStyle w:val="13"/>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52E87322">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项目效益类指标包括项目实施效益和满意度两方面的内容，由</w:t>
      </w:r>
      <w:r>
        <w:rPr>
          <w:rFonts w:hint="eastAsia" w:ascii="仿宋_GB2312" w:hAnsi="仿宋_GB2312" w:eastAsia="仿宋_GB2312" w:cs="仿宋_GB2312"/>
          <w:b w:val="0"/>
          <w:bCs w:val="0"/>
          <w:kern w:val="2"/>
          <w:sz w:val="32"/>
          <w:szCs w:val="32"/>
          <w:lang w:val="en-US" w:eastAsia="zh-CN" w:bidi="ar-SA"/>
        </w:rPr>
        <w:t>2</w:t>
      </w:r>
      <w:r>
        <w:rPr>
          <w:rFonts w:hint="default" w:ascii="仿宋_GB2312" w:hAnsi="仿宋_GB2312" w:eastAsia="仿宋_GB2312" w:cs="仿宋_GB2312"/>
          <w:b w:val="0"/>
          <w:bCs w:val="0"/>
          <w:kern w:val="2"/>
          <w:sz w:val="32"/>
          <w:szCs w:val="32"/>
          <w:lang w:val="en-US" w:eastAsia="zh-CN" w:bidi="ar-SA"/>
        </w:rPr>
        <w:t>个三级指标构成，权重分为20分，实际得分</w:t>
      </w:r>
      <w:r>
        <w:rPr>
          <w:rFonts w:hint="eastAsia" w:ascii="仿宋_GB2312" w:hAnsi="仿宋_GB2312" w:eastAsia="仿宋_GB2312" w:cs="仿宋_GB2312"/>
          <w:b w:val="0"/>
          <w:bCs w:val="0"/>
          <w:kern w:val="2"/>
          <w:sz w:val="32"/>
          <w:szCs w:val="32"/>
          <w:lang w:val="en-US" w:eastAsia="zh-CN" w:bidi="ar-SA"/>
        </w:rPr>
        <w:t>19.69</w:t>
      </w:r>
      <w:r>
        <w:rPr>
          <w:rFonts w:hint="default" w:ascii="仿宋_GB2312" w:hAnsi="仿宋_GB2312" w:eastAsia="仿宋_GB2312" w:cs="仿宋_GB2312"/>
          <w:b w:val="0"/>
          <w:bCs w:val="0"/>
          <w:kern w:val="2"/>
          <w:sz w:val="32"/>
          <w:szCs w:val="32"/>
          <w:lang w:val="en-US" w:eastAsia="zh-CN" w:bidi="ar-SA"/>
        </w:rPr>
        <w:t>分，得分率为</w:t>
      </w:r>
      <w:r>
        <w:rPr>
          <w:rFonts w:hint="eastAsia" w:ascii="仿宋_GB2312" w:hAnsi="仿宋_GB2312" w:eastAsia="仿宋_GB2312" w:cs="仿宋_GB2312"/>
          <w:b w:val="0"/>
          <w:bCs w:val="0"/>
          <w:kern w:val="2"/>
          <w:sz w:val="32"/>
          <w:szCs w:val="32"/>
          <w:lang w:val="en-US" w:eastAsia="zh-CN" w:bidi="ar-SA"/>
        </w:rPr>
        <w:t>98.45</w:t>
      </w:r>
      <w:r>
        <w:rPr>
          <w:rFonts w:hint="default" w:ascii="仿宋_GB2312" w:hAnsi="仿宋_GB2312" w:eastAsia="仿宋_GB2312" w:cs="仿宋_GB2312"/>
          <w:b w:val="0"/>
          <w:bCs w:val="0"/>
          <w:kern w:val="2"/>
          <w:sz w:val="32"/>
          <w:szCs w:val="32"/>
          <w:lang w:val="en-US" w:eastAsia="zh-CN" w:bidi="ar-SA"/>
        </w:rPr>
        <w:t>%。具体效益指标及满意度指标完成情况如下：</w:t>
      </w:r>
    </w:p>
    <w:p w14:paraId="731DA7F5">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1.实施效益</w:t>
      </w:r>
    </w:p>
    <w:p w14:paraId="39745B92">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①社会效益指标：</w:t>
      </w:r>
    </w:p>
    <w:p w14:paraId="74559D5D">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指标</w:t>
      </w:r>
      <w:r>
        <w:rPr>
          <w:rFonts w:hint="eastAsia" w:ascii="仿宋_GB2312" w:hAnsi="仿宋_GB2312" w:eastAsia="仿宋_GB2312" w:cs="仿宋_GB2312"/>
          <w:b w:val="0"/>
          <w:bCs w:val="0"/>
          <w:kern w:val="2"/>
          <w:sz w:val="32"/>
          <w:szCs w:val="32"/>
          <w:lang w:val="en-US" w:eastAsia="zh-CN" w:bidi="ar-SA"/>
        </w:rPr>
        <w:t>1</w:t>
      </w:r>
      <w:r>
        <w:rPr>
          <w:rFonts w:hint="default" w:ascii="仿宋_GB2312" w:hAnsi="仿宋_GB2312" w:eastAsia="仿宋_GB2312" w:cs="仿宋_GB2312"/>
          <w:b w:val="0"/>
          <w:bCs w:val="0"/>
          <w:kern w:val="2"/>
          <w:sz w:val="32"/>
          <w:szCs w:val="32"/>
          <w:lang w:val="en-US" w:eastAsia="zh-CN" w:bidi="ar-SA"/>
        </w:rPr>
        <w:t>：增加当地税收收入，指标值：</w:t>
      </w:r>
      <w:r>
        <w:rPr>
          <w:rFonts w:hint="eastAsia" w:ascii="仿宋_GB2312" w:hAnsi="仿宋_GB2312" w:eastAsia="仿宋_GB2312" w:cs="仿宋_GB2312"/>
          <w:b w:val="0"/>
          <w:bCs w:val="0"/>
          <w:kern w:val="2"/>
          <w:sz w:val="32"/>
          <w:szCs w:val="32"/>
          <w:lang w:val="en-US" w:eastAsia="zh-CN" w:bidi="ar-SA"/>
        </w:rPr>
        <w:t>≤2224.01万元</w:t>
      </w:r>
      <w:r>
        <w:rPr>
          <w:rFonts w:hint="default" w:ascii="仿宋_GB2312" w:hAnsi="仿宋_GB2312" w:eastAsia="仿宋_GB2312" w:cs="仿宋_GB2312"/>
          <w:b w:val="0"/>
          <w:bCs w:val="0"/>
          <w:kern w:val="2"/>
          <w:sz w:val="32"/>
          <w:szCs w:val="32"/>
          <w:lang w:val="en-US" w:eastAsia="zh-CN" w:bidi="ar-SA"/>
        </w:rPr>
        <w:t>，实际完成值：</w:t>
      </w:r>
      <w:r>
        <w:rPr>
          <w:rFonts w:hint="eastAsia" w:ascii="仿宋_GB2312" w:hAnsi="仿宋_GB2312" w:eastAsia="仿宋_GB2312" w:cs="仿宋_GB2312"/>
          <w:b w:val="0"/>
          <w:bCs w:val="0"/>
          <w:kern w:val="2"/>
          <w:sz w:val="32"/>
          <w:szCs w:val="32"/>
          <w:lang w:val="en-US" w:eastAsia="zh-CN" w:bidi="ar-SA"/>
        </w:rPr>
        <w:t>2154.55</w:t>
      </w:r>
      <w:r>
        <w:rPr>
          <w:rFonts w:hint="default" w:ascii="仿宋_GB2312" w:hAnsi="仿宋_GB2312" w:eastAsia="仿宋_GB2312" w:cs="仿宋_GB2312"/>
          <w:b w:val="0"/>
          <w:bCs w:val="0"/>
          <w:kern w:val="2"/>
          <w:sz w:val="32"/>
          <w:szCs w:val="32"/>
          <w:lang w:val="en-US" w:eastAsia="zh-CN" w:bidi="ar-SA"/>
        </w:rPr>
        <w:t>，指标完成率</w:t>
      </w:r>
      <w:r>
        <w:rPr>
          <w:rFonts w:hint="eastAsia" w:ascii="仿宋_GB2312" w:hAnsi="仿宋_GB2312" w:eastAsia="仿宋_GB2312" w:cs="仿宋_GB2312"/>
          <w:b w:val="0"/>
          <w:bCs w:val="0"/>
          <w:kern w:val="2"/>
          <w:sz w:val="32"/>
          <w:szCs w:val="32"/>
          <w:lang w:val="en-US" w:eastAsia="zh-CN" w:bidi="ar-SA"/>
        </w:rPr>
        <w:t>96.88%。偏差原因：项目总成本降低，导致资金支付减少，改进措施：下一步项目精准预算。</w:t>
      </w:r>
    </w:p>
    <w:p w14:paraId="4229DE3D">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2.满意度</w:t>
      </w:r>
    </w:p>
    <w:p w14:paraId="5F51AE5C">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指标</w:t>
      </w:r>
      <w:r>
        <w:rPr>
          <w:rFonts w:hint="eastAsia" w:ascii="仿宋_GB2312" w:hAnsi="仿宋_GB2312" w:eastAsia="仿宋_GB2312" w:cs="仿宋_GB2312"/>
          <w:b w:val="0"/>
          <w:bCs w:val="0"/>
          <w:kern w:val="2"/>
          <w:sz w:val="32"/>
          <w:szCs w:val="32"/>
          <w:lang w:val="en-US" w:eastAsia="zh-CN" w:bidi="ar-SA"/>
        </w:rPr>
        <w:t>1</w:t>
      </w:r>
      <w:r>
        <w:rPr>
          <w:rFonts w:hint="default" w:ascii="仿宋_GB2312" w:hAnsi="仿宋_GB2312" w:eastAsia="仿宋_GB2312" w:cs="仿宋_GB2312"/>
          <w:b w:val="0"/>
          <w:bCs w:val="0"/>
          <w:kern w:val="2"/>
          <w:sz w:val="32"/>
          <w:szCs w:val="32"/>
          <w:lang w:val="en-US" w:eastAsia="zh-CN" w:bidi="ar-SA"/>
        </w:rPr>
        <w:t>：企业满意度，指标值：</w:t>
      </w:r>
      <w:r>
        <w:rPr>
          <w:rFonts w:hint="eastAsia" w:ascii="仿宋_GB2312" w:hAnsi="仿宋_GB2312" w:eastAsia="仿宋_GB2312" w:cs="仿宋_GB2312"/>
          <w:b w:val="0"/>
          <w:bCs w:val="0"/>
          <w:kern w:val="2"/>
          <w:sz w:val="32"/>
          <w:szCs w:val="32"/>
          <w:lang w:val="en-US" w:eastAsia="zh-CN" w:bidi="ar-SA"/>
        </w:rPr>
        <w:t>≥95.00%</w:t>
      </w:r>
      <w:r>
        <w:rPr>
          <w:rFonts w:hint="default" w:ascii="仿宋_GB2312" w:hAnsi="仿宋_GB2312" w:eastAsia="仿宋_GB2312" w:cs="仿宋_GB2312"/>
          <w:b w:val="0"/>
          <w:bCs w:val="0"/>
          <w:kern w:val="2"/>
          <w:sz w:val="32"/>
          <w:szCs w:val="32"/>
          <w:lang w:val="en-US" w:eastAsia="zh-CN" w:bidi="ar-SA"/>
        </w:rPr>
        <w:t>，实际完成值：</w:t>
      </w:r>
      <w:r>
        <w:rPr>
          <w:rFonts w:hint="eastAsia" w:ascii="仿宋_GB2312" w:hAnsi="仿宋_GB2312" w:eastAsia="仿宋_GB2312" w:cs="仿宋_GB2312"/>
          <w:b w:val="0"/>
          <w:bCs w:val="0"/>
          <w:kern w:val="2"/>
          <w:sz w:val="32"/>
          <w:szCs w:val="32"/>
          <w:lang w:val="en-US" w:eastAsia="zh-CN" w:bidi="ar-SA"/>
        </w:rPr>
        <w:t>100.00%</w:t>
      </w:r>
      <w:r>
        <w:rPr>
          <w:rFonts w:hint="default" w:ascii="仿宋_GB2312" w:hAnsi="仿宋_GB2312" w:eastAsia="仿宋_GB2312" w:cs="仿宋_GB2312"/>
          <w:b w:val="0"/>
          <w:bCs w:val="0"/>
          <w:kern w:val="2"/>
          <w:sz w:val="32"/>
          <w:szCs w:val="32"/>
          <w:lang w:val="en-US" w:eastAsia="zh-CN" w:bidi="ar-SA"/>
        </w:rPr>
        <w:t>，指标完成率</w:t>
      </w:r>
      <w:r>
        <w:rPr>
          <w:rFonts w:hint="eastAsia" w:ascii="仿宋_GB2312" w:hAnsi="仿宋_GB2312" w:eastAsia="仿宋_GB2312" w:cs="仿宋_GB2312"/>
          <w:b w:val="0"/>
          <w:bCs w:val="0"/>
          <w:kern w:val="2"/>
          <w:sz w:val="32"/>
          <w:szCs w:val="32"/>
          <w:lang w:val="en-US" w:eastAsia="zh-CN" w:bidi="ar-SA"/>
        </w:rPr>
        <w:t>100.00%。</w:t>
      </w:r>
    </w:p>
    <w:p w14:paraId="2ED279BC">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此项权重分值为20分，得分为19.69分</w:t>
      </w:r>
    </w:p>
    <w:p w14:paraId="0E8933A5">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0C3BB629">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延续项目—</w:t>
      </w:r>
      <w:r>
        <w:rPr>
          <w:rFonts w:hint="default" w:ascii="仿宋_GB2312" w:hAnsi="仿宋_GB2312" w:eastAsia="仿宋_GB2312" w:cs="仿宋_GB2312"/>
          <w:b w:val="0"/>
          <w:bCs w:val="0"/>
          <w:kern w:val="2"/>
          <w:sz w:val="32"/>
          <w:szCs w:val="32"/>
          <w:lang w:val="en-US" w:eastAsia="zh-CN" w:bidi="ar-SA"/>
        </w:rPr>
        <w:t>塔里木乙烷制乙烯二期占用林地资源各项费用项目年初预算</w:t>
      </w:r>
      <w:r>
        <w:rPr>
          <w:rFonts w:hint="eastAsia" w:ascii="仿宋_GB2312" w:hAnsi="仿宋_GB2312" w:eastAsia="仿宋_GB2312" w:cs="仿宋_GB2312"/>
          <w:b w:val="0"/>
          <w:bCs w:val="0"/>
          <w:kern w:val="2"/>
          <w:sz w:val="32"/>
          <w:szCs w:val="32"/>
          <w:lang w:val="en-US" w:eastAsia="zh-CN" w:bidi="ar-SA"/>
        </w:rPr>
        <w:t>2224.01</w:t>
      </w:r>
      <w:r>
        <w:rPr>
          <w:rFonts w:hint="default" w:ascii="仿宋_GB2312" w:hAnsi="仿宋_GB2312" w:eastAsia="仿宋_GB2312" w:cs="仿宋_GB2312"/>
          <w:b w:val="0"/>
          <w:bCs w:val="0"/>
          <w:kern w:val="2"/>
          <w:sz w:val="32"/>
          <w:szCs w:val="32"/>
          <w:lang w:val="en-US" w:eastAsia="zh-CN" w:bidi="ar-SA"/>
        </w:rPr>
        <w:t>万元，全年预算</w:t>
      </w:r>
      <w:r>
        <w:rPr>
          <w:rFonts w:hint="eastAsia" w:ascii="仿宋_GB2312" w:hAnsi="仿宋_GB2312" w:eastAsia="仿宋_GB2312" w:cs="仿宋_GB2312"/>
          <w:b w:val="0"/>
          <w:bCs w:val="0"/>
          <w:kern w:val="2"/>
          <w:sz w:val="32"/>
          <w:szCs w:val="32"/>
          <w:lang w:val="en-US" w:eastAsia="zh-CN" w:bidi="ar-SA"/>
        </w:rPr>
        <w:t>2224.01</w:t>
      </w:r>
      <w:r>
        <w:rPr>
          <w:rFonts w:hint="default" w:ascii="仿宋_GB2312" w:hAnsi="仿宋_GB2312" w:eastAsia="仿宋_GB2312" w:cs="仿宋_GB2312"/>
          <w:b w:val="0"/>
          <w:bCs w:val="0"/>
          <w:kern w:val="2"/>
          <w:sz w:val="32"/>
          <w:szCs w:val="32"/>
          <w:lang w:val="en-US" w:eastAsia="zh-CN" w:bidi="ar-SA"/>
        </w:rPr>
        <w:t>万元，实际支出</w:t>
      </w:r>
      <w:r>
        <w:rPr>
          <w:rFonts w:hint="eastAsia" w:ascii="仿宋_GB2312" w:hAnsi="仿宋_GB2312" w:eastAsia="仿宋_GB2312" w:cs="仿宋_GB2312"/>
          <w:b w:val="0"/>
          <w:bCs w:val="0"/>
          <w:kern w:val="2"/>
          <w:sz w:val="32"/>
          <w:szCs w:val="32"/>
          <w:lang w:val="en-US" w:eastAsia="zh-CN" w:bidi="ar-SA"/>
        </w:rPr>
        <w:t>2154.55</w:t>
      </w:r>
      <w:r>
        <w:rPr>
          <w:rFonts w:hint="default" w:ascii="仿宋_GB2312" w:hAnsi="仿宋_GB2312" w:eastAsia="仿宋_GB2312" w:cs="仿宋_GB2312"/>
          <w:b w:val="0"/>
          <w:bCs w:val="0"/>
          <w:kern w:val="2"/>
          <w:sz w:val="32"/>
          <w:szCs w:val="32"/>
          <w:lang w:val="en-US" w:eastAsia="zh-CN" w:bidi="ar-SA"/>
        </w:rPr>
        <w:t>万元，预算执行率为</w:t>
      </w:r>
      <w:r>
        <w:rPr>
          <w:rFonts w:hint="eastAsia" w:ascii="仿宋_GB2312" w:hAnsi="仿宋_GB2312" w:eastAsia="仿宋_GB2312" w:cs="仿宋_GB2312"/>
          <w:b w:val="0"/>
          <w:bCs w:val="0"/>
          <w:kern w:val="2"/>
          <w:sz w:val="32"/>
          <w:szCs w:val="32"/>
          <w:lang w:val="en-US" w:eastAsia="zh-CN" w:bidi="ar-SA"/>
        </w:rPr>
        <w:t>96.88</w:t>
      </w:r>
      <w:r>
        <w:rPr>
          <w:rFonts w:hint="default" w:ascii="仿宋_GB2312" w:hAnsi="仿宋_GB2312" w:eastAsia="仿宋_GB2312" w:cs="仿宋_GB2312"/>
          <w:b w:val="0"/>
          <w:bCs w:val="0"/>
          <w:kern w:val="2"/>
          <w:sz w:val="32"/>
          <w:szCs w:val="32"/>
          <w:lang w:val="en-US" w:eastAsia="zh-CN" w:bidi="ar-SA"/>
        </w:rPr>
        <w:t>%，项目绩效指标总体完成率为</w:t>
      </w:r>
      <w:r>
        <w:rPr>
          <w:rFonts w:hint="eastAsia" w:ascii="仿宋_GB2312" w:hAnsi="仿宋_GB2312" w:eastAsia="仿宋_GB2312" w:cs="仿宋_GB2312"/>
          <w:b w:val="0"/>
          <w:bCs w:val="0"/>
          <w:kern w:val="2"/>
          <w:sz w:val="32"/>
          <w:szCs w:val="32"/>
          <w:lang w:val="en-US" w:eastAsia="zh-CN" w:bidi="ar-SA"/>
        </w:rPr>
        <w:t>98.22</w:t>
      </w:r>
      <w:r>
        <w:rPr>
          <w:rFonts w:hint="default"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Hans" w:bidi="ar-SA"/>
        </w:rPr>
        <w:t>总体</w:t>
      </w:r>
      <w:r>
        <w:rPr>
          <w:rFonts w:hint="default" w:ascii="仿宋_GB2312" w:hAnsi="仿宋_GB2312" w:eastAsia="仿宋_GB2312" w:cs="仿宋_GB2312"/>
          <w:b w:val="0"/>
          <w:bCs w:val="0"/>
          <w:kern w:val="2"/>
          <w:sz w:val="32"/>
          <w:szCs w:val="32"/>
          <w:lang w:val="en-US" w:eastAsia="zh-CN" w:bidi="ar-SA"/>
        </w:rPr>
        <w:t>偏差率为</w:t>
      </w:r>
      <w:r>
        <w:rPr>
          <w:rFonts w:hint="eastAsia" w:ascii="仿宋_GB2312" w:hAnsi="仿宋_GB2312" w:eastAsia="仿宋_GB2312" w:cs="仿宋_GB2312"/>
          <w:b w:val="0"/>
          <w:bCs w:val="0"/>
          <w:kern w:val="2"/>
          <w:sz w:val="32"/>
          <w:szCs w:val="32"/>
          <w:lang w:val="en-US" w:eastAsia="zh-CN" w:bidi="ar-SA"/>
        </w:rPr>
        <w:t>1.34</w:t>
      </w:r>
      <w:r>
        <w:rPr>
          <w:rFonts w:hint="default" w:ascii="仿宋_GB2312" w:hAnsi="仿宋_GB2312" w:eastAsia="仿宋_GB2312" w:cs="仿宋_GB2312"/>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Hans" w:bidi="ar-SA"/>
        </w:rPr>
        <w:t>偏差</w:t>
      </w:r>
      <w:r>
        <w:rPr>
          <w:rFonts w:hint="default" w:ascii="仿宋_GB2312" w:hAnsi="仿宋_GB2312" w:eastAsia="仿宋_GB2312" w:cs="仿宋_GB2312"/>
          <w:b w:val="0"/>
          <w:bCs w:val="0"/>
          <w:kern w:val="2"/>
          <w:sz w:val="32"/>
          <w:szCs w:val="32"/>
          <w:lang w:val="en-US" w:eastAsia="zh-CN" w:bidi="ar-SA"/>
        </w:rPr>
        <w:t>原因</w:t>
      </w:r>
      <w:r>
        <w:rPr>
          <w:rFonts w:hint="eastAsia" w:ascii="仿宋_GB2312" w:hAnsi="仿宋_GB2312" w:eastAsia="仿宋_GB2312" w:cs="仿宋_GB2312"/>
          <w:b w:val="0"/>
          <w:bCs w:val="0"/>
          <w:kern w:val="2"/>
          <w:sz w:val="32"/>
          <w:szCs w:val="32"/>
          <w:lang w:val="en-US" w:eastAsia="zh-CN" w:bidi="ar-SA"/>
        </w:rPr>
        <w:t>：项目总成本降低，导致资金支付减少，</w:t>
      </w:r>
      <w:r>
        <w:rPr>
          <w:rFonts w:hint="default" w:ascii="仿宋_GB2312" w:hAnsi="仿宋_GB2312" w:eastAsia="仿宋_GB2312" w:cs="仿宋_GB2312"/>
          <w:b w:val="0"/>
          <w:bCs w:val="0"/>
          <w:kern w:val="2"/>
          <w:sz w:val="32"/>
          <w:szCs w:val="32"/>
          <w:lang w:val="en-US" w:eastAsia="zh-Hans" w:bidi="ar-SA"/>
        </w:rPr>
        <w:t>改进</w:t>
      </w:r>
      <w:r>
        <w:rPr>
          <w:rFonts w:hint="default" w:ascii="仿宋_GB2312" w:hAnsi="仿宋_GB2312" w:eastAsia="仿宋_GB2312" w:cs="仿宋_GB2312"/>
          <w:b w:val="0"/>
          <w:bCs w:val="0"/>
          <w:kern w:val="2"/>
          <w:sz w:val="32"/>
          <w:szCs w:val="32"/>
          <w:lang w:val="en-US" w:eastAsia="zh-CN" w:bidi="ar-SA"/>
        </w:rPr>
        <w:t>措施</w:t>
      </w:r>
      <w:r>
        <w:rPr>
          <w:rFonts w:hint="eastAsia" w:ascii="仿宋_GB2312" w:hAnsi="仿宋_GB2312" w:eastAsia="仿宋_GB2312" w:cs="仿宋_GB2312"/>
          <w:b w:val="0"/>
          <w:bCs w:val="0"/>
          <w:kern w:val="2"/>
          <w:sz w:val="32"/>
          <w:szCs w:val="32"/>
          <w:lang w:val="en-US" w:eastAsia="zh-CN" w:bidi="ar-SA"/>
        </w:rPr>
        <w:t>：今后项目精准预算，避免财政资金浪费</w:t>
      </w:r>
      <w:r>
        <w:rPr>
          <w:rFonts w:hint="default" w:ascii="仿宋_GB2312" w:hAnsi="仿宋_GB2312" w:eastAsia="仿宋_GB2312" w:cs="仿宋_GB2312"/>
          <w:b w:val="0"/>
          <w:bCs w:val="0"/>
          <w:kern w:val="2"/>
          <w:sz w:val="32"/>
          <w:szCs w:val="32"/>
          <w:lang w:val="en-US" w:eastAsia="zh-CN" w:bidi="ar-SA"/>
        </w:rPr>
        <w:t>。</w:t>
      </w:r>
    </w:p>
    <w:p w14:paraId="0C0E4675">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0BA591D7">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9BF9A69">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为了确保项目顺利进行，我单位</w:t>
      </w:r>
      <w:r>
        <w:rPr>
          <w:rFonts w:hint="default" w:ascii="仿宋_GB2312" w:hAnsi="仿宋_GB2312" w:eastAsia="仿宋_GB2312" w:cs="仿宋_GB2312"/>
          <w:b w:val="0"/>
          <w:bCs w:val="0"/>
          <w:kern w:val="2"/>
          <w:sz w:val="32"/>
          <w:szCs w:val="32"/>
          <w:lang w:val="en-US" w:eastAsia="zh-CN" w:bidi="ar-SA"/>
        </w:rPr>
        <w:t>严格坚持先做事、后验收、再拨付的原则，</w:t>
      </w:r>
      <w:r>
        <w:rPr>
          <w:rFonts w:hint="eastAsia" w:ascii="仿宋_GB2312" w:hAnsi="仿宋_GB2312" w:eastAsia="仿宋_GB2312" w:cs="仿宋_GB2312"/>
          <w:b w:val="0"/>
          <w:bCs w:val="0"/>
          <w:kern w:val="2"/>
          <w:sz w:val="32"/>
          <w:szCs w:val="32"/>
          <w:lang w:val="en-US" w:eastAsia="zh-CN" w:bidi="ar-SA"/>
        </w:rPr>
        <w:t>杜绝</w:t>
      </w:r>
      <w:r>
        <w:rPr>
          <w:rFonts w:hint="default" w:ascii="仿宋_GB2312" w:hAnsi="仿宋_GB2312" w:eastAsia="仿宋_GB2312" w:cs="仿宋_GB2312"/>
          <w:b w:val="0"/>
          <w:bCs w:val="0"/>
          <w:kern w:val="2"/>
          <w:sz w:val="32"/>
          <w:szCs w:val="32"/>
          <w:lang w:val="en-US" w:eastAsia="zh-CN" w:bidi="ar-SA"/>
        </w:rPr>
        <w:t>了资金被挤占和挪用现象的发生，跟踪检查到位。</w:t>
      </w:r>
      <w:r>
        <w:rPr>
          <w:rFonts w:hint="eastAsia" w:ascii="仿宋_GB2312" w:hAnsi="仿宋_GB2312" w:eastAsia="仿宋_GB2312" w:cs="仿宋_GB2312"/>
          <w:b w:val="0"/>
          <w:bCs w:val="0"/>
          <w:kern w:val="2"/>
          <w:sz w:val="32"/>
          <w:szCs w:val="32"/>
          <w:lang w:val="en-US" w:eastAsia="zh-CN" w:bidi="ar-SA"/>
        </w:rPr>
        <w:t>业务局办、财务</w:t>
      </w:r>
      <w:r>
        <w:rPr>
          <w:rFonts w:hint="default" w:ascii="仿宋_GB2312" w:hAnsi="仿宋_GB2312" w:eastAsia="仿宋_GB2312" w:cs="仿宋_GB2312"/>
          <w:b w:val="0"/>
          <w:bCs w:val="0"/>
          <w:kern w:val="2"/>
          <w:sz w:val="32"/>
          <w:szCs w:val="32"/>
          <w:lang w:val="en-US" w:eastAsia="zh-CN" w:bidi="ar-SA"/>
        </w:rPr>
        <w:t>等职能部门全面参与专项资金事前、事中和事后全过程的监管</w:t>
      </w:r>
      <w:r>
        <w:rPr>
          <w:rFonts w:hint="eastAsia" w:ascii="仿宋_GB2312" w:hAnsi="仿宋_GB2312" w:eastAsia="仿宋_GB2312" w:cs="仿宋_GB2312"/>
          <w:b w:val="0"/>
          <w:bCs w:val="0"/>
          <w:kern w:val="2"/>
          <w:sz w:val="32"/>
          <w:szCs w:val="32"/>
          <w:lang w:val="en-US" w:eastAsia="zh-CN" w:bidi="ar-SA"/>
        </w:rPr>
        <w:t>，对重大支出严格落实“三重一大”集体研究决策制度，确保项目资金使用合规性。我单位</w:t>
      </w:r>
      <w:r>
        <w:rPr>
          <w:rFonts w:hint="default" w:ascii="仿宋_GB2312" w:hAnsi="仿宋_GB2312" w:eastAsia="仿宋_GB2312" w:cs="仿宋_GB2312"/>
          <w:b w:val="0"/>
          <w:bCs w:val="0"/>
          <w:kern w:val="2"/>
          <w:sz w:val="32"/>
          <w:szCs w:val="32"/>
          <w:lang w:val="en-US" w:eastAsia="zh-CN" w:bidi="ar-SA"/>
        </w:rPr>
        <w:t>严格按照制定的评价程序和相关制度</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对每个能够量化评价的项目实施绩效评价，确保评价依据充分，过程透明，结果公平。</w:t>
      </w:r>
    </w:p>
    <w:p w14:paraId="264C3536">
      <w:pPr>
        <w:pStyle w:val="11"/>
        <w:numPr>
          <w:ilvl w:val="0"/>
          <w:numId w:val="0"/>
        </w:numPr>
        <w:spacing w:before="0" w:after="0" w:line="560" w:lineRule="exact"/>
        <w:ind w:firstLine="640" w:firstLineChars="200"/>
        <w:jc w:val="both"/>
        <w:rPr>
          <w:rFonts w:hint="default"/>
          <w:lang w:val="en-US" w:eastAsia="zh-CN"/>
        </w:rPr>
      </w:pPr>
      <w:r>
        <w:rPr>
          <w:rFonts w:hint="default" w:ascii="仿宋_GB2312" w:hAnsi="仿宋_GB2312" w:eastAsia="仿宋_GB2312" w:cs="仿宋_GB2312"/>
          <w:b w:val="0"/>
          <w:bCs w:val="0"/>
          <w:kern w:val="2"/>
          <w:sz w:val="32"/>
          <w:szCs w:val="32"/>
          <w:lang w:val="en-US" w:eastAsia="zh-CN" w:bidi="ar-SA"/>
        </w:rPr>
        <w:t>在今后工作中，将进</w:t>
      </w:r>
      <w:r>
        <w:rPr>
          <w:rFonts w:hint="eastAsia" w:ascii="仿宋_GB2312" w:hAnsi="仿宋_GB2312" w:eastAsia="仿宋_GB2312" w:cs="仿宋_GB2312"/>
          <w:b w:val="0"/>
          <w:bCs w:val="0"/>
          <w:kern w:val="2"/>
          <w:sz w:val="32"/>
          <w:szCs w:val="32"/>
          <w:lang w:val="en-US" w:eastAsia="zh-CN" w:bidi="ar-SA"/>
        </w:rPr>
        <w:t>一步</w:t>
      </w:r>
      <w:r>
        <w:rPr>
          <w:rFonts w:hint="default" w:ascii="仿宋_GB2312" w:hAnsi="仿宋_GB2312" w:eastAsia="仿宋_GB2312" w:cs="仿宋_GB2312"/>
          <w:b w:val="0"/>
          <w:bCs w:val="0"/>
          <w:kern w:val="2"/>
          <w:sz w:val="32"/>
          <w:szCs w:val="32"/>
          <w:lang w:val="en-US" w:eastAsia="zh-CN" w:bidi="ar-SA"/>
        </w:rPr>
        <w:t>立足工作实际，</w:t>
      </w:r>
      <w:r>
        <w:rPr>
          <w:rFonts w:hint="eastAsia" w:ascii="仿宋_GB2312" w:hAnsi="仿宋_GB2312" w:eastAsia="仿宋_GB2312" w:cs="仿宋_GB2312"/>
          <w:b w:val="0"/>
          <w:bCs w:val="0"/>
          <w:kern w:val="2"/>
          <w:sz w:val="32"/>
          <w:szCs w:val="32"/>
          <w:lang w:val="en-US" w:eastAsia="zh-CN" w:bidi="ar-SA"/>
        </w:rPr>
        <w:t>在项目资金使用过程中，严格落实把关，</w:t>
      </w:r>
      <w:r>
        <w:rPr>
          <w:rFonts w:hint="default" w:ascii="仿宋_GB2312" w:hAnsi="仿宋_GB2312" w:eastAsia="仿宋_GB2312" w:cs="仿宋_GB2312"/>
          <w:b w:val="0"/>
          <w:bCs w:val="0"/>
          <w:kern w:val="2"/>
          <w:sz w:val="32"/>
          <w:szCs w:val="32"/>
          <w:lang w:val="en-US" w:eastAsia="zh-CN" w:bidi="ar-SA"/>
        </w:rPr>
        <w:t>按照项目资金使用范围做好审核工作，让项目资金落于实处</w:t>
      </w:r>
      <w:r>
        <w:rPr>
          <w:rFonts w:hint="eastAsia" w:ascii="仿宋_GB2312" w:hAnsi="仿宋_GB2312" w:eastAsia="仿宋_GB2312" w:cs="仿宋_GB2312"/>
          <w:b w:val="0"/>
          <w:bCs w:val="0"/>
          <w:kern w:val="2"/>
          <w:sz w:val="32"/>
          <w:szCs w:val="32"/>
          <w:lang w:val="en-US" w:eastAsia="zh-CN" w:bidi="ar-SA"/>
        </w:rPr>
        <w:t>。</w:t>
      </w:r>
    </w:p>
    <w:p w14:paraId="09C6BE6C">
      <w:pPr>
        <w:keepNext/>
        <w:keepLines/>
        <w:numPr>
          <w:ilvl w:val="0"/>
          <w:numId w:val="4"/>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5427253">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1、预算绩效观念不深入</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思想认识有误区。</w:t>
      </w:r>
      <w:r>
        <w:rPr>
          <w:rFonts w:hint="eastAsia" w:ascii="仿宋_GB2312" w:hAnsi="仿宋_GB2312" w:eastAsia="仿宋_GB2312" w:cs="仿宋_GB2312"/>
          <w:b w:val="0"/>
          <w:bCs w:val="0"/>
          <w:kern w:val="2"/>
          <w:sz w:val="32"/>
          <w:szCs w:val="32"/>
          <w:lang w:val="en-US" w:eastAsia="zh-CN" w:bidi="ar-SA"/>
        </w:rPr>
        <w:t>预算绩效</w:t>
      </w:r>
      <w:r>
        <w:rPr>
          <w:rFonts w:hint="default" w:ascii="仿宋_GB2312" w:hAnsi="仿宋_GB2312" w:eastAsia="仿宋_GB2312" w:cs="仿宋_GB2312"/>
          <w:b w:val="0"/>
          <w:bCs w:val="0"/>
          <w:kern w:val="2"/>
          <w:sz w:val="32"/>
          <w:szCs w:val="32"/>
          <w:lang w:val="en-US" w:eastAsia="zh-CN" w:bidi="ar-SA"/>
        </w:rPr>
        <w:t>存在</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重分配、轻管理</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重支出、轻绩效</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的思想</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认为预算申报的项目能落实到位和预算安排的资金能用出去就不会有大的问题</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没有站在全局高度考虑是不是达到了效益最大化。</w:t>
      </w:r>
    </w:p>
    <w:p w14:paraId="24272EB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2、绩效管理专业人员匮乏,规范管理有盲点。预算绩效管理工作的覆盖面广、专业性强</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从事预算绩效管理的工作人员业务素质整体不高，推进绩效管理既缺乏工作经验也缺乏专业技能</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难以做到程序规范、管理科学和绩效显著。</w:t>
      </w:r>
    </w:p>
    <w:p w14:paraId="7AA77D86">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3、评价结果运用不充分</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推动作用有局限</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预算绩效评价结果运用只是停留在反映情况、发现问题、督促整改等层面。主要原因是</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绩效管理与年度预算编制结合得不够紧密</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落实问题整改不到位</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预算绩效结果的透明度不太高、绩效评价结果不能更快更多地转化成管理措施。</w:t>
      </w:r>
    </w:p>
    <w:p w14:paraId="65749DC3">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01C9B04E">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1.多进行有关绩效管理工作方面的培训。积极组织第三方开展绩效管理工作培训，进一步夯实业务基础，提高我单位绩效人员水平。</w:t>
      </w:r>
    </w:p>
    <w:p w14:paraId="11212787">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2.专门设定对绩效工作人员定职、定岗、定责等相关制度措施，进一步提升我单位绩效管理工作业务水平，扎实做好绩效管理工作。</w:t>
      </w:r>
    </w:p>
    <w:p w14:paraId="71831D03">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w:t>
      </w:r>
      <w:r>
        <w:rPr>
          <w:rFonts w:hint="default" w:ascii="仿宋_GB2312" w:hAnsi="仿宋_GB2312" w:eastAsia="仿宋_GB2312" w:cs="仿宋_GB2312"/>
          <w:b w:val="0"/>
          <w:bCs w:val="0"/>
          <w:kern w:val="2"/>
          <w:sz w:val="32"/>
          <w:szCs w:val="32"/>
          <w:lang w:val="en-US" w:eastAsia="zh-CN" w:bidi="ar-SA"/>
        </w:rPr>
        <w:t>统筹预算内外资金管理，以部门预算为重点，提高财政预算的全面、完整性。在编制财政预算的整个过程中，应将预算内外所有资金、资产全面整合，统筹安排，切实完善预算制度管理，把涉及政府预算安排的所有收支均统一纳入预算监管、编制范围，做到全面、完整、真实、准确、合理，真正实现</w:t>
      </w:r>
      <w:r>
        <w:rPr>
          <w:rFonts w:hint="eastAsia" w:ascii="仿宋_GB2312" w:hAnsi="仿宋_GB2312" w:eastAsia="仿宋_GB2312" w:cs="仿宋_GB2312"/>
          <w:b w:val="0"/>
          <w:bCs w:val="0"/>
          <w:kern w:val="2"/>
          <w:sz w:val="32"/>
          <w:szCs w:val="32"/>
          <w:lang w:val="en-US" w:eastAsia="zh-CN" w:bidi="ar-SA"/>
        </w:rPr>
        <w:t>预算</w:t>
      </w:r>
      <w:r>
        <w:rPr>
          <w:rFonts w:hint="default" w:ascii="仿宋_GB2312" w:hAnsi="仿宋_GB2312" w:eastAsia="仿宋_GB2312" w:cs="仿宋_GB2312"/>
          <w:b w:val="0"/>
          <w:bCs w:val="0"/>
          <w:kern w:val="2"/>
          <w:sz w:val="32"/>
          <w:szCs w:val="32"/>
          <w:lang w:val="en-US" w:eastAsia="zh-CN" w:bidi="ar-SA"/>
        </w:rPr>
        <w:t>一盘棋，及早防范因漏管而导致失控的风险，以清晰反映部门的支出和收入计划，提高部门预算管理的完整性。重点抓紧好预算收入的核算和确认力度，参考以前年度实际收入情况，按照新的一年的政策性增收减支因素，合理预测收入实现情况。</w:t>
      </w:r>
    </w:p>
    <w:p w14:paraId="1B4FB335">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4" w:name="page8"/>
      <w:bookmarkEnd w:id="4"/>
      <w:r>
        <w:rPr>
          <w:rFonts w:hint="default" w:ascii="Times New Roman" w:hAnsi="Times New Roman" w:eastAsia="黑体" w:cs="Times New Roman"/>
          <w:sz w:val="32"/>
          <w:szCs w:val="32"/>
        </w:rPr>
        <w:t>明的问题</w:t>
      </w:r>
    </w:p>
    <w:p w14:paraId="58A9B29A">
      <w:pPr>
        <w:pStyle w:val="11"/>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lang w:val="en-US" w:eastAsia="zh-Hans" w:bidi="ar-SA"/>
        </w:rPr>
      </w:pPr>
      <w:r>
        <w:rPr>
          <w:rFonts w:hint="default" w:ascii="仿宋_GB2312" w:hAnsi="仿宋_GB2312" w:eastAsia="仿宋_GB2312" w:cs="仿宋_GB2312"/>
          <w:b w:val="0"/>
          <w:bCs w:val="0"/>
          <w:kern w:val="2"/>
          <w:sz w:val="32"/>
          <w:szCs w:val="32"/>
          <w:lang w:val="en-US" w:eastAsia="zh-Hans" w:bidi="ar-SA"/>
        </w:rPr>
        <w:t>本项目无其他需说明的问题。</w:t>
      </w:r>
    </w:p>
    <w:p w14:paraId="38486EC7">
      <w:pPr>
        <w:pStyle w:val="14"/>
        <w:spacing w:after="0" w:line="560" w:lineRule="exact"/>
        <w:ind w:left="0" w:leftChars="0" w:firstLine="640"/>
        <w:rPr>
          <w:rFonts w:hint="eastAsia" w:ascii="Times New Roman" w:hAnsi="Times New Roman" w:eastAsia="仿宋_GB2312" w:cs="Times New Roman"/>
          <w:sz w:val="32"/>
          <w:szCs w:val="32"/>
          <w:lang w:eastAsia="zh-CN"/>
        </w:rPr>
      </w:pPr>
    </w:p>
    <w:p w14:paraId="21018CF1">
      <w:pPr>
        <w:pStyle w:val="14"/>
        <w:spacing w:after="0" w:line="560" w:lineRule="exact"/>
        <w:ind w:left="0" w:leftChars="0" w:firstLine="0" w:firstLineChars="0"/>
        <w:rPr>
          <w:rFonts w:hint="eastAsia" w:ascii="Times New Roman" w:hAnsi="Times New Roman" w:eastAsia="仿宋_GB2312" w:cs="Times New Roman"/>
          <w:sz w:val="32"/>
          <w:szCs w:val="32"/>
          <w:lang w:eastAsia="zh-CN"/>
        </w:rPr>
      </w:pPr>
    </w:p>
    <w:p w14:paraId="5186F148">
      <w:pPr>
        <w:pStyle w:val="14"/>
        <w:spacing w:after="0" w:line="560" w:lineRule="exact"/>
        <w:ind w:left="0" w:leftChars="0" w:firstLine="640"/>
        <w:rPr>
          <w:rFonts w:hint="default" w:ascii="Times New Roman" w:hAnsi="Times New Roman" w:eastAsia="仿宋_GB2312" w:cs="Times New Roman"/>
          <w:sz w:val="32"/>
          <w:szCs w:val="32"/>
        </w:rPr>
      </w:pPr>
    </w:p>
    <w:p w14:paraId="38260E25">
      <w:pPr>
        <w:pStyle w:val="14"/>
        <w:spacing w:after="0" w:line="560" w:lineRule="exact"/>
        <w:ind w:left="0" w:leftChars="0" w:firstLine="640"/>
        <w:rPr>
          <w:rFonts w:hint="default" w:ascii="Times New Roman" w:hAnsi="Times New Roman" w:eastAsia="仿宋_GB2312" w:cs="Times New Roman"/>
          <w:sz w:val="32"/>
          <w:szCs w:val="32"/>
        </w:rPr>
      </w:pPr>
    </w:p>
    <w:p w14:paraId="41CE08DE">
      <w:pPr>
        <w:pStyle w:val="14"/>
        <w:spacing w:after="0" w:line="560" w:lineRule="exact"/>
        <w:ind w:left="0" w:leftChars="0" w:firstLine="0" w:firstLineChars="0"/>
        <w:rPr>
          <w:rFonts w:hint="default" w:ascii="Times New Roman" w:hAnsi="Times New Roman" w:eastAsia="仿宋_GB2312" w:cs="Times New Roman"/>
          <w:sz w:val="32"/>
          <w:szCs w:val="32"/>
        </w:rPr>
      </w:pPr>
    </w:p>
    <w:p w14:paraId="2863A3D1">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23D8A256">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7BBB7081">
      <w:pPr>
        <w:pStyle w:val="20"/>
        <w:ind w:firstLine="562"/>
        <w:jc w:val="center"/>
        <w:rPr>
          <w:rFonts w:hint="eastAsia" w:ascii="仿宋_GB2312" w:hAnsi="仿宋_GB2312" w:eastAsia="仿宋_GB2312" w:cs="仿宋_GB2312"/>
          <w:sz w:val="28"/>
          <w:szCs w:val="40"/>
          <w:highlight w:val="none"/>
        </w:rPr>
      </w:pPr>
      <w:bookmarkStart w:id="5" w:name="_Toc30064_WPSOffice_Level1"/>
      <w:bookmarkStart w:id="6" w:name="_Toc26499_WPSOffice_Level2"/>
      <w:r>
        <w:rPr>
          <w:rFonts w:hint="eastAsia" w:ascii="仿宋_GB2312" w:hAnsi="仿宋_GB2312" w:eastAsia="仿宋_GB2312" w:cs="仿宋_GB2312"/>
          <w:b/>
          <w:bCs/>
          <w:sz w:val="28"/>
          <w:szCs w:val="40"/>
          <w:highlight w:val="none"/>
          <w:lang w:val="en-US" w:eastAsia="zh-CN"/>
        </w:rPr>
        <w:t>延续项目—塔里木乙烷制乙烯二期占用林地资源各项费用</w:t>
      </w:r>
      <w:r>
        <w:rPr>
          <w:rFonts w:hint="eastAsia" w:ascii="仿宋_GB2312" w:hAnsi="仿宋_GB2312" w:eastAsia="仿宋_GB2312" w:cs="仿宋_GB2312"/>
          <w:b/>
          <w:bCs/>
          <w:sz w:val="28"/>
          <w:szCs w:val="40"/>
          <w:highlight w:val="none"/>
        </w:rPr>
        <w:t>项目绩效评价指标体系及综合评分表</w:t>
      </w:r>
      <w:bookmarkEnd w:id="5"/>
      <w:bookmarkEnd w:id="6"/>
    </w:p>
    <w:tbl>
      <w:tblPr>
        <w:tblStyle w:val="1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14:paraId="3EDB9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14:paraId="2CC2581E">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一级指标</w:t>
            </w:r>
          </w:p>
        </w:tc>
        <w:tc>
          <w:tcPr>
            <w:tcW w:w="394" w:type="pct"/>
            <w:shd w:val="clear" w:color="auto" w:fill="FFFFFF"/>
            <w:vAlign w:val="center"/>
          </w:tcPr>
          <w:p w14:paraId="243B46CF">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二级指标</w:t>
            </w:r>
          </w:p>
        </w:tc>
        <w:tc>
          <w:tcPr>
            <w:tcW w:w="422" w:type="pct"/>
            <w:shd w:val="clear" w:color="auto" w:fill="FFFFFF"/>
            <w:vAlign w:val="center"/>
          </w:tcPr>
          <w:p w14:paraId="5A47F2C4">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三级指标</w:t>
            </w:r>
          </w:p>
        </w:tc>
        <w:tc>
          <w:tcPr>
            <w:tcW w:w="680" w:type="pct"/>
            <w:shd w:val="clear" w:color="auto" w:fill="FFFFFF"/>
            <w:vAlign w:val="center"/>
          </w:tcPr>
          <w:p w14:paraId="0B817CF4">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指标解释</w:t>
            </w:r>
          </w:p>
        </w:tc>
        <w:tc>
          <w:tcPr>
            <w:tcW w:w="2055" w:type="pct"/>
            <w:shd w:val="clear" w:color="auto" w:fill="FFFFFF"/>
            <w:vAlign w:val="center"/>
          </w:tcPr>
          <w:p w14:paraId="67CBF1CE">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指标说明</w:t>
            </w:r>
          </w:p>
        </w:tc>
        <w:tc>
          <w:tcPr>
            <w:tcW w:w="512" w:type="pct"/>
            <w:shd w:val="clear" w:color="auto" w:fill="FFFFFF"/>
            <w:vAlign w:val="center"/>
          </w:tcPr>
          <w:p w14:paraId="59DCE9AE">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权重</w:t>
            </w:r>
          </w:p>
        </w:tc>
        <w:tc>
          <w:tcPr>
            <w:tcW w:w="538" w:type="pct"/>
            <w:shd w:val="clear" w:color="auto" w:fill="FFFFFF"/>
            <w:vAlign w:val="center"/>
          </w:tcPr>
          <w:p w14:paraId="61424B08">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得分</w:t>
            </w:r>
          </w:p>
        </w:tc>
      </w:tr>
      <w:tr w14:paraId="0942E0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14:paraId="1AA99DE0">
            <w:pPr>
              <w:widowControl/>
              <w:spacing w:line="0" w:lineRule="atLeast"/>
              <w:jc w:val="center"/>
              <w:rPr>
                <w:rFonts w:hint="default" w:ascii="Times New Roman" w:hAnsi="Times New Roman" w:eastAsia="仿宋_GB2312" w:cs="Times New Roman"/>
                <w:color w:val="auto"/>
                <w:kern w:val="0"/>
                <w:sz w:val="18"/>
                <w:szCs w:val="18"/>
                <w:highlight w:val="none"/>
              </w:rPr>
            </w:pPr>
          </w:p>
          <w:p w14:paraId="4084999E">
            <w:pPr>
              <w:widowControl/>
              <w:spacing w:line="0" w:lineRule="atLeast"/>
              <w:jc w:val="center"/>
              <w:rPr>
                <w:rFonts w:hint="default" w:ascii="Times New Roman" w:hAnsi="Times New Roman" w:eastAsia="仿宋_GB2312" w:cs="Times New Roman"/>
                <w:color w:val="auto"/>
                <w:kern w:val="0"/>
                <w:sz w:val="18"/>
                <w:szCs w:val="18"/>
                <w:highlight w:val="none"/>
              </w:rPr>
            </w:pPr>
          </w:p>
          <w:p w14:paraId="4ACF0FDD">
            <w:pPr>
              <w:widowControl/>
              <w:spacing w:line="0" w:lineRule="atLeast"/>
              <w:jc w:val="center"/>
              <w:rPr>
                <w:rFonts w:hint="default" w:ascii="Times New Roman" w:hAnsi="Times New Roman" w:eastAsia="仿宋_GB2312" w:cs="Times New Roman"/>
                <w:color w:val="auto"/>
                <w:kern w:val="0"/>
                <w:sz w:val="18"/>
                <w:szCs w:val="18"/>
                <w:highlight w:val="none"/>
              </w:rPr>
            </w:pPr>
          </w:p>
          <w:p w14:paraId="7A62D0AF">
            <w:pPr>
              <w:widowControl/>
              <w:spacing w:line="0" w:lineRule="atLeast"/>
              <w:jc w:val="center"/>
              <w:rPr>
                <w:rFonts w:hint="default" w:ascii="Times New Roman" w:hAnsi="Times New Roman" w:eastAsia="仿宋_GB2312" w:cs="Times New Roman"/>
                <w:color w:val="auto"/>
                <w:kern w:val="0"/>
                <w:sz w:val="18"/>
                <w:szCs w:val="18"/>
                <w:highlight w:val="none"/>
              </w:rPr>
            </w:pPr>
          </w:p>
          <w:p w14:paraId="51EA6CFA">
            <w:pPr>
              <w:widowControl/>
              <w:spacing w:line="0" w:lineRule="atLeast"/>
              <w:jc w:val="center"/>
              <w:rPr>
                <w:rFonts w:hint="default" w:ascii="Times New Roman" w:hAnsi="Times New Roman" w:eastAsia="仿宋_GB2312" w:cs="Times New Roman"/>
                <w:color w:val="auto"/>
                <w:kern w:val="0"/>
                <w:sz w:val="18"/>
                <w:szCs w:val="18"/>
                <w:highlight w:val="none"/>
              </w:rPr>
            </w:pPr>
          </w:p>
          <w:p w14:paraId="1E180514">
            <w:pPr>
              <w:widowControl/>
              <w:spacing w:line="0" w:lineRule="atLeast"/>
              <w:jc w:val="center"/>
              <w:rPr>
                <w:rFonts w:hint="default" w:ascii="Times New Roman" w:hAnsi="Times New Roman" w:eastAsia="仿宋_GB2312" w:cs="Times New Roman"/>
                <w:color w:val="auto"/>
                <w:kern w:val="0"/>
                <w:sz w:val="18"/>
                <w:szCs w:val="18"/>
                <w:highlight w:val="none"/>
              </w:rPr>
            </w:pPr>
          </w:p>
          <w:p w14:paraId="36EAC7AC">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决策　</w:t>
            </w:r>
          </w:p>
        </w:tc>
        <w:tc>
          <w:tcPr>
            <w:tcW w:w="394" w:type="pct"/>
            <w:vMerge w:val="restart"/>
            <w:shd w:val="clear" w:color="auto" w:fill="FFFFFF"/>
            <w:vAlign w:val="center"/>
          </w:tcPr>
          <w:p w14:paraId="1E92E6B2">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项目立项　</w:t>
            </w:r>
          </w:p>
        </w:tc>
        <w:tc>
          <w:tcPr>
            <w:tcW w:w="422" w:type="pct"/>
            <w:shd w:val="clear" w:color="auto" w:fill="FFFFFF"/>
            <w:vAlign w:val="center"/>
          </w:tcPr>
          <w:p w14:paraId="46E4AA12">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立项依据</w:t>
            </w:r>
          </w:p>
          <w:p w14:paraId="55C9CCA4">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充分性</w:t>
            </w:r>
          </w:p>
        </w:tc>
        <w:tc>
          <w:tcPr>
            <w:tcW w:w="680" w:type="pct"/>
            <w:shd w:val="clear" w:color="auto" w:fill="FFFFFF"/>
            <w:vAlign w:val="center"/>
          </w:tcPr>
          <w:p w14:paraId="0EAFC92C">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项目立项是否符合法律法规、相关政策、发展规划以及部门职责，用以反映和考核项目立项依据情况。</w:t>
            </w:r>
          </w:p>
        </w:tc>
        <w:tc>
          <w:tcPr>
            <w:tcW w:w="2055" w:type="pct"/>
            <w:shd w:val="clear" w:color="auto" w:fill="FFFFFF"/>
            <w:vAlign w:val="center"/>
          </w:tcPr>
          <w:p w14:paraId="209A9510">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②项目立项是否符合行业发展规划和政策要求；</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③项目立项是否与部门职责范围相符，属于部门履职所需；</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⑤项目是否与相关部门同类项目或部门内部相关项目重复。</w:t>
            </w:r>
          </w:p>
        </w:tc>
        <w:tc>
          <w:tcPr>
            <w:tcW w:w="512" w:type="pct"/>
            <w:shd w:val="clear" w:color="auto" w:fill="FFFFFF"/>
            <w:vAlign w:val="center"/>
          </w:tcPr>
          <w:p w14:paraId="5CE6FA54">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538" w:type="pct"/>
            <w:shd w:val="clear" w:color="auto" w:fill="FFFFFF"/>
            <w:vAlign w:val="center"/>
          </w:tcPr>
          <w:p w14:paraId="55CBDB08">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3</w:t>
            </w:r>
          </w:p>
        </w:tc>
      </w:tr>
      <w:tr w14:paraId="5D1299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25D04BF3">
            <w:pPr>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vMerge w:val="continue"/>
            <w:shd w:val="clear" w:color="auto" w:fill="FFFFFF"/>
            <w:vAlign w:val="center"/>
          </w:tcPr>
          <w:p w14:paraId="3EC2F9F9">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422" w:type="pct"/>
            <w:shd w:val="clear" w:color="auto" w:fill="FFFFFF"/>
            <w:vAlign w:val="center"/>
          </w:tcPr>
          <w:p w14:paraId="3D41056D">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立项程序</w:t>
            </w:r>
          </w:p>
          <w:p w14:paraId="118CB147">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规范性</w:t>
            </w:r>
          </w:p>
        </w:tc>
        <w:tc>
          <w:tcPr>
            <w:tcW w:w="680" w:type="pct"/>
            <w:shd w:val="clear" w:color="auto" w:fill="FFFFFF"/>
            <w:vAlign w:val="center"/>
          </w:tcPr>
          <w:p w14:paraId="57C96D17">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项目申请、设立过程是否符合相关要求，用以反映和考核项目立项的规范情况。</w:t>
            </w:r>
          </w:p>
        </w:tc>
        <w:tc>
          <w:tcPr>
            <w:tcW w:w="2055" w:type="pct"/>
            <w:shd w:val="clear" w:color="auto" w:fill="FFFFFF"/>
            <w:vAlign w:val="center"/>
          </w:tcPr>
          <w:p w14:paraId="38596837">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①项目是否按照规定的程序申请设立；</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②审批文件、材料是否符合相关要求；</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③事前是否已经过必要的可行性研究、专家论证、风险评估、绩效评估、集体决策。</w:t>
            </w:r>
          </w:p>
        </w:tc>
        <w:tc>
          <w:tcPr>
            <w:tcW w:w="512" w:type="pct"/>
            <w:shd w:val="clear" w:color="auto" w:fill="FFFFFF"/>
            <w:vAlign w:val="center"/>
          </w:tcPr>
          <w:p w14:paraId="5D744F8A">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538" w:type="pct"/>
            <w:shd w:val="clear" w:color="auto" w:fill="FFFFFF"/>
            <w:vAlign w:val="center"/>
          </w:tcPr>
          <w:p w14:paraId="3BBA3BBD">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3</w:t>
            </w:r>
          </w:p>
        </w:tc>
      </w:tr>
      <w:tr w14:paraId="2BA14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0CF8D4C9">
            <w:pPr>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vMerge w:val="restart"/>
            <w:shd w:val="clear" w:color="auto" w:fill="FFFFFF"/>
            <w:vAlign w:val="center"/>
          </w:tcPr>
          <w:p w14:paraId="3CA58DF9">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绩效目标　</w:t>
            </w:r>
          </w:p>
        </w:tc>
        <w:tc>
          <w:tcPr>
            <w:tcW w:w="422" w:type="pct"/>
            <w:shd w:val="clear" w:color="auto" w:fill="FFFFFF"/>
            <w:vAlign w:val="center"/>
          </w:tcPr>
          <w:p w14:paraId="3F8A9569">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绩效目标</w:t>
            </w:r>
          </w:p>
          <w:p w14:paraId="267F0168">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合理性</w:t>
            </w:r>
          </w:p>
        </w:tc>
        <w:tc>
          <w:tcPr>
            <w:tcW w:w="680" w:type="pct"/>
            <w:shd w:val="clear" w:color="000000" w:fill="FFFFFF"/>
            <w:vAlign w:val="center"/>
          </w:tcPr>
          <w:p w14:paraId="25EC5A88">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项目所设定的绩效目标是否依据充分，是否符合客观实际，用以反映和考核项目绩效目标与项目实施的相符情况。</w:t>
            </w:r>
          </w:p>
        </w:tc>
        <w:tc>
          <w:tcPr>
            <w:tcW w:w="2055" w:type="pct"/>
            <w:shd w:val="clear" w:color="000000" w:fill="FFFFFF"/>
            <w:vAlign w:val="center"/>
          </w:tcPr>
          <w:p w14:paraId="5567064A">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（如未设定预算绩效目标，也可考核其他工作任务目标）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①项目是否有绩效目标；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②项目绩效目标与实际工作内容是否具有相关性；</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③项目预期产出效益和效果是否符合正常的业绩水平；</w:t>
            </w:r>
          </w:p>
          <w:p w14:paraId="4000C088">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④是否与预算确定的项目投资额或资金量相匹配。</w:t>
            </w:r>
          </w:p>
        </w:tc>
        <w:tc>
          <w:tcPr>
            <w:tcW w:w="512" w:type="pct"/>
            <w:shd w:val="clear" w:color="000000" w:fill="FFFFFF"/>
            <w:vAlign w:val="center"/>
          </w:tcPr>
          <w:p w14:paraId="36F8FF1E">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538" w:type="pct"/>
            <w:shd w:val="clear" w:color="000000" w:fill="FFFFFF"/>
            <w:vAlign w:val="center"/>
          </w:tcPr>
          <w:p w14:paraId="5EF0629E">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3</w:t>
            </w:r>
          </w:p>
        </w:tc>
      </w:tr>
      <w:tr w14:paraId="430E21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14:paraId="059E05C0">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vMerge w:val="continue"/>
            <w:shd w:val="clear" w:color="auto" w:fill="FFFFFF"/>
            <w:vAlign w:val="center"/>
          </w:tcPr>
          <w:p w14:paraId="1B91DDBB">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422" w:type="pct"/>
            <w:shd w:val="clear" w:color="auto" w:fill="FFFFFF"/>
            <w:vAlign w:val="center"/>
          </w:tcPr>
          <w:p w14:paraId="63997D08">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绩效指标</w:t>
            </w:r>
          </w:p>
          <w:p w14:paraId="6C0D9971">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明确性</w:t>
            </w:r>
          </w:p>
        </w:tc>
        <w:tc>
          <w:tcPr>
            <w:tcW w:w="680" w:type="pct"/>
            <w:shd w:val="clear" w:color="000000" w:fill="FFFFFF"/>
            <w:vAlign w:val="center"/>
          </w:tcPr>
          <w:p w14:paraId="2A948C96">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依据绩效目标设定的绩效指标是否清晰、细化、可衡量等，用以反映和考核项目绩效目标的明细化情况。</w:t>
            </w:r>
          </w:p>
        </w:tc>
        <w:tc>
          <w:tcPr>
            <w:tcW w:w="2055" w:type="pct"/>
            <w:shd w:val="clear" w:color="000000" w:fill="FFFFFF"/>
            <w:vAlign w:val="center"/>
          </w:tcPr>
          <w:p w14:paraId="69972197">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①是否将项目绩效目标细化分解为具体的绩效指标；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②是否通过清晰、可衡量的指标值予以体现；</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③是否与项目目标任务数或计划数相对应。</w:t>
            </w:r>
            <w:r>
              <w:rPr>
                <w:rFonts w:hint="default" w:ascii="Times New Roman" w:hAnsi="Times New Roman" w:eastAsia="仿宋_GB2312" w:cs="Times New Roman"/>
                <w:color w:val="auto"/>
                <w:kern w:val="0"/>
                <w:sz w:val="18"/>
                <w:szCs w:val="18"/>
                <w:highlight w:val="none"/>
              </w:rPr>
              <w:br w:type="textWrapping"/>
            </w:r>
          </w:p>
        </w:tc>
        <w:tc>
          <w:tcPr>
            <w:tcW w:w="512" w:type="pct"/>
            <w:shd w:val="clear" w:color="000000" w:fill="FFFFFF"/>
            <w:vAlign w:val="center"/>
          </w:tcPr>
          <w:p w14:paraId="5FCAF2EB">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538" w:type="pct"/>
            <w:shd w:val="clear" w:color="000000" w:fill="FFFFFF"/>
            <w:vAlign w:val="center"/>
          </w:tcPr>
          <w:p w14:paraId="07F83CB0">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3</w:t>
            </w:r>
          </w:p>
        </w:tc>
      </w:tr>
      <w:tr w14:paraId="3757C7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14:paraId="5AC4A629">
            <w:pPr>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vMerge w:val="restart"/>
            <w:shd w:val="clear" w:color="auto" w:fill="FFFFFF"/>
            <w:vAlign w:val="center"/>
          </w:tcPr>
          <w:p w14:paraId="07586B04">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资金投入</w:t>
            </w:r>
          </w:p>
          <w:p w14:paraId="20FD969B">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　</w:t>
            </w:r>
          </w:p>
        </w:tc>
        <w:tc>
          <w:tcPr>
            <w:tcW w:w="422" w:type="pct"/>
            <w:shd w:val="clear" w:color="auto" w:fill="FFFFFF"/>
            <w:vAlign w:val="center"/>
          </w:tcPr>
          <w:p w14:paraId="0369D0D2">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预算编制</w:t>
            </w:r>
          </w:p>
          <w:p w14:paraId="71480311">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科学性</w:t>
            </w:r>
          </w:p>
        </w:tc>
        <w:tc>
          <w:tcPr>
            <w:tcW w:w="680" w:type="pct"/>
            <w:shd w:val="clear" w:color="auto" w:fill="FFFFFF"/>
            <w:vAlign w:val="center"/>
          </w:tcPr>
          <w:p w14:paraId="038DF789">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14:paraId="64708EBE">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①预算编制是否经过科学论证；</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②预算内容与项目内容是否匹配；</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③预算额度测算依据是否充分，是否按照标准编制；</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④预算确定的项目投资额或资金量是否与工作任务相匹配。</w:t>
            </w:r>
          </w:p>
        </w:tc>
        <w:tc>
          <w:tcPr>
            <w:tcW w:w="512" w:type="pct"/>
            <w:shd w:val="clear" w:color="auto" w:fill="FFFFFF"/>
            <w:vAlign w:val="center"/>
          </w:tcPr>
          <w:p w14:paraId="6C548906">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538" w:type="pct"/>
            <w:shd w:val="clear" w:color="auto" w:fill="FFFFFF"/>
            <w:vAlign w:val="center"/>
          </w:tcPr>
          <w:p w14:paraId="333222AB">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14:paraId="0D9534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14:paraId="0D94216C">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vMerge w:val="continue"/>
            <w:shd w:val="clear" w:color="auto" w:fill="FFFFFF"/>
            <w:vAlign w:val="center"/>
          </w:tcPr>
          <w:p w14:paraId="501251EC">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422" w:type="pct"/>
            <w:shd w:val="clear" w:color="auto" w:fill="FFFFFF"/>
            <w:vAlign w:val="center"/>
          </w:tcPr>
          <w:p w14:paraId="126DFDE9">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资金分配</w:t>
            </w:r>
          </w:p>
          <w:p w14:paraId="204C9325">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合理性</w:t>
            </w:r>
          </w:p>
        </w:tc>
        <w:tc>
          <w:tcPr>
            <w:tcW w:w="680" w:type="pct"/>
            <w:shd w:val="clear" w:color="auto" w:fill="FFFFFF"/>
            <w:vAlign w:val="center"/>
          </w:tcPr>
          <w:p w14:paraId="768F063F">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14:paraId="23B49525">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①预算资金分配依据是否充分；</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②资金分配额度是否合理，与项目单位或地方实际是否相适应。</w:t>
            </w:r>
          </w:p>
        </w:tc>
        <w:tc>
          <w:tcPr>
            <w:tcW w:w="512" w:type="pct"/>
            <w:shd w:val="clear" w:color="auto" w:fill="FFFFFF"/>
            <w:vAlign w:val="center"/>
          </w:tcPr>
          <w:p w14:paraId="6AC79C64">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538" w:type="pct"/>
            <w:shd w:val="clear" w:color="auto" w:fill="FFFFFF"/>
            <w:vAlign w:val="center"/>
          </w:tcPr>
          <w:p w14:paraId="607698D3">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14:paraId="0B8A1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14:paraId="493088F6">
            <w:pPr>
              <w:spacing w:line="0" w:lineRule="atLeast"/>
              <w:jc w:val="center"/>
              <w:rPr>
                <w:rFonts w:hint="default" w:ascii="Times New Roman" w:hAnsi="Times New Roman" w:eastAsia="仿宋_GB2312" w:cs="Times New Roman"/>
                <w:color w:val="auto"/>
                <w:kern w:val="0"/>
                <w:sz w:val="18"/>
                <w:szCs w:val="18"/>
                <w:highlight w:val="none"/>
              </w:rPr>
            </w:pPr>
          </w:p>
          <w:p w14:paraId="318491A9">
            <w:pPr>
              <w:spacing w:line="0" w:lineRule="atLeast"/>
              <w:jc w:val="center"/>
              <w:rPr>
                <w:rFonts w:hint="default" w:ascii="Times New Roman" w:hAnsi="Times New Roman" w:eastAsia="仿宋_GB2312" w:cs="Times New Roman"/>
                <w:color w:val="auto"/>
                <w:kern w:val="0"/>
                <w:sz w:val="18"/>
                <w:szCs w:val="18"/>
                <w:highlight w:val="none"/>
              </w:rPr>
            </w:pPr>
          </w:p>
          <w:p w14:paraId="63C100E0">
            <w:pPr>
              <w:spacing w:line="0" w:lineRule="atLeast"/>
              <w:jc w:val="center"/>
              <w:rPr>
                <w:rFonts w:hint="default" w:ascii="Times New Roman" w:hAnsi="Times New Roman" w:eastAsia="仿宋_GB2312" w:cs="Times New Roman"/>
                <w:color w:val="auto"/>
                <w:kern w:val="0"/>
                <w:sz w:val="18"/>
                <w:szCs w:val="18"/>
                <w:highlight w:val="none"/>
              </w:rPr>
            </w:pPr>
          </w:p>
          <w:p w14:paraId="30A08D9A">
            <w:pPr>
              <w:spacing w:line="0" w:lineRule="atLeast"/>
              <w:jc w:val="center"/>
              <w:rPr>
                <w:rFonts w:hint="default" w:ascii="Times New Roman" w:hAnsi="Times New Roman" w:eastAsia="仿宋_GB2312" w:cs="Times New Roman"/>
                <w:color w:val="auto"/>
                <w:kern w:val="0"/>
                <w:sz w:val="18"/>
                <w:szCs w:val="18"/>
                <w:highlight w:val="none"/>
              </w:rPr>
            </w:pPr>
          </w:p>
          <w:p w14:paraId="6B7D65EE">
            <w:pPr>
              <w:spacing w:line="0" w:lineRule="atLeast"/>
              <w:jc w:val="center"/>
              <w:rPr>
                <w:rFonts w:hint="default" w:ascii="Times New Roman" w:hAnsi="Times New Roman" w:eastAsia="仿宋_GB2312" w:cs="Times New Roman"/>
                <w:color w:val="auto"/>
                <w:kern w:val="0"/>
                <w:sz w:val="18"/>
                <w:szCs w:val="18"/>
                <w:highlight w:val="none"/>
              </w:rPr>
            </w:pPr>
          </w:p>
          <w:p w14:paraId="318E8488">
            <w:pPr>
              <w:spacing w:line="0" w:lineRule="atLeast"/>
              <w:jc w:val="center"/>
              <w:rPr>
                <w:rFonts w:hint="default" w:ascii="Times New Roman" w:hAnsi="Times New Roman" w:eastAsia="仿宋_GB2312" w:cs="Times New Roman"/>
                <w:color w:val="auto"/>
                <w:kern w:val="0"/>
                <w:sz w:val="18"/>
                <w:szCs w:val="18"/>
                <w:highlight w:val="none"/>
              </w:rPr>
            </w:pPr>
          </w:p>
          <w:p w14:paraId="0037FF03">
            <w:pPr>
              <w:spacing w:line="0" w:lineRule="atLeast"/>
              <w:jc w:val="center"/>
              <w:rPr>
                <w:rFonts w:hint="default" w:ascii="Times New Roman" w:hAnsi="Times New Roman" w:eastAsia="仿宋_GB2312" w:cs="Times New Roman"/>
                <w:color w:val="auto"/>
                <w:kern w:val="0"/>
                <w:sz w:val="18"/>
                <w:szCs w:val="18"/>
                <w:highlight w:val="none"/>
              </w:rPr>
            </w:pPr>
          </w:p>
          <w:p w14:paraId="2880FE7A">
            <w:pPr>
              <w:spacing w:line="0" w:lineRule="atLeast"/>
              <w:jc w:val="center"/>
              <w:rPr>
                <w:rFonts w:hint="default" w:ascii="Times New Roman" w:hAnsi="Times New Roman" w:eastAsia="仿宋_GB2312" w:cs="Times New Roman"/>
                <w:color w:val="auto"/>
                <w:kern w:val="0"/>
                <w:sz w:val="18"/>
                <w:szCs w:val="18"/>
                <w:highlight w:val="none"/>
              </w:rPr>
            </w:pPr>
          </w:p>
          <w:p w14:paraId="3414F09A">
            <w:pPr>
              <w:spacing w:line="0" w:lineRule="atLeast"/>
              <w:jc w:val="center"/>
              <w:rPr>
                <w:rFonts w:hint="default" w:ascii="Times New Roman" w:hAnsi="Times New Roman" w:eastAsia="仿宋_GB2312" w:cs="Times New Roman"/>
                <w:color w:val="auto"/>
                <w:kern w:val="0"/>
                <w:sz w:val="18"/>
                <w:szCs w:val="18"/>
                <w:highlight w:val="none"/>
              </w:rPr>
            </w:pPr>
          </w:p>
          <w:p w14:paraId="1CD81E5F">
            <w:pPr>
              <w:spacing w:line="0" w:lineRule="atLeast"/>
              <w:jc w:val="center"/>
              <w:rPr>
                <w:rFonts w:hint="default" w:ascii="Times New Roman" w:hAnsi="Times New Roman" w:eastAsia="仿宋_GB2312" w:cs="Times New Roman"/>
                <w:color w:val="auto"/>
                <w:kern w:val="0"/>
                <w:sz w:val="18"/>
                <w:szCs w:val="18"/>
                <w:highlight w:val="none"/>
              </w:rPr>
            </w:pPr>
          </w:p>
          <w:p w14:paraId="61939F9D">
            <w:pPr>
              <w:spacing w:line="0" w:lineRule="atLeast"/>
              <w:jc w:val="center"/>
              <w:rPr>
                <w:rFonts w:hint="default" w:ascii="Times New Roman" w:hAnsi="Times New Roman" w:eastAsia="仿宋_GB2312" w:cs="Times New Roman"/>
                <w:color w:val="auto"/>
                <w:kern w:val="0"/>
                <w:sz w:val="18"/>
                <w:szCs w:val="18"/>
                <w:highlight w:val="none"/>
              </w:rPr>
            </w:pPr>
          </w:p>
          <w:p w14:paraId="4C1FCEED">
            <w:pPr>
              <w:spacing w:line="0" w:lineRule="atLeast"/>
              <w:jc w:val="center"/>
              <w:rPr>
                <w:rFonts w:hint="default" w:ascii="Times New Roman" w:hAnsi="Times New Roman" w:eastAsia="仿宋_GB2312" w:cs="Times New Roman"/>
                <w:color w:val="auto"/>
                <w:kern w:val="0"/>
                <w:sz w:val="18"/>
                <w:szCs w:val="18"/>
                <w:highlight w:val="none"/>
              </w:rPr>
            </w:pPr>
          </w:p>
          <w:p w14:paraId="11CCCF8C">
            <w:pPr>
              <w:spacing w:line="0" w:lineRule="atLeast"/>
              <w:jc w:val="center"/>
              <w:rPr>
                <w:rFonts w:hint="default" w:ascii="Times New Roman" w:hAnsi="Times New Roman" w:eastAsia="仿宋_GB2312" w:cs="Times New Roman"/>
                <w:color w:val="auto"/>
                <w:kern w:val="0"/>
                <w:sz w:val="18"/>
                <w:szCs w:val="18"/>
                <w:highlight w:val="none"/>
              </w:rPr>
            </w:pPr>
          </w:p>
          <w:p w14:paraId="4AAD4D85">
            <w:pPr>
              <w:spacing w:line="0" w:lineRule="atLeast"/>
              <w:jc w:val="center"/>
              <w:rPr>
                <w:rFonts w:hint="default" w:ascii="Times New Roman" w:hAnsi="Times New Roman" w:eastAsia="仿宋_GB2312" w:cs="Times New Roman"/>
                <w:color w:val="auto"/>
                <w:kern w:val="0"/>
                <w:sz w:val="18"/>
                <w:szCs w:val="18"/>
                <w:highlight w:val="none"/>
              </w:rPr>
            </w:pPr>
          </w:p>
          <w:p w14:paraId="170C58F6">
            <w:pPr>
              <w:spacing w:line="0" w:lineRule="atLeast"/>
              <w:jc w:val="center"/>
              <w:rPr>
                <w:rFonts w:hint="default" w:ascii="Times New Roman" w:hAnsi="Times New Roman" w:eastAsia="仿宋_GB2312" w:cs="Times New Roman"/>
                <w:color w:val="auto"/>
                <w:kern w:val="0"/>
                <w:sz w:val="18"/>
                <w:szCs w:val="18"/>
                <w:highlight w:val="none"/>
              </w:rPr>
            </w:pPr>
          </w:p>
          <w:p w14:paraId="1E131ACE">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过程</w:t>
            </w:r>
          </w:p>
          <w:p w14:paraId="0163472E">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　　</w:t>
            </w:r>
          </w:p>
        </w:tc>
        <w:tc>
          <w:tcPr>
            <w:tcW w:w="394" w:type="pct"/>
            <w:vMerge w:val="restart"/>
            <w:shd w:val="clear" w:color="auto" w:fill="FFFFFF"/>
            <w:vAlign w:val="center"/>
          </w:tcPr>
          <w:p w14:paraId="0EF92CE5">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资金管理</w:t>
            </w:r>
          </w:p>
        </w:tc>
        <w:tc>
          <w:tcPr>
            <w:tcW w:w="422" w:type="pct"/>
            <w:shd w:val="clear" w:color="auto" w:fill="FFFFFF"/>
            <w:vAlign w:val="center"/>
          </w:tcPr>
          <w:p w14:paraId="52C1FBE2">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资金到位率</w:t>
            </w:r>
          </w:p>
        </w:tc>
        <w:tc>
          <w:tcPr>
            <w:tcW w:w="680" w:type="pct"/>
            <w:shd w:val="clear" w:color="000000" w:fill="FFFFFF"/>
            <w:vAlign w:val="center"/>
          </w:tcPr>
          <w:p w14:paraId="089FCE59">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实际到位资金与预算资金的比率，用以反映和考核资金落实情况对项目实施的总体保障程度。</w:t>
            </w:r>
          </w:p>
        </w:tc>
        <w:tc>
          <w:tcPr>
            <w:tcW w:w="2055" w:type="pct"/>
            <w:shd w:val="clear" w:color="000000" w:fill="FFFFFF"/>
            <w:vAlign w:val="center"/>
          </w:tcPr>
          <w:p w14:paraId="3CBC1B83">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资金到位率=（实际到位资金/预算资金）×100%。</w:t>
            </w:r>
          </w:p>
          <w:p w14:paraId="2FB5AF6B">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实际到位资金：一定时期（本年度或项目期）内落实到具体项目的资金。</w:t>
            </w:r>
          </w:p>
          <w:p w14:paraId="76D07649">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预算资金：一定时期（本年度或项目期）内预算安排到具体项目的资金。</w:t>
            </w:r>
          </w:p>
        </w:tc>
        <w:tc>
          <w:tcPr>
            <w:tcW w:w="512" w:type="pct"/>
            <w:shd w:val="clear" w:color="000000" w:fill="FFFFFF"/>
            <w:vAlign w:val="center"/>
          </w:tcPr>
          <w:p w14:paraId="75365B02">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538" w:type="pct"/>
            <w:shd w:val="clear" w:color="000000" w:fill="FFFFFF"/>
            <w:vAlign w:val="center"/>
          </w:tcPr>
          <w:p w14:paraId="206937A4">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14:paraId="2B2C2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14:paraId="5F99B56D">
            <w:pPr>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vMerge w:val="continue"/>
            <w:shd w:val="clear" w:color="auto" w:fill="FFFFFF"/>
            <w:vAlign w:val="center"/>
          </w:tcPr>
          <w:p w14:paraId="78B70881">
            <w:pPr>
              <w:spacing w:line="0" w:lineRule="atLeast"/>
              <w:jc w:val="center"/>
              <w:rPr>
                <w:rFonts w:hint="default" w:ascii="Times New Roman" w:hAnsi="Times New Roman" w:eastAsia="仿宋_GB2312" w:cs="Times New Roman"/>
                <w:color w:val="auto"/>
                <w:kern w:val="0"/>
                <w:sz w:val="18"/>
                <w:szCs w:val="18"/>
                <w:highlight w:val="none"/>
              </w:rPr>
            </w:pPr>
          </w:p>
        </w:tc>
        <w:tc>
          <w:tcPr>
            <w:tcW w:w="422" w:type="pct"/>
            <w:shd w:val="clear" w:color="auto" w:fill="FFFFFF"/>
            <w:vAlign w:val="center"/>
          </w:tcPr>
          <w:p w14:paraId="12365E4C">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预算执行率</w:t>
            </w:r>
          </w:p>
        </w:tc>
        <w:tc>
          <w:tcPr>
            <w:tcW w:w="680" w:type="pct"/>
            <w:shd w:val="clear" w:color="auto" w:fill="FFFFFF"/>
            <w:vAlign w:val="center"/>
          </w:tcPr>
          <w:p w14:paraId="14754198">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项目预算资金是否按照计划执行，用以反映或考核项目预算执行情况。</w:t>
            </w:r>
          </w:p>
        </w:tc>
        <w:tc>
          <w:tcPr>
            <w:tcW w:w="2055" w:type="pct"/>
            <w:shd w:val="clear" w:color="auto" w:fill="FFFFFF"/>
            <w:vAlign w:val="center"/>
          </w:tcPr>
          <w:p w14:paraId="66CD75C0">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预算执行率=（实际支出资金/实际到位资金）×100%。</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实际支出资金：一定时期（本年度或项目期）内项目实际拨付的资金。</w:t>
            </w:r>
          </w:p>
        </w:tc>
        <w:tc>
          <w:tcPr>
            <w:tcW w:w="512" w:type="pct"/>
            <w:shd w:val="clear" w:color="auto" w:fill="FFFFFF"/>
            <w:vAlign w:val="center"/>
          </w:tcPr>
          <w:p w14:paraId="19051107">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538" w:type="pct"/>
            <w:shd w:val="clear" w:color="auto" w:fill="FFFFFF"/>
            <w:vAlign w:val="center"/>
          </w:tcPr>
          <w:p w14:paraId="2AD8A8BB">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3.87</w:t>
            </w:r>
          </w:p>
        </w:tc>
      </w:tr>
      <w:tr w14:paraId="4FF457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4BEE538D">
            <w:pPr>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shd w:val="clear" w:color="auto" w:fill="FFFFFF"/>
            <w:vAlign w:val="center"/>
          </w:tcPr>
          <w:p w14:paraId="5CA95801">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资金管理</w:t>
            </w:r>
          </w:p>
        </w:tc>
        <w:tc>
          <w:tcPr>
            <w:tcW w:w="422" w:type="pct"/>
            <w:shd w:val="clear" w:color="auto" w:fill="FFFFFF"/>
            <w:vAlign w:val="center"/>
          </w:tcPr>
          <w:p w14:paraId="05EDF930">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资金使用</w:t>
            </w:r>
          </w:p>
          <w:p w14:paraId="1C1B6AED">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合规性</w:t>
            </w:r>
          </w:p>
        </w:tc>
        <w:tc>
          <w:tcPr>
            <w:tcW w:w="680" w:type="pct"/>
            <w:shd w:val="clear" w:color="000000" w:fill="FFFFFF"/>
            <w:vAlign w:val="center"/>
          </w:tcPr>
          <w:p w14:paraId="0A340A00">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项目资金使用是否符合相关的财务管理制度规定，用以反映和考核项目资金的规范运行情况。</w:t>
            </w:r>
          </w:p>
        </w:tc>
        <w:tc>
          <w:tcPr>
            <w:tcW w:w="2055" w:type="pct"/>
            <w:shd w:val="clear" w:color="000000" w:fill="FFFFFF"/>
            <w:vAlign w:val="center"/>
          </w:tcPr>
          <w:p w14:paraId="72FC4D10">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②资金的拨付是否有完整的审批程序和手续；</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③是否符合项目预算批复或合同规定的用途；</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④是否存在截留、挤占、挪用、虚列支出等情况。</w:t>
            </w:r>
          </w:p>
        </w:tc>
        <w:tc>
          <w:tcPr>
            <w:tcW w:w="512" w:type="pct"/>
            <w:shd w:val="clear" w:color="000000" w:fill="FFFFFF"/>
            <w:vAlign w:val="center"/>
          </w:tcPr>
          <w:p w14:paraId="4CB3A0A7">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538" w:type="pct"/>
            <w:shd w:val="clear" w:color="000000" w:fill="FFFFFF"/>
            <w:vAlign w:val="center"/>
          </w:tcPr>
          <w:p w14:paraId="4BD4F2FA">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14:paraId="279C87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14:paraId="444EDAA4">
            <w:pPr>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vMerge w:val="restart"/>
            <w:shd w:val="clear" w:color="auto" w:fill="FFFFFF"/>
            <w:vAlign w:val="center"/>
          </w:tcPr>
          <w:p w14:paraId="170FAD5D">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组织实施</w:t>
            </w:r>
          </w:p>
          <w:p w14:paraId="2153F842">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　</w:t>
            </w:r>
          </w:p>
        </w:tc>
        <w:tc>
          <w:tcPr>
            <w:tcW w:w="422" w:type="pct"/>
            <w:shd w:val="clear" w:color="auto" w:fill="FFFFFF"/>
            <w:vAlign w:val="center"/>
          </w:tcPr>
          <w:p w14:paraId="57511CF0">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管理制度</w:t>
            </w:r>
          </w:p>
          <w:p w14:paraId="1A99E0E6">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健全性</w:t>
            </w:r>
          </w:p>
        </w:tc>
        <w:tc>
          <w:tcPr>
            <w:tcW w:w="680" w:type="pct"/>
            <w:shd w:val="clear" w:color="000000" w:fill="FFFFFF"/>
            <w:vAlign w:val="center"/>
          </w:tcPr>
          <w:p w14:paraId="3EB39E58">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项目实施单位的财务和业务管理制度是否健全，用以反映和考核财务和业务管理制度对项目顺利实施的保障情况。</w:t>
            </w:r>
          </w:p>
        </w:tc>
        <w:tc>
          <w:tcPr>
            <w:tcW w:w="2055" w:type="pct"/>
            <w:shd w:val="clear" w:color="000000" w:fill="FFFFFF"/>
            <w:vAlign w:val="center"/>
          </w:tcPr>
          <w:p w14:paraId="31E6924C">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①是否已制定或具有相应的财务和业务管理制度；</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②财务和业务管理制度是否合法、合规、完整。</w:t>
            </w:r>
          </w:p>
        </w:tc>
        <w:tc>
          <w:tcPr>
            <w:tcW w:w="512" w:type="pct"/>
            <w:shd w:val="clear" w:color="000000" w:fill="FFFFFF"/>
            <w:vAlign w:val="center"/>
          </w:tcPr>
          <w:p w14:paraId="1FDD6ED2">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538" w:type="pct"/>
            <w:shd w:val="clear" w:color="000000" w:fill="FFFFFF"/>
            <w:vAlign w:val="center"/>
          </w:tcPr>
          <w:p w14:paraId="47CB7E6F">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14:paraId="29DDFF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14:paraId="2C310DD6">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vMerge w:val="continue"/>
            <w:shd w:val="clear" w:color="auto" w:fill="FFFFFF"/>
            <w:vAlign w:val="center"/>
          </w:tcPr>
          <w:p w14:paraId="0B212FCB">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422" w:type="pct"/>
            <w:shd w:val="clear" w:color="auto" w:fill="FFFFFF"/>
            <w:vAlign w:val="center"/>
          </w:tcPr>
          <w:p w14:paraId="7926713B">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制度执行</w:t>
            </w:r>
          </w:p>
          <w:p w14:paraId="142A0C8B">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有效性</w:t>
            </w:r>
          </w:p>
        </w:tc>
        <w:tc>
          <w:tcPr>
            <w:tcW w:w="680" w:type="pct"/>
            <w:shd w:val="clear" w:color="000000" w:fill="FFFFFF"/>
            <w:vAlign w:val="center"/>
          </w:tcPr>
          <w:p w14:paraId="785045E8">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项目实施是否符合相关管理规定，用以反映和考核相关管理制度的有效执行情况。</w:t>
            </w:r>
          </w:p>
        </w:tc>
        <w:tc>
          <w:tcPr>
            <w:tcW w:w="2055" w:type="pct"/>
            <w:shd w:val="clear" w:color="000000" w:fill="FFFFFF"/>
            <w:vAlign w:val="center"/>
          </w:tcPr>
          <w:p w14:paraId="4B4399D9">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①是否遵守相关法律法规和相关管理规定；</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②项目调整及支出调整手续是否完备；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③项目合同书、验收报告、技术鉴定等资料是否齐全并及时归档；</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④项目实施的人员条件、场地设备、信息支撑等是否落实到位。</w:t>
            </w:r>
          </w:p>
        </w:tc>
        <w:tc>
          <w:tcPr>
            <w:tcW w:w="512" w:type="pct"/>
            <w:shd w:val="clear" w:color="000000" w:fill="FFFFFF"/>
            <w:vAlign w:val="center"/>
          </w:tcPr>
          <w:p w14:paraId="2B679973">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538" w:type="pct"/>
            <w:shd w:val="clear" w:color="000000" w:fill="FFFFFF"/>
            <w:vAlign w:val="center"/>
          </w:tcPr>
          <w:p w14:paraId="704E80AE">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14:paraId="0E805E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14:paraId="5BE3246E">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w:t>
            </w:r>
          </w:p>
        </w:tc>
        <w:tc>
          <w:tcPr>
            <w:tcW w:w="394" w:type="pct"/>
            <w:shd w:val="clear" w:color="auto" w:fill="FFFFFF"/>
            <w:vAlign w:val="center"/>
          </w:tcPr>
          <w:p w14:paraId="5DC00F3C">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产出数量</w:t>
            </w:r>
          </w:p>
        </w:tc>
        <w:tc>
          <w:tcPr>
            <w:tcW w:w="422" w:type="pct"/>
            <w:shd w:val="clear" w:color="auto" w:fill="FFFFFF"/>
            <w:vAlign w:val="center"/>
          </w:tcPr>
          <w:p w14:paraId="62087997">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实际完成率</w:t>
            </w:r>
          </w:p>
        </w:tc>
        <w:tc>
          <w:tcPr>
            <w:tcW w:w="680" w:type="pct"/>
            <w:shd w:val="clear" w:color="000000" w:fill="FFFFFF"/>
            <w:vAlign w:val="center"/>
          </w:tcPr>
          <w:p w14:paraId="31C90958">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项目实施的实际产出数与计划产出数的比率，用以反映和考核项目产出数量目标的实现程度。</w:t>
            </w:r>
          </w:p>
        </w:tc>
        <w:tc>
          <w:tcPr>
            <w:tcW w:w="2055" w:type="pct"/>
            <w:shd w:val="clear" w:color="000000" w:fill="FFFFFF"/>
            <w:vAlign w:val="center"/>
          </w:tcPr>
          <w:p w14:paraId="48A41C59">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实际完成率=（实际产出数/计划产出数）×100%。</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计划产出数：项目绩效目标确定的在一定时期（本年度或项目期）内计划产出的产品或提供的服务数量。</w:t>
            </w:r>
          </w:p>
        </w:tc>
        <w:tc>
          <w:tcPr>
            <w:tcW w:w="512" w:type="pct"/>
            <w:shd w:val="clear" w:color="000000" w:fill="FFFFFF"/>
            <w:vAlign w:val="center"/>
          </w:tcPr>
          <w:p w14:paraId="0A06EAE2">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538" w:type="pct"/>
            <w:shd w:val="clear" w:color="000000" w:fill="FFFFFF"/>
            <w:vAlign w:val="center"/>
          </w:tcPr>
          <w:p w14:paraId="7F5B302D">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10</w:t>
            </w:r>
          </w:p>
        </w:tc>
      </w:tr>
      <w:tr w14:paraId="33654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14:paraId="5AB4306F">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shd w:val="clear" w:color="auto" w:fill="FFFFFF"/>
            <w:vAlign w:val="center"/>
          </w:tcPr>
          <w:p w14:paraId="472CC2EA">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产出质量</w:t>
            </w:r>
          </w:p>
        </w:tc>
        <w:tc>
          <w:tcPr>
            <w:tcW w:w="422" w:type="pct"/>
            <w:shd w:val="clear" w:color="auto" w:fill="FFFFFF"/>
            <w:vAlign w:val="center"/>
          </w:tcPr>
          <w:p w14:paraId="308D3DC2">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质量达标率</w:t>
            </w:r>
          </w:p>
        </w:tc>
        <w:tc>
          <w:tcPr>
            <w:tcW w:w="680" w:type="pct"/>
            <w:shd w:val="clear" w:color="000000" w:fill="FFFFFF"/>
            <w:vAlign w:val="center"/>
          </w:tcPr>
          <w:p w14:paraId="73035951">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项目完成的质量达标产出数与实际产出数的比率，用以反映和考核项目产出质量目标的实现程度。</w:t>
            </w:r>
          </w:p>
        </w:tc>
        <w:tc>
          <w:tcPr>
            <w:tcW w:w="2055" w:type="pct"/>
            <w:shd w:val="clear" w:color="000000" w:fill="FFFFFF"/>
            <w:vAlign w:val="center"/>
          </w:tcPr>
          <w:p w14:paraId="031D7831">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质量达标率=（质量达标产出数/实际产出数）×100%。</w:t>
            </w:r>
          </w:p>
          <w:p w14:paraId="7C592EF8">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DFE3D66">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538" w:type="pct"/>
            <w:shd w:val="clear" w:color="000000" w:fill="FFFFFF"/>
            <w:vAlign w:val="center"/>
          </w:tcPr>
          <w:p w14:paraId="76AF9561">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bookmarkStart w:id="7" w:name="OLE_LINK5"/>
            <w:r>
              <w:rPr>
                <w:rFonts w:hint="eastAsia" w:eastAsia="仿宋_GB2312" w:cs="Times New Roman"/>
                <w:b/>
                <w:bCs/>
                <w:color w:val="auto"/>
                <w:kern w:val="0"/>
                <w:sz w:val="18"/>
                <w:szCs w:val="18"/>
                <w:highlight w:val="none"/>
                <w:lang w:val="en-US" w:eastAsia="zh-CN"/>
              </w:rPr>
              <w:t>9.69</w:t>
            </w:r>
            <w:bookmarkEnd w:id="7"/>
          </w:p>
        </w:tc>
      </w:tr>
      <w:tr w14:paraId="0D1A34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14:paraId="646178DA">
            <w:pPr>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shd w:val="clear" w:color="auto" w:fill="FFFFFF"/>
            <w:vAlign w:val="center"/>
          </w:tcPr>
          <w:p w14:paraId="4CB12FC7">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产出时效</w:t>
            </w:r>
          </w:p>
        </w:tc>
        <w:tc>
          <w:tcPr>
            <w:tcW w:w="422" w:type="pct"/>
            <w:shd w:val="clear" w:color="auto" w:fill="FFFFFF"/>
            <w:vAlign w:val="center"/>
          </w:tcPr>
          <w:p w14:paraId="128BE944">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完成及时性</w:t>
            </w:r>
          </w:p>
        </w:tc>
        <w:tc>
          <w:tcPr>
            <w:tcW w:w="680" w:type="pct"/>
            <w:shd w:val="clear" w:color="000000" w:fill="FFFFFF"/>
            <w:vAlign w:val="center"/>
          </w:tcPr>
          <w:p w14:paraId="595DC9A1">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项目实际完成时间与计划完成时间的比较，用以反映和考核项目产出时效目标的实现程度。</w:t>
            </w:r>
          </w:p>
        </w:tc>
        <w:tc>
          <w:tcPr>
            <w:tcW w:w="2055" w:type="pct"/>
            <w:shd w:val="clear" w:color="000000" w:fill="FFFFFF"/>
            <w:vAlign w:val="center"/>
          </w:tcPr>
          <w:p w14:paraId="114B8281">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实际完成时间：项目实施单位完成该项目实际所耗用的时间。</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计划完成时间：按照项目实施计划或相关规定完成该项目所需的时间。</w:t>
            </w:r>
          </w:p>
        </w:tc>
        <w:tc>
          <w:tcPr>
            <w:tcW w:w="512" w:type="pct"/>
            <w:shd w:val="clear" w:color="000000" w:fill="FFFFFF"/>
            <w:vAlign w:val="center"/>
          </w:tcPr>
          <w:p w14:paraId="3BBF7CA1">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538" w:type="pct"/>
            <w:shd w:val="clear" w:color="000000" w:fill="FFFFFF"/>
            <w:vAlign w:val="center"/>
          </w:tcPr>
          <w:p w14:paraId="3C1FD0BF">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9.69</w:t>
            </w:r>
          </w:p>
        </w:tc>
      </w:tr>
      <w:tr w14:paraId="74973B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5E00A665">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shd w:val="clear" w:color="auto" w:fill="FFFFFF"/>
            <w:vAlign w:val="center"/>
          </w:tcPr>
          <w:p w14:paraId="7C575BC6">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产出成本</w:t>
            </w:r>
          </w:p>
        </w:tc>
        <w:tc>
          <w:tcPr>
            <w:tcW w:w="422" w:type="pct"/>
            <w:shd w:val="clear" w:color="auto" w:fill="FFFFFF"/>
            <w:vAlign w:val="center"/>
          </w:tcPr>
          <w:p w14:paraId="79F78C81">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成本节约率</w:t>
            </w:r>
          </w:p>
        </w:tc>
        <w:tc>
          <w:tcPr>
            <w:tcW w:w="680" w:type="pct"/>
            <w:shd w:val="clear" w:color="000000" w:fill="FFFFFF"/>
            <w:vAlign w:val="center"/>
          </w:tcPr>
          <w:p w14:paraId="3E4276C7">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完成项目计划工作目标的实际节约成本与计划成本的比率，用以反映和考核项目的成本节约程度。</w:t>
            </w:r>
          </w:p>
        </w:tc>
        <w:tc>
          <w:tcPr>
            <w:tcW w:w="2055" w:type="pct"/>
            <w:shd w:val="clear" w:color="000000" w:fill="FFFFFF"/>
            <w:vAlign w:val="center"/>
          </w:tcPr>
          <w:p w14:paraId="2A4B8EB8">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成本节约率=[（计划成本-实际成本）/计划成本]×100%。</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计划成本：项目实施单位为完成工作目标计划安排的支出，一般以项目预算为参考。</w:t>
            </w:r>
          </w:p>
        </w:tc>
        <w:tc>
          <w:tcPr>
            <w:tcW w:w="512" w:type="pct"/>
            <w:shd w:val="clear" w:color="000000" w:fill="FFFFFF"/>
            <w:vAlign w:val="center"/>
          </w:tcPr>
          <w:p w14:paraId="03B35A83">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538" w:type="pct"/>
            <w:shd w:val="clear" w:color="000000" w:fill="FFFFFF"/>
            <w:vAlign w:val="center"/>
          </w:tcPr>
          <w:p w14:paraId="7A3DF45D">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9.69</w:t>
            </w:r>
          </w:p>
        </w:tc>
      </w:tr>
      <w:tr w14:paraId="3D5A22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14:paraId="0D44A1AF">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效益　</w:t>
            </w:r>
          </w:p>
        </w:tc>
        <w:tc>
          <w:tcPr>
            <w:tcW w:w="394" w:type="pct"/>
            <w:vMerge w:val="restart"/>
            <w:shd w:val="clear" w:color="auto" w:fill="FFFFFF"/>
            <w:vAlign w:val="center"/>
          </w:tcPr>
          <w:p w14:paraId="77C4BF1F">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项目效益　</w:t>
            </w:r>
          </w:p>
        </w:tc>
        <w:tc>
          <w:tcPr>
            <w:tcW w:w="422" w:type="pct"/>
            <w:shd w:val="clear" w:color="auto" w:fill="FFFFFF"/>
            <w:vAlign w:val="center"/>
          </w:tcPr>
          <w:p w14:paraId="6F2E3D59">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实施效益</w:t>
            </w:r>
          </w:p>
        </w:tc>
        <w:tc>
          <w:tcPr>
            <w:tcW w:w="680" w:type="pct"/>
            <w:shd w:val="clear" w:color="auto" w:fill="FFFFFF"/>
            <w:vAlign w:val="center"/>
          </w:tcPr>
          <w:p w14:paraId="073E2C39">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项目实施所产生的效益。</w:t>
            </w:r>
          </w:p>
        </w:tc>
        <w:tc>
          <w:tcPr>
            <w:tcW w:w="2055" w:type="pct"/>
            <w:shd w:val="clear" w:color="auto" w:fill="FFFFFF"/>
            <w:vAlign w:val="center"/>
          </w:tcPr>
          <w:p w14:paraId="149DC9C0">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项目实施所产生的社会效益、经济效益、生态效益、可持续影响等。可根据项目实际情况有选择地设置和细化。</w:t>
            </w:r>
          </w:p>
        </w:tc>
        <w:tc>
          <w:tcPr>
            <w:tcW w:w="512" w:type="pct"/>
            <w:shd w:val="clear" w:color="auto" w:fill="FFFFFF"/>
            <w:vAlign w:val="center"/>
          </w:tcPr>
          <w:p w14:paraId="0DF3BE5B">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538" w:type="pct"/>
            <w:shd w:val="clear" w:color="auto" w:fill="FFFFFF"/>
            <w:vAlign w:val="center"/>
          </w:tcPr>
          <w:p w14:paraId="72D97FDF">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9.69</w:t>
            </w:r>
          </w:p>
        </w:tc>
      </w:tr>
      <w:tr w14:paraId="6BC8BA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14:paraId="66D44537">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394" w:type="pct"/>
            <w:vMerge w:val="continue"/>
            <w:shd w:val="clear" w:color="auto" w:fill="FFFFFF"/>
            <w:vAlign w:val="center"/>
          </w:tcPr>
          <w:p w14:paraId="6DAB2E92">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422" w:type="pct"/>
            <w:shd w:val="clear" w:color="auto" w:fill="FFFFFF"/>
            <w:vAlign w:val="center"/>
          </w:tcPr>
          <w:p w14:paraId="2BBBB62E">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满意度</w:t>
            </w:r>
          </w:p>
        </w:tc>
        <w:tc>
          <w:tcPr>
            <w:tcW w:w="680" w:type="pct"/>
            <w:shd w:val="clear" w:color="000000" w:fill="FFFFFF"/>
            <w:vAlign w:val="center"/>
          </w:tcPr>
          <w:p w14:paraId="487DA9DA">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社会公众或服务对象对项目实施效果的满意程度。</w:t>
            </w:r>
          </w:p>
        </w:tc>
        <w:tc>
          <w:tcPr>
            <w:tcW w:w="2055" w:type="pct"/>
            <w:shd w:val="clear" w:color="000000" w:fill="FFFFFF"/>
            <w:vAlign w:val="center"/>
          </w:tcPr>
          <w:p w14:paraId="5CCE8451">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社会公众或服务对象是指因该项目实施而受到影响的部门（单位）、群体或个人。一般采取社会调查的方式。</w:t>
            </w:r>
          </w:p>
        </w:tc>
        <w:tc>
          <w:tcPr>
            <w:tcW w:w="512" w:type="pct"/>
            <w:shd w:val="clear" w:color="000000" w:fill="FFFFFF"/>
            <w:vAlign w:val="center"/>
          </w:tcPr>
          <w:p w14:paraId="11F03CE6">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538" w:type="pct"/>
            <w:shd w:val="clear" w:color="000000" w:fill="FFFFFF"/>
            <w:vAlign w:val="center"/>
          </w:tcPr>
          <w:p w14:paraId="08F2D331">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10</w:t>
            </w:r>
          </w:p>
        </w:tc>
      </w:tr>
    </w:tbl>
    <w:p w14:paraId="1EB548C3">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478BEC3D">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1C3624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14:paraId="4AB6B08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14:paraId="1DDEF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A8AE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8478AE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延续项目-塔里木乙烷制乙烯二期占用林地资源各项费用</w:t>
            </w:r>
          </w:p>
        </w:tc>
      </w:tr>
      <w:tr w14:paraId="14C1F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52776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35D555">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库尔勒上库高新技术产业开发区管理委员会</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D64D3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F30E9A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库尔勒上库高新技术产业开发区管理委员会</w:t>
            </w:r>
          </w:p>
        </w:tc>
      </w:tr>
      <w:tr w14:paraId="1B1CE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7602C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E0A49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36D9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012C7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3BFC4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052A6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1DFF9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0814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14:paraId="441CB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E1692">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78141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FD55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2224.01</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51A8D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2224.01</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59374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2154.58</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8636A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916412">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96.88%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36E3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9.22</w:t>
            </w:r>
          </w:p>
        </w:tc>
      </w:tr>
      <w:tr w14:paraId="1373C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AEC91">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9AED1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8C52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2224.01</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F4B1F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2224.01</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2F68A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2154.58</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FAB664">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F13F01">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8BF19">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r>
      <w:tr w14:paraId="481CA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E1B19">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14:paraId="259E495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14:paraId="586E534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14:paraId="383EF68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14:paraId="7EBC4B9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0.00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F33FB">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683850">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8140B">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r>
      <w:tr w14:paraId="28E27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CFF46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2A808D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0C2B6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14:paraId="58989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E23E2C">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14:paraId="626245D6">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eastAsia" w:ascii="仿宋_GB2312" w:hAnsi="仿宋_GB2312" w:eastAsia="仿宋_GB2312" w:cs="仿宋_GB2312"/>
                <w:i w:val="0"/>
                <w:iCs w:val="0"/>
                <w:color w:val="000000"/>
                <w:sz w:val="16"/>
                <w:szCs w:val="16"/>
                <w:u w:val="none"/>
              </w:rPr>
            </w:pPr>
            <w:r>
              <w:rPr>
                <w:rFonts w:hint="eastAsia" w:ascii="仿宋_GB2312" w:hAnsi="仿宋_GB2312" w:eastAsia="仿宋_GB2312" w:cs="仿宋_GB2312"/>
                <w:i w:val="0"/>
                <w:iCs w:val="0"/>
                <w:color w:val="000000"/>
                <w:sz w:val="18"/>
                <w:szCs w:val="18"/>
                <w:u w:val="none"/>
              </w:rPr>
              <w:t>目标一：完成库尔勒上库高新技术产业开发区组织实施园区规划2023年第三批建设用地项目，使用林地面积68.8913公顷，使用林地数量6个小班。目标二：增加当地税收收入2224.01万元。</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DC84845">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eastAsia" w:ascii="仿宋_GB2312" w:hAnsi="仿宋_GB2312" w:eastAsia="仿宋_GB2312" w:cs="仿宋_GB2312"/>
                <w:i w:val="0"/>
                <w:iCs w:val="0"/>
                <w:color w:val="000000"/>
                <w:sz w:val="16"/>
                <w:szCs w:val="16"/>
                <w:u w:val="none"/>
              </w:rPr>
            </w:pPr>
            <w:r>
              <w:rPr>
                <w:rFonts w:hint="eastAsia" w:ascii="仿宋_GB2312" w:hAnsi="仿宋_GB2312" w:eastAsia="仿宋_GB2312" w:cs="仿宋_GB2312"/>
                <w:i w:val="0"/>
                <w:iCs w:val="0"/>
                <w:color w:val="000000"/>
                <w:sz w:val="18"/>
                <w:szCs w:val="18"/>
                <w:u w:val="none"/>
              </w:rPr>
              <w:t>完成库尔勒上库高新技术产业开发区组织实施园区规划2023年第三批建设用地项目，使用林地面积68.8913公顷，使用林地数量6个小班。增加当地税收收入2154.58万元。</w:t>
            </w:r>
          </w:p>
        </w:tc>
      </w:tr>
      <w:tr w14:paraId="29DC3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B0AB90">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2EF7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96B0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0DDE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CB83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0BCC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D1C0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888D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4A0D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9F03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3EE6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5CFE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0352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D598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14:paraId="15FDE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9C5ED">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F211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14:paraId="0E91A9C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14:paraId="66466406">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使用林地面积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193C">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=68.89公顷</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BEDCD">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E73EB">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6A34B">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E548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421D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01B1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=68.89公顷</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2996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4C67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700F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r>
      <w:tr w14:paraId="520E1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54817">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14:paraId="0232077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14:paraId="7BE8A9D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14:paraId="0B6747B9">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使用林地数量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A19CD">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=6个小班</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C98F5">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038A6">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FE5DA">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D0C8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68A1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A899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=6个小班</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3ACE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23BC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B239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r>
      <w:tr w14:paraId="381C0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729B7">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209B8">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8F19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C81C">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资金使用合规率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E39DF">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45485">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7BFD">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9B15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3A29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4B49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653F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=96.88%</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D864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96.88%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11409">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kern w:val="0"/>
                <w:sz w:val="18"/>
                <w:szCs w:val="18"/>
                <w:u w:val="none"/>
                <w:lang w:val="en-US" w:eastAsia="zh-CN" w:bidi="ar"/>
              </w:rPr>
              <w:t>9.22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26784">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偏差原因：项目总成本降低，导致资金支付减少，下一步项目精准预算。</w:t>
            </w:r>
          </w:p>
        </w:tc>
      </w:tr>
      <w:tr w14:paraId="5F690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AADAC">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D8597">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14:paraId="223D9AF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CA445">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资金支付及时率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80BA2">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4995">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9E3F4">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CF0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DCF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1B17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B40F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=96.88%</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E5E1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96.88%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6F0BD">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kern w:val="0"/>
                <w:sz w:val="18"/>
                <w:szCs w:val="18"/>
                <w:u w:val="none"/>
                <w:lang w:val="en-US" w:eastAsia="zh-CN" w:bidi="ar"/>
              </w:rPr>
              <w:t>9.22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0161C">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偏差原因：项目总成本降低，导致资金支付减少，下一步项</w:t>
            </w:r>
            <w:bookmarkStart w:id="8" w:name="_GoBack"/>
            <w:bookmarkEnd w:id="8"/>
            <w:r>
              <w:rPr>
                <w:rFonts w:hint="eastAsia" w:ascii="仿宋_GB2312" w:hAnsi="仿宋_GB2312" w:eastAsia="仿宋_GB2312" w:cs="仿宋_GB2312"/>
                <w:i w:val="0"/>
                <w:iCs w:val="0"/>
                <w:color w:val="000000"/>
                <w:sz w:val="18"/>
                <w:szCs w:val="18"/>
                <w:u w:val="none"/>
                <w:lang w:val="en-US" w:eastAsia="zh-CN"/>
              </w:rPr>
              <w:t>目精准预算。</w:t>
            </w:r>
          </w:p>
        </w:tc>
      </w:tr>
      <w:tr w14:paraId="6054A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73644">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4FBB1">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14:paraId="7866CA6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B0E38">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林地补偿费用成本</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249FD">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&lt;=2224.01万元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14:paraId="08826261">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31224">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9D47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20</w:t>
            </w:r>
          </w:p>
        </w:tc>
        <w:tc>
          <w:tcPr>
            <w:tcW w:w="882" w:type="dxa"/>
            <w:tcBorders>
              <w:top w:val="single" w:color="000000" w:sz="4" w:space="0"/>
              <w:left w:val="single" w:color="000000" w:sz="4" w:space="0"/>
              <w:bottom w:val="nil"/>
              <w:right w:val="single" w:color="000000" w:sz="4" w:space="0"/>
            </w:tcBorders>
            <w:shd w:val="clear" w:color="auto" w:fill="auto"/>
            <w:vAlign w:val="center"/>
          </w:tcPr>
          <w:p w14:paraId="5C9E8BA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3C8B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1A12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=2154.58万元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982B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96.88%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A65EE">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kern w:val="0"/>
                <w:sz w:val="18"/>
                <w:szCs w:val="18"/>
                <w:u w:val="none"/>
                <w:lang w:val="en-US" w:eastAsia="zh-CN" w:bidi="ar"/>
              </w:rPr>
              <w:t>18.44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761D1">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偏差原因：项目总成本降低，导致资金支付减少，下一步项目精准预算。</w:t>
            </w:r>
          </w:p>
        </w:tc>
      </w:tr>
      <w:tr w14:paraId="4D626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B5304">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D54DB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4E99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B77F7">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F2A25">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D5EAA">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68B0E">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96FCC">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6B698">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7D13D">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89A3A">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D67CC">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2DA469">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B3C68">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eastAsia" w:ascii="仿宋_GB2312" w:hAnsi="仿宋_GB2312" w:eastAsia="仿宋_GB2312" w:cs="仿宋_GB2312"/>
                <w:i w:val="0"/>
                <w:iCs w:val="0"/>
                <w:color w:val="000000"/>
                <w:sz w:val="18"/>
                <w:szCs w:val="18"/>
                <w:u w:val="none"/>
              </w:rPr>
            </w:pPr>
          </w:p>
        </w:tc>
      </w:tr>
      <w:tr w14:paraId="07E34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BA30A">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69B0EF">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AAEA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5587F">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增加当地税收收入</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6CB62">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&lt;=2224.01万元</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8E899">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9F0D3">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DB8B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20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AB7E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93E4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AC90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=2154.58万元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1C59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96.88%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2FC21">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kern w:val="0"/>
                <w:sz w:val="18"/>
                <w:szCs w:val="18"/>
                <w:u w:val="none"/>
                <w:lang w:val="en-US" w:eastAsia="zh-CN" w:bidi="ar"/>
              </w:rPr>
              <w:t>18.44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07A32">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偏差原因：项目总成本降低，导致资金支付减少，下一步项目精准预算。</w:t>
            </w:r>
          </w:p>
        </w:tc>
      </w:tr>
      <w:tr w14:paraId="023B9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5C584">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3E8B3">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5735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A3431">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2ADAC">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BD37F">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D6645">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D60BC">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E728E">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A52CE">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A9302">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6108B">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9341E">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16649">
            <w:pPr>
              <w:jc w:val="center"/>
              <w:rPr>
                <w:rFonts w:hint="eastAsia" w:ascii="仿宋_GB2312" w:hAnsi="仿宋_GB2312" w:eastAsia="仿宋_GB2312" w:cs="仿宋_GB2312"/>
                <w:i w:val="0"/>
                <w:iCs w:val="0"/>
                <w:color w:val="000000"/>
                <w:sz w:val="18"/>
                <w:szCs w:val="18"/>
                <w:u w:val="none"/>
              </w:rPr>
            </w:pPr>
          </w:p>
        </w:tc>
      </w:tr>
      <w:tr w14:paraId="65363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3D52A">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0B63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9804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5195F">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企业满意度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74E36">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185B8">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B59F4">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40BA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9722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76AB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7426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F05F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53CE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07E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r>
      <w:tr w14:paraId="47E29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14:paraId="53DCC54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05B05">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14:paraId="13ABA811">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74098">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F12B5">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4F7ED">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683B1">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04F37">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6A143">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70520">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94.54</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22970">
            <w:pPr>
              <w:rPr>
                <w:rFonts w:hint="eastAsia" w:ascii="仿宋_GB2312" w:hAnsi="仿宋_GB2312" w:eastAsia="仿宋_GB2312" w:cs="仿宋_GB2312"/>
                <w:i w:val="0"/>
                <w:iCs w:val="0"/>
                <w:color w:val="000000"/>
                <w:sz w:val="18"/>
                <w:szCs w:val="18"/>
                <w:u w:val="none"/>
              </w:rPr>
            </w:pPr>
          </w:p>
        </w:tc>
      </w:tr>
    </w:tbl>
    <w:p w14:paraId="685EA285">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1583D96F">
        <w:pPr>
          <w:pStyle w:val="8"/>
          <w:jc w:val="center"/>
        </w:pPr>
        <w:r>
          <w:fldChar w:fldCharType="begin"/>
        </w:r>
        <w:r>
          <w:instrText xml:space="preserve">PAGE   \* MERGEFORMAT</w:instrText>
        </w:r>
        <w:r>
          <w:fldChar w:fldCharType="separate"/>
        </w:r>
        <w:r>
          <w:rPr>
            <w:lang w:val="zh-CN"/>
          </w:rPr>
          <w:t>13</w:t>
        </w:r>
        <w:r>
          <w:fldChar w:fldCharType="end"/>
        </w:r>
      </w:p>
    </w:sdtContent>
  </w:sdt>
  <w:p w14:paraId="6BE99123">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hMjhiOGU2NTFmZDhhZGQxNGU1YTAxNmJiOGIxZTkifQ=="/>
  </w:docVars>
  <w:rsids>
    <w:rsidRoot w:val="FF6C4049"/>
    <w:rsid w:val="006F7242"/>
    <w:rsid w:val="007B168A"/>
    <w:rsid w:val="008B2CFE"/>
    <w:rsid w:val="00F26FF6"/>
    <w:rsid w:val="01610122"/>
    <w:rsid w:val="02510197"/>
    <w:rsid w:val="03EC461B"/>
    <w:rsid w:val="0461077D"/>
    <w:rsid w:val="07397B77"/>
    <w:rsid w:val="0978425B"/>
    <w:rsid w:val="09BA6975"/>
    <w:rsid w:val="0A5C5108"/>
    <w:rsid w:val="0AD007F3"/>
    <w:rsid w:val="0C5C1C12"/>
    <w:rsid w:val="0E3C619F"/>
    <w:rsid w:val="100F38EC"/>
    <w:rsid w:val="106003CE"/>
    <w:rsid w:val="11170296"/>
    <w:rsid w:val="12C66037"/>
    <w:rsid w:val="12CD1ABC"/>
    <w:rsid w:val="13471461"/>
    <w:rsid w:val="138F3C22"/>
    <w:rsid w:val="13B90F01"/>
    <w:rsid w:val="155E4C4D"/>
    <w:rsid w:val="181066D2"/>
    <w:rsid w:val="1A5E0D5D"/>
    <w:rsid w:val="1B9D4213"/>
    <w:rsid w:val="1C671E73"/>
    <w:rsid w:val="1D322C47"/>
    <w:rsid w:val="21865714"/>
    <w:rsid w:val="23616034"/>
    <w:rsid w:val="23696C97"/>
    <w:rsid w:val="24480FA2"/>
    <w:rsid w:val="25227A45"/>
    <w:rsid w:val="26AC3A6A"/>
    <w:rsid w:val="273B6B9C"/>
    <w:rsid w:val="2A5F51E9"/>
    <w:rsid w:val="2B9D7E25"/>
    <w:rsid w:val="2C7C7A3B"/>
    <w:rsid w:val="2E1E1AE7"/>
    <w:rsid w:val="2F364819"/>
    <w:rsid w:val="2FD63906"/>
    <w:rsid w:val="3398521A"/>
    <w:rsid w:val="33DF2DA8"/>
    <w:rsid w:val="36BC518A"/>
    <w:rsid w:val="37022309"/>
    <w:rsid w:val="37215DAE"/>
    <w:rsid w:val="38CA40DD"/>
    <w:rsid w:val="395F2B56"/>
    <w:rsid w:val="3A173F16"/>
    <w:rsid w:val="3A415021"/>
    <w:rsid w:val="3BBA0580"/>
    <w:rsid w:val="3BECE841"/>
    <w:rsid w:val="3C05696C"/>
    <w:rsid w:val="3C145EE2"/>
    <w:rsid w:val="3CDE204C"/>
    <w:rsid w:val="3D096047"/>
    <w:rsid w:val="3D363C36"/>
    <w:rsid w:val="3E9C3F6D"/>
    <w:rsid w:val="3EA43358"/>
    <w:rsid w:val="3F3C719B"/>
    <w:rsid w:val="3FF7797D"/>
    <w:rsid w:val="41DC205F"/>
    <w:rsid w:val="46690BD8"/>
    <w:rsid w:val="46773257"/>
    <w:rsid w:val="482F6CBF"/>
    <w:rsid w:val="489A4E2B"/>
    <w:rsid w:val="49F70BF1"/>
    <w:rsid w:val="4B4340EE"/>
    <w:rsid w:val="4F5F1347"/>
    <w:rsid w:val="503D507A"/>
    <w:rsid w:val="51FA74D0"/>
    <w:rsid w:val="522B4CDD"/>
    <w:rsid w:val="52AA4A52"/>
    <w:rsid w:val="583A643D"/>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3683D26"/>
    <w:rsid w:val="642B176B"/>
    <w:rsid w:val="643EE26D"/>
    <w:rsid w:val="656019A0"/>
    <w:rsid w:val="65F242EE"/>
    <w:rsid w:val="666D7E19"/>
    <w:rsid w:val="68376930"/>
    <w:rsid w:val="68F91E38"/>
    <w:rsid w:val="69E80182"/>
    <w:rsid w:val="6B3158B9"/>
    <w:rsid w:val="6BA02A3F"/>
    <w:rsid w:val="6C1E5A53"/>
    <w:rsid w:val="6F5C41AC"/>
    <w:rsid w:val="6FAF6C78"/>
    <w:rsid w:val="716167CC"/>
    <w:rsid w:val="718A7AD1"/>
    <w:rsid w:val="72A44BC2"/>
    <w:rsid w:val="7317C656"/>
    <w:rsid w:val="734ED73F"/>
    <w:rsid w:val="73C82B32"/>
    <w:rsid w:val="73F94DAE"/>
    <w:rsid w:val="74220495"/>
    <w:rsid w:val="747D1B6F"/>
    <w:rsid w:val="749E5641"/>
    <w:rsid w:val="75ED73EC"/>
    <w:rsid w:val="76271066"/>
    <w:rsid w:val="77FD8BE9"/>
    <w:rsid w:val="78000AED"/>
    <w:rsid w:val="79A9BD3F"/>
    <w:rsid w:val="7B776F12"/>
    <w:rsid w:val="7BFFFDD0"/>
    <w:rsid w:val="7C336E5F"/>
    <w:rsid w:val="7C8D4919"/>
    <w:rsid w:val="7D7A5F86"/>
    <w:rsid w:val="7DA20FA0"/>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snapToGrid w:val="0"/>
      <w:spacing w:line="360" w:lineRule="auto"/>
      <w:ind w:firstLine="550"/>
    </w:pPr>
    <w:rPr>
      <w:snapToGrid w:val="0"/>
      <w:spacing w:val="6"/>
      <w:sz w:val="24"/>
      <w:szCs w:val="20"/>
    </w:r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10255</Words>
  <Characters>10725</Characters>
  <Lines>58</Lines>
  <Paragraphs>16</Paragraphs>
  <TotalTime>10</TotalTime>
  <ScaleCrop>false</ScaleCrop>
  <LinksUpToDate>false</LinksUpToDate>
  <CharactersWithSpaces>10731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杜玮</cp:lastModifiedBy>
  <cp:lastPrinted>2025-04-09T03:43:00Z</cp:lastPrinted>
  <dcterms:modified xsi:type="dcterms:W3CDTF">2025-08-13T07:35:07Z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D8BE3353A00E4203A455C6D9F3F4C61E_13</vt:lpwstr>
  </property>
  <property fmtid="{D5CDD505-2E9C-101B-9397-08002B2CF9AE}" pid="4" name="KSOTemplateDocerSaveRecord">
    <vt:lpwstr>eyJoZGlkIjoiMjA1OTA0MGZiYzcxOTcyZTFkYjMxMmU5MmJlMDUwODEiLCJ1c2VySWQiOiIzMDcyMjI5NDQifQ==</vt:lpwstr>
  </property>
</Properties>
</file>