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sz w:val="44"/>
          <w:szCs w:val="44"/>
        </w:rPr>
        <w:t>库尔勒上库高新技术产业开发区管理委员会</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hint="eastAsia" w:ascii="方正小标宋_GBK" w:hAnsi="方正小标宋_GBK" w:eastAsia="方正小标宋_GBK" w:cs="方正小标宋_GBK"/>
          <w:b w:val="0"/>
          <w:sz w:val="44"/>
          <w:szCs w:val="44"/>
        </w:rPr>
      </w:pPr>
      <w:r>
        <w:rPr>
          <w:rFonts w:hint="eastAsia" w:ascii="方正小标宋_GBK" w:hAnsi="方正小标宋_GBK" w:eastAsia="方正小标宋_GBK" w:cs="方正小标宋_GBK"/>
          <w:b w:val="0"/>
          <w:sz w:val="44"/>
          <w:szCs w:val="44"/>
        </w:rPr>
        <w:t>2024年度部门决算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sz w:val="44"/>
          <w:szCs w:val="44"/>
        </w:rPr>
        <w:t>公开说明</w:t>
      </w:r>
    </w:p>
    <w:p>
      <w:pPr>
        <w:widowControl/>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b w:val="0"/>
          <w:sz w:val="44"/>
          <w:szCs w:val="44"/>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（1）贯彻执行党的路线、方针、政策和上级党委、人民政府的决策部署。</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（2）行使国家、自治区、自治州和库尔勒市赋予园区的经济管理和审批权限。</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（3）制定园区总体规划和各专项发展规划，并组织实施。</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（4）负责园区招商引资工作，按规定权限审批、审定申报各类投资项目。</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eastAsia"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（5）负责园区规划建设和基础设施、公共设施建设管理</w:t>
      </w:r>
      <w:r>
        <w:rPr>
          <w:rFonts w:hint="eastAsia" w:ascii="Times New Roman" w:hAnsi="Times New Roman" w:eastAsia="仿宋_GB2312" w:cs="Times New Roman"/>
          <w:color w:val="000000"/>
          <w:kern w:val="2"/>
          <w:sz w:val="32"/>
          <w:szCs w:val="32"/>
          <w:highlight w:val="none"/>
          <w:lang w:eastAsia="zh-CN"/>
        </w:rPr>
        <w:t>。</w:t>
      </w:r>
      <w:r>
        <w:rPr>
          <w:rFonts w:hint="default" w:ascii="Times New Roman" w:hAnsi="Times New Roman" w:eastAsia="仿宋_GB2312" w:cs="Times New Roman"/>
          <w:color w:val="000000"/>
          <w:kern w:val="2"/>
          <w:sz w:val="32"/>
          <w:szCs w:val="32"/>
          <w:highlight w:val="none"/>
          <w:lang w:eastAsia="zh-CN"/>
        </w:rPr>
        <w:t>（6）负责园区财务管理、国有资产管理和投融资工作</w:t>
      </w:r>
      <w:r>
        <w:rPr>
          <w:rFonts w:hint="eastAsia" w:ascii="Times New Roman" w:hAnsi="Times New Roman" w:eastAsia="仿宋_GB2312" w:cs="Times New Roman"/>
          <w:color w:val="000000"/>
          <w:kern w:val="2"/>
          <w:sz w:val="32"/>
          <w:szCs w:val="32"/>
          <w:highlight w:val="none"/>
          <w:lang w:eastAsia="zh-CN"/>
        </w:rPr>
        <w:t>。</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eastAsia"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（7）负责园区干部管理、机构编制、人力资源和社会保障工作</w:t>
      </w:r>
      <w:r>
        <w:rPr>
          <w:rFonts w:hint="eastAsia" w:ascii="Times New Roman" w:hAnsi="Times New Roman" w:eastAsia="仿宋_GB2312" w:cs="Times New Roman"/>
          <w:color w:val="000000"/>
          <w:kern w:val="2"/>
          <w:sz w:val="32"/>
          <w:szCs w:val="32"/>
          <w:highlight w:val="none"/>
          <w:lang w:eastAsia="zh-CN"/>
        </w:rPr>
        <w:t>。</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（8）负责园区环境保护、安全生产监督管理工作</w:t>
      </w:r>
      <w:r>
        <w:rPr>
          <w:rFonts w:hint="eastAsia" w:ascii="Times New Roman" w:hAnsi="Times New Roman" w:eastAsia="仿宋_GB2312" w:cs="Times New Roman"/>
          <w:color w:val="000000"/>
          <w:kern w:val="2"/>
          <w:sz w:val="32"/>
          <w:szCs w:val="32"/>
          <w:highlight w:val="none"/>
          <w:lang w:eastAsia="zh-CN"/>
        </w:rPr>
        <w:t>。</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eastAsia" w:ascii="Times New Roman" w:hAnsi="Times New Roman" w:eastAsia="仿宋_GB2312" w:cs="Times New Roman"/>
          <w:color w:val="000000"/>
          <w:kern w:val="2"/>
          <w:sz w:val="32"/>
          <w:szCs w:val="32"/>
          <w:highlight w:val="none"/>
          <w:lang w:val="en-US" w:eastAsia="zh-CN"/>
        </w:rPr>
      </w:pPr>
      <w:r>
        <w:rPr>
          <w:rFonts w:hint="default" w:ascii="Times New Roman" w:hAnsi="Times New Roman" w:eastAsia="仿宋_GB2312" w:cs="Times New Roman"/>
          <w:color w:val="000000"/>
          <w:kern w:val="2"/>
          <w:sz w:val="32"/>
          <w:szCs w:val="32"/>
          <w:highlight w:val="none"/>
          <w:lang w:eastAsia="zh-CN"/>
        </w:rPr>
        <w:t>（9）承担与上级相关部门的派驻机构、分支机构的联系和协调职责；履行园区相应的社会管理和社会服务职能。</w:t>
      </w:r>
      <w:r>
        <w:rPr>
          <w:rFonts w:hint="eastAsia" w:ascii="Times New Roman" w:hAnsi="Times New Roman" w:eastAsia="仿宋_GB2312" w:cs="Times New Roman"/>
          <w:color w:val="000000"/>
          <w:kern w:val="2"/>
          <w:sz w:val="32"/>
          <w:szCs w:val="32"/>
          <w:highlight w:val="none"/>
          <w:lang w:val="en-US" w:eastAsia="zh-CN"/>
        </w:rPr>
        <w:t xml:space="preserve">  </w:t>
      </w:r>
    </w:p>
    <w:p>
      <w:pPr>
        <w:keepNext w:val="0"/>
        <w:keepLines w:val="0"/>
        <w:pageBreakBefore w:val="0"/>
        <w:widowControl w:val="0"/>
        <w:kinsoku/>
        <w:wordWrap/>
        <w:overflowPunct/>
        <w:topLinePunct w:val="0"/>
        <w:bidi w:val="0"/>
        <w:adjustRightInd/>
        <w:snapToGrid/>
        <w:spacing w:after="0" w:line="240" w:lineRule="auto"/>
        <w:ind w:firstLine="640" w:firstLineChars="200"/>
        <w:jc w:val="both"/>
        <w:textAlignment w:val="auto"/>
        <w:rPr>
          <w:rFonts w:hint="default" w:ascii="Times New Roman" w:hAnsi="Times New Roman" w:eastAsia="仿宋_GB2312" w:cs="Times New Roman"/>
          <w:color w:val="000000"/>
          <w:kern w:val="2"/>
          <w:sz w:val="32"/>
          <w:szCs w:val="32"/>
          <w:highlight w:val="none"/>
          <w:lang w:eastAsia="zh-CN"/>
        </w:rPr>
      </w:pPr>
      <w:r>
        <w:rPr>
          <w:rFonts w:hint="default" w:ascii="Times New Roman" w:hAnsi="Times New Roman" w:eastAsia="仿宋_GB2312" w:cs="Times New Roman"/>
          <w:color w:val="000000"/>
          <w:kern w:val="2"/>
          <w:sz w:val="32"/>
          <w:szCs w:val="32"/>
          <w:highlight w:val="none"/>
          <w:lang w:eastAsia="zh-CN"/>
        </w:rPr>
        <w:t>（10）承办自治州党委、人民政府和库尔勒市党委、人民政府交办的其他工作。</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hint="eastAsia" w:ascii="仿宋_GB2312" w:eastAsia="仿宋_GB2312"/>
          <w:sz w:val="32"/>
          <w:szCs w:val="32"/>
          <w:lang w:eastAsia="zh-CN"/>
        </w:rPr>
      </w:pPr>
      <w:r>
        <w:rPr>
          <w:rFonts w:ascii="仿宋_GB2312" w:eastAsia="仿宋_GB2312"/>
          <w:b w:val="0"/>
          <w:sz w:val="32"/>
          <w:szCs w:val="32"/>
        </w:rPr>
        <w:t>库尔勒上库高新技术产业开发区管理委员会2024年度，实有人数59人，其中：在职人员58人，增加2人；离休人员0人，较上年无变化；退休人员1人，较上年无变化</w:t>
      </w:r>
      <w:r>
        <w:rPr>
          <w:rFonts w:hint="eastAsia" w:ascii="仿宋_GB2312" w:eastAsia="仿宋_GB2312"/>
          <w:b w:val="0"/>
          <w:sz w:val="32"/>
          <w:szCs w:val="32"/>
          <w:lang w:eastAsia="zh-CN"/>
        </w:rPr>
        <w:t>。</w:t>
      </w:r>
      <w:bookmarkStart w:id="0" w:name="_GoBack"/>
      <w:bookmarkEnd w:id="0"/>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库尔勒上库高新技术产业开发区管理委员会无下属预算单位，下设</w:t>
      </w:r>
      <w:r>
        <w:rPr>
          <w:rFonts w:hint="eastAsia" w:ascii="仿宋_GB2312" w:eastAsia="仿宋_GB2312"/>
          <w:b w:val="0"/>
          <w:sz w:val="32"/>
          <w:szCs w:val="32"/>
          <w:lang w:val="en-US" w:eastAsia="zh-CN"/>
        </w:rPr>
        <w:t>7</w:t>
      </w:r>
      <w:r>
        <w:rPr>
          <w:rFonts w:ascii="仿宋_GB2312" w:eastAsia="仿宋_GB2312"/>
          <w:b w:val="0"/>
          <w:sz w:val="32"/>
          <w:szCs w:val="32"/>
        </w:rPr>
        <w:t>个科室，分别是：党建办公室、</w:t>
      </w:r>
      <w:r>
        <w:rPr>
          <w:rFonts w:hint="eastAsia" w:ascii="仿宋_GB2312" w:eastAsia="仿宋_GB2312"/>
          <w:b w:val="0"/>
          <w:sz w:val="32"/>
          <w:szCs w:val="32"/>
          <w:lang w:val="en-US" w:eastAsia="zh-CN"/>
        </w:rPr>
        <w:t>党政</w:t>
      </w:r>
      <w:r>
        <w:rPr>
          <w:rFonts w:ascii="仿宋_GB2312" w:eastAsia="仿宋_GB2312"/>
          <w:b w:val="0"/>
          <w:sz w:val="32"/>
          <w:szCs w:val="32"/>
        </w:rPr>
        <w:t>办公室、投资促进局、应急管理局、经济发展局、社会发展局、规划建设环保局。</w:t>
      </w:r>
    </w:p>
    <w:p>
      <w:pPr>
        <w:keepNext w:val="0"/>
        <w:keepLines w:val="0"/>
        <w:pageBreakBefore w:val="0"/>
        <w:widowControl/>
        <w:kinsoku/>
        <w:wordWrap/>
        <w:overflowPunct/>
        <w:topLinePunct w:val="0"/>
        <w:autoSpaceDE/>
        <w:autoSpaceDN/>
        <w:bidi w:val="0"/>
        <w:adjustRightInd/>
        <w:snapToGrid/>
        <w:spacing w:line="240" w:lineRule="auto"/>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2024年度收入总计21,438.61万元，其中：本年收入合计21,438.61万元，使用非财政拨款结余（含专用结余）0.00万元，年初结转和结余0.00万元。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2024年度支出总计21,438.61万元，其中：本年支出合计21,438.61万元，结余分配0.00万元，年末结转和结余0.00万元。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收入支出总体与上年相比，增加7,798.03万元，增长57.17%，主要原因是：本年度加大对</w:t>
      </w:r>
      <w:r>
        <w:rPr>
          <w:rFonts w:hint="eastAsia" w:ascii="仿宋_GB2312" w:eastAsia="仿宋_GB2312"/>
          <w:b w:val="0"/>
          <w:sz w:val="32"/>
          <w:szCs w:val="32"/>
          <w:lang w:val="en-US" w:eastAsia="zh-CN"/>
        </w:rPr>
        <w:t>建设用地等</w:t>
      </w:r>
      <w:r>
        <w:rPr>
          <w:rFonts w:ascii="仿宋_GB2312" w:eastAsia="仿宋_GB2312"/>
          <w:b w:val="0"/>
          <w:sz w:val="32"/>
          <w:szCs w:val="32"/>
        </w:rPr>
        <w:t>重点项目占用耕地相关手续办理方面的资金投入力度。</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年收入21,438.61万元，其中：财政拨款收入20,095.08万元,占93.73%；上级补助收入0.00万元,占0.00%；事业收入0.00万元，占0.00%；经营收入0.00万元,占0.00%；附属单位上缴收入0.00万元，占0.00%；其他收入1,343.53万元，占6.27%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本年支出21,438.61万元，其中：基本支出903.62万元，占4.21%；项目支出20,534.98万元，占95.79%；上缴上级支出0.00万元，占0.00%；经营支出0.00万元，占0.00%；对附属单位补助支出0.00万元，占0.00%。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20,095.08万元，其中：年初财政拨款结转和结余0.00万元，本年财政拨款收入20,095.08万元。财政拨款支出总计20,095.08万元，其中：年末财政拨款结转和结余0.00万元，本年财政拨款支出20,095.08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财政拨款收入支出总体与上年相比，增加7,520.61万元，增长59.81%，主要原因是：本年度加大对</w:t>
      </w:r>
      <w:r>
        <w:rPr>
          <w:rFonts w:hint="eastAsia" w:ascii="仿宋_GB2312" w:eastAsia="仿宋_GB2312"/>
          <w:b w:val="0"/>
          <w:sz w:val="32"/>
          <w:szCs w:val="32"/>
          <w:lang w:val="en-US" w:eastAsia="zh-CN"/>
        </w:rPr>
        <w:t>建设用地等</w:t>
      </w:r>
      <w:r>
        <w:rPr>
          <w:rFonts w:ascii="仿宋_GB2312" w:eastAsia="仿宋_GB2312"/>
          <w:b w:val="0"/>
          <w:sz w:val="32"/>
          <w:szCs w:val="32"/>
        </w:rPr>
        <w:t>重点项目占用耕地相关手续办理方面的资金投入力度。与年初预算相比，年初预算数11,728.41万元，决算数20,095.08万元，预决算差异率71.34%，主要原因是：河北援疆资金及年中追加项目未列入年初预算，包括：上库高新区市政、园林、环卫养护费用项目5647.77万元</w:t>
      </w:r>
      <w:r>
        <w:rPr>
          <w:rFonts w:hint="eastAsia" w:ascii="仿宋_GB2312" w:eastAsia="仿宋_GB2312"/>
          <w:b w:val="0"/>
          <w:sz w:val="32"/>
          <w:szCs w:val="32"/>
          <w:lang w:eastAsia="zh-CN"/>
        </w:rPr>
        <w:t>，</w:t>
      </w:r>
      <w:r>
        <w:rPr>
          <w:rFonts w:hint="eastAsia" w:ascii="仿宋_GB2312" w:eastAsia="仿宋_GB2312"/>
          <w:b w:val="0"/>
          <w:sz w:val="32"/>
          <w:szCs w:val="32"/>
        </w:rPr>
        <w:t>库尔勒上库高新区2021-2023年建设用地耕地占用税</w:t>
      </w:r>
      <w:r>
        <w:rPr>
          <w:rFonts w:hint="eastAsia" w:ascii="仿宋_GB2312" w:eastAsia="仿宋_GB2312"/>
          <w:b w:val="0"/>
          <w:sz w:val="32"/>
          <w:szCs w:val="32"/>
          <w:lang w:val="en-US" w:eastAsia="zh-CN"/>
        </w:rPr>
        <w:t>3877.01万元，上库高新区基础设施项目款1109.38万元，</w:t>
      </w:r>
      <w:r>
        <w:rPr>
          <w:rFonts w:ascii="仿宋_GB2312" w:eastAsia="仿宋_GB2312"/>
          <w:b w:val="0"/>
          <w:sz w:val="32"/>
          <w:szCs w:val="32"/>
        </w:rPr>
        <w:t>自治区科技计划专项资金30万元，自治区工业节能减排专项资金50万元，上库高新区基础设施项目款1109.83万元等。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2024年度一般公共预算财政拨款支出14,139.79万元，占本年支出合计的65.95%。与上年相比，增加9,051.17万元，增长177.87%，主要原因是：本年度加大对</w:t>
      </w:r>
      <w:r>
        <w:rPr>
          <w:rFonts w:hint="eastAsia" w:ascii="仿宋_GB2312" w:eastAsia="仿宋_GB2312"/>
          <w:b w:val="0"/>
          <w:sz w:val="32"/>
          <w:szCs w:val="32"/>
          <w:lang w:val="en-US" w:eastAsia="zh-CN"/>
        </w:rPr>
        <w:t>建设用地等</w:t>
      </w:r>
      <w:r>
        <w:rPr>
          <w:rFonts w:ascii="仿宋_GB2312" w:eastAsia="仿宋_GB2312"/>
          <w:b w:val="0"/>
          <w:sz w:val="32"/>
          <w:szCs w:val="32"/>
        </w:rPr>
        <w:t>重点项目占用耕地相关手续办理方面的资金投入力度。与年初预算相比，年初预算数7,085.45万元，决算数14,139.79万元，预决算差异率99.56%，主要原因是：部分年中追加项目未列入年初预算，包括上库高新区基础设施项目款1109.83万元</w:t>
      </w:r>
      <w:r>
        <w:rPr>
          <w:rFonts w:hint="eastAsia" w:ascii="仿宋_GB2312" w:eastAsia="仿宋_GB2312"/>
          <w:b w:val="0"/>
          <w:sz w:val="32"/>
          <w:szCs w:val="32"/>
          <w:lang w:eastAsia="zh-CN"/>
        </w:rPr>
        <w:t>、</w:t>
      </w:r>
      <w:r>
        <w:rPr>
          <w:rFonts w:hint="eastAsia" w:ascii="仿宋_GB2312" w:eastAsia="仿宋_GB2312"/>
          <w:b w:val="0"/>
          <w:sz w:val="32"/>
          <w:szCs w:val="32"/>
        </w:rPr>
        <w:t>库尔勒上库高新技术产业开发区市政、环卫维护费和园林养护费</w:t>
      </w:r>
      <w:r>
        <w:rPr>
          <w:rFonts w:hint="eastAsia" w:ascii="仿宋_GB2312" w:eastAsia="仿宋_GB2312"/>
          <w:b w:val="0"/>
          <w:sz w:val="32"/>
          <w:szCs w:val="32"/>
          <w:lang w:val="en-US" w:eastAsia="zh-CN"/>
        </w:rPr>
        <w:t>5647.77万元、新疆大有镁业有限公司注册资本金969.98万元等</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一般公共服务支出（类）1,578.25万元，占11.16%。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教育支出（类）1.16万元，占0.01%。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科学技术支出（类）30.00万元，占0.21%。</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社会保障和就业支出（类）91.49万元，占0.65%。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卫生健康支出（类）41.98万元，占0.30%。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节能环保支出（类）80.80万元，占0.57%。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城乡社区支出（类）10,260.73万元，占72.57%。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资源勘探工业信息等支出（类）265.00万元，占1.87%。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住房保障支出（类）1,790.40万元，占12.66%。</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1,578.25万元，比上年决算增加887.63万元，增长128.53%，主要原因是：本年度增加了对重点项目相关手续办理的支持力度。</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教育支出（类）进修及培训（款）培训支出（项）：支出决算数为1.16万元，比上年决算减少2.78万元，下降70.56%，主要原因是：本年度我单位厉行节约开支，减少了外出培训的次数，故培训费减少。</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科学技术支出（类）技术研究与开发（款）科技成果转化与扩散（项）：支出决算数为30.00万元，比上年决算增加30.00万元，增长100.00%，主要原因是：本年度增加了对高新园区科技能力提升的资金支持。</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0.65万元，比上年决算减少0.07万元，下降9.72%，主要原因是：2023年发放了一名退休人员的一次性奖励工资，故2024年度有所下降。</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90.84万元，比上年决算增加12.57万元，增长16.06%，主要原因是：2024年度新增入职研究生2人，同时调整了在职人员工资，社保基数随之调整。</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社会保障和就业支出（类）行政事业单位养老支出（款）机关事业单位职业年金缴费支出（项）：支出决算数为0.00万元，比上年决算减少12.52万元，下降100.00%，主要原因是：2024年未安排此科目预算支出。</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社会保障和就业支出（类）就业补助（款）公益性岗位补贴（项）：支出决算数为0.00万元，比上年决算减少20.42万元，下降100.00%，主要原因是：2024年未安排此科目预算支出。</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行政事业单位医疗（款）事业单位医疗（项）：支出决算数为41.98万元，比上年决算增加6.27万元，增长17.56%，主要原因是：2024年度新增入职研究生2人，同时调整了在职人员工资，医保基数随之调整。</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节能环保支出（类）污染防治（款）大气（项）：支出决算数为30.80万元，比上年决算减少178.40万元，下降85.28%，主要原因是：目前石油石化园大气污染设备已建成，本年度减少了对环境监测方面的资金投入。</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节能环保支出（类）能源节约利用（款）能源节约利用（项）：支出决算数为50.00万元，比上年决算增加50.00万元，增长100.00%，主要原因是：本年度增加了对园区节能减排方面的资金支出。</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城乡社区公共设施（款）小城镇基础设施建设（项）：支出决算数为1,109.83万元，比上年决算增加1,109.83万元，增长100.00%，主要原因是：本年度增加园区基础设施建设方面的资金支出，持续提升园区交通运输承载能力。</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城乡社区支出（类）城乡社区公共设施（款）其他城乡社区公共设施支出（项）：支出决算数为94.43万元，比上年决算减少116.60万元，下降55.25%，主要原因是：本年度减少了对部分项目相关手续办理方面的资金。</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城乡社区环境卫生（款）城乡社区环境卫生（项）：支出决算数为5,647.77万元，比上年决算增加5,647.77万元，增长100.00%，主要原因是：本年度增加了对园区市政园区园林方面的资金投入，持续提升入园企业的满意度。</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城乡社区支出（类）其他城乡社区支出（款）其他城乡社区支出（项）：支出决算数为3,408.71万元，比上年决算减少321.44万元，下降8.62%，主要原因是：本年度减少了对部分项目相关手续办理方面的资金。</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资源勘探工业信息等支出（类）工业和信息产业监管（款）其他工业和信息产业监管支出（项）：支出决算数为200.00万元，比上年决算增加200.00万元，增长100.00%，主要原因是：本年度增加了对园区企业工业信息申报方面的资金支持力度。</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资源勘探工业信息等支出（类）支持中小企业发展和管理支出（款）中小企业发展专项（项）：支出决算数为65.00万元，比上年决算增加30.00万元，增长85.71%，主要原因是：本年度增加了对园区中小企业发展</w:t>
      </w:r>
      <w:r>
        <w:rPr>
          <w:rFonts w:hint="eastAsia" w:ascii="仿宋_GB2312" w:eastAsia="仿宋_GB2312"/>
          <w:b w:val="0"/>
          <w:sz w:val="32"/>
          <w:szCs w:val="32"/>
          <w:lang w:val="en-US" w:eastAsia="zh-CN"/>
        </w:rPr>
        <w:t>扶持</w:t>
      </w:r>
      <w:r>
        <w:rPr>
          <w:rFonts w:ascii="仿宋_GB2312" w:eastAsia="仿宋_GB2312"/>
          <w:b w:val="0"/>
          <w:sz w:val="32"/>
          <w:szCs w:val="32"/>
        </w:rPr>
        <w:t>方面的资金需求。</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保障性安居工程支出（款）保障性租赁住房（项）：支出决算数为1,720.00万元，比上年决算增加1,720.00万元，增长100.00%，主要原因是：本年度增加了对石油石化园保障性租赁住房的资金投入，满足了入园企业职工对保障性租赁租房的需求。</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住房改革支出（款）住房公积金（项）：支出决算数为70.40万元，比上年决算增加9.37万元，增长15.35%，主要原因是：2024年度新增入职研究生2人，同时调整了在职人员工资，住房公积金基数随之调整。</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903.62万元，其中：人员经费853.14万元，包括：基本工资、津贴补贴、绩效工资、机关事业单位基本养老保险缴费、职工基本医疗保险缴费、其他社会保障缴费、住房公积金、其他工资福利支出、退休费和奖励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公用经费50.48万元，包括：办公费、电费、取暖费、差旅费、培训费、工会经费和公务用车运行维护费。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2024年度政府性基金预算财政拨款收入总计5,955.28万元，其中：年初结转和结余0.00万元，本年收入5,955.28万元。政府性基金预算财政拨款支出总计5,955.28万元，其中：年末结转和结余0.00万元，本年支出5,955.28万元。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收入支出总体与上年相比，减少1,530.57万元，下降20.45%，主要原因是：目前上库高新区部分基础设施已建成，今年减少了对基础设施的资金投入力度。与年初预算相比，年初预算数4,642.96万元，决算数5,955.28万元，预决算差异率28.26%，主要原因是：部分年中追加项目未列入年初预算，包括上库高新区市政、园林、环卫养护费用项目952.23万元、解决农名工工资项目599.40万元等。</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政府性基金预算财政拨款支出5,955.28万元。</w:t>
      </w:r>
    </w:p>
    <w:p>
      <w:pPr>
        <w:keepNext w:val="0"/>
        <w:keepLines w:val="0"/>
        <w:pageBreakBefore w:val="0"/>
        <w:widowControl/>
        <w:numPr>
          <w:ilvl w:val="0"/>
          <w:numId w:val="2"/>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城乡社区支出（类）国有土地使用权出让收入安排的支出（款）城市建设支出（项）：支出决算数为0.00万元，比上年决算减少5,659.15万元，下降100.00%，主要原因是：2024年未安排此科目预算支出。</w:t>
      </w:r>
    </w:p>
    <w:p>
      <w:pPr>
        <w:keepNext w:val="0"/>
        <w:keepLines w:val="0"/>
        <w:pageBreakBefore w:val="0"/>
        <w:widowControl/>
        <w:numPr>
          <w:ilvl w:val="0"/>
          <w:numId w:val="2"/>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b w:val="0"/>
          <w:sz w:val="32"/>
          <w:szCs w:val="32"/>
        </w:rPr>
      </w:pPr>
      <w:r>
        <w:rPr>
          <w:rFonts w:ascii="仿宋_GB2312" w:eastAsia="仿宋_GB2312"/>
          <w:b w:val="0"/>
          <w:sz w:val="32"/>
          <w:szCs w:val="32"/>
        </w:rPr>
        <w:t>城乡社区支出（类）国有土地使用权出让收入安排的支出（款）农村社会事业支出（项）：支出决算数为599.40万元，比上年决算增加599.40万元，增长100.00%，主要原因是：本年度增加了对农民工工资的资金支持力度</w:t>
      </w:r>
      <w:r>
        <w:rPr>
          <w:rFonts w:hint="eastAsia" w:ascii="仿宋_GB2312" w:eastAsia="仿宋_GB2312"/>
          <w:b w:val="0"/>
          <w:sz w:val="32"/>
          <w:szCs w:val="32"/>
          <w:lang w:eastAsia="zh-CN"/>
        </w:rPr>
        <w:t>，</w:t>
      </w:r>
      <w:r>
        <w:rPr>
          <w:rFonts w:hint="default" w:ascii="仿宋_GB2312" w:eastAsia="仿宋_GB2312"/>
          <w:b w:val="0"/>
          <w:sz w:val="32"/>
          <w:szCs w:val="32"/>
        </w:rPr>
        <w:t>切实维护农民工劳动报酬权益</w:t>
      </w:r>
      <w:r>
        <w:rPr>
          <w:rFonts w:hint="eastAsia" w:ascii="仿宋_GB2312" w:eastAsia="仿宋_GB2312"/>
          <w:b w:val="0"/>
          <w:sz w:val="32"/>
          <w:szCs w:val="32"/>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4,403.65万元，比上年决算增加3,576.95万元，增长432.68%，主要原因是：本年度持续提升对上库高新区基础设施项目相关手续办理方面的支持力度</w:t>
      </w:r>
      <w:r>
        <w:rPr>
          <w:rFonts w:hint="eastAsia" w:ascii="仿宋_GB2312" w:eastAsia="仿宋_GB2312"/>
          <w:b w:val="0"/>
          <w:sz w:val="32"/>
          <w:szCs w:val="32"/>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城市基础设施配套费安排的支出（款）城市环境卫生（项）：支出决算数为952.23万元，比上年决算增加952.23万元，增长100.00%，主要原因是：本年度持续提升对上库高新区园林绿化环卫等方面的支持力度</w:t>
      </w:r>
      <w:r>
        <w:rPr>
          <w:rFonts w:hint="eastAsia" w:ascii="仿宋_GB2312" w:eastAsia="仿宋_GB2312"/>
          <w:b w:val="0"/>
          <w:sz w:val="32"/>
          <w:szCs w:val="32"/>
          <w:lang w:eastAsia="zh-CN"/>
        </w:rPr>
        <w:t>。</w:t>
      </w:r>
    </w:p>
    <w:p>
      <w:pPr>
        <w:keepNext w:val="0"/>
        <w:keepLines w:val="0"/>
        <w:pageBreakBefore w:val="0"/>
        <w:widowControl/>
        <w:numPr>
          <w:ilvl w:val="0"/>
          <w:numId w:val="2"/>
        </w:numPr>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城乡社区支出（类）城市基础设施配套费安排的支出（款）其他城市基础设施配套费安排的支出（项）：支出决算数为0.00万元，比上年决算减少1,000.00万元，下降100.00%，主要原因是：2024年未安排此科目预算支出</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12.80万元，与上年相比无变化，主要原因是：坚决落实过紧日子思想，厉行节约，大力精简三公经费开支。其中：因公出国（境）费支出0.00万元,占0.00%，与上年相比无变化，主要原因是：本年无因公出国（境）费支出，与上年相比无变动；公务用车购置及运行维护费支出12.80万元，占100.00%，与上年相比无变化，主要原因是：坚决落实过紧日子思想，厉行节约，大力精简三公经费开支；公务接待费支出0.00万元，占0.00%，与上年相比无变化，主要原因是：本年无公务接待支出，与上年相比无变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因公出国（境）费支出0.00万元，开支内容包括无因公出国（境）费支出。单位全年安排的因公出国（境）团组0个，因公出国（境）0人次。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12.80万元，其中：公务用车购置费0.00万元，公务用车运行维护费12.80万元。公务用车运行维护费开支内容包括公务用车车辆加油、车辆保险及车辆维修等。公务用车购置数0辆，公务用车保有量11辆。国有资产占用情况中固定资产车辆11辆，与公务用车保有量差异原因是：我单位公务用车保有量与国有资产占用情况中固定资产车辆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公务接待费0.00万元，开支内容包括无公务接待支出。单位全年安排的国内公务接待0批次，0人次。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12.80万元，决算数12.80万元，预决算差异率0.00%，主要原因是：预决算一致无差异。其中：因公出国（境）费全年预算数0.00万元，决算数0.00万元，预决算差异率0.00%，主要原因是：我单位无因公出国（境）费支出。公务用车购置费全年预算数0.00万元，决算数0.00万元，预决算差异率0.00%，主要原因是：我单位无公务用车购置费支出。公务用车运行维护费全年预算数12.80万元，决算数12.80万元，预决算差异率0.00%，主要原因是：预决算一致无差异。公务接待费全年预算数0.00万元，决算数0.00万元，预决算差异率0.00%，主要原因是：我单位无公务接待费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2024年度公用经费支出50.48万元，比上年增加1.78万元，增长3.66%，主要原因是：本年度新增入职研究生2人，从而相应增加公用经费。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2024年度政府采购支出总额731.15万元，其中：政府采购货物支出19.31万元、政府采购工程支出391.43万元、政府采购服务支出320.40万元。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授予中小企业合同金额730.06万元，占政府采购支出总额的99.85%，其中：授予小微企业合同金额709.00万元，占政府采购支出总额的96.97%。</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9,043.00平方米，价值5,432.95万元。车辆11辆，价值748.81万元，其中：副部（省）级及以上领导用车0辆、主要负责人用车0辆、机要通信用车0辆、应急保障用车0辆、执法执勤用车0辆、特种专业技术用车0辆、离退休干部服务用车0辆、其他用车7辆，其他用车主要是：上库园区及石油石化产业园项目落地及相关手续办理，查看项目建设进度等方面;单价100万元（含）以上设备（不含车辆）1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21,438.61万元，实际执行总额21,438.61万元；预算绩效评价项目6个，全年预算数6,879.81万元，全年执行数5,010.15万元。预算绩效管理取得的成效：一是制定预算计划：根据工作目标和任务，制订相关的资源预算计划，并确定预算用途、金额和时间等具体细节。二是根据工作年度计划和预算计划，对工作绩效进行评价，可以采用一些绩效评估指标，对工作完成情况和达成目标程度进行评估。发现的问题及原因：一是对预算绩效的认识还不够深入，相关知识了解还不够、掌握还不够多，把绩效管理简单等同于工作目标、工作考核和业务管理；二是资金管理水平有待进一步提高，财务审核还需进一步加强。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附部门整体支出绩效自评表，项目支出绩效自评表和部门评价报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lang w:eastAsia="zh-CN"/>
        </w:rPr>
      </w:pPr>
      <w:r>
        <w:rPr>
          <w:rFonts w:ascii="仿宋_GB2312" w:eastAsia="仿宋_GB2312"/>
          <w:b w:val="0"/>
          <w:sz w:val="32"/>
          <w:szCs w:val="32"/>
        </w:rPr>
        <w:t>九、《财政拨款“三公”经费支出决算表》</w:t>
      </w:r>
    </w:p>
    <w:p>
      <w:pPr>
        <w:pStyle w:val="2"/>
        <w:rPr>
          <w:rFonts w:hint="eastAsia" w:ascii="仿宋_GB2312" w:eastAsia="仿宋_GB2312"/>
          <w:b w:val="0"/>
          <w:sz w:val="32"/>
          <w:szCs w:val="32"/>
          <w:lang w:eastAsia="zh-CN"/>
        </w:rPr>
      </w:pPr>
    </w:p>
    <w:p>
      <w:pPr>
        <w:rPr>
          <w:rFonts w:hint="eastAsia" w:ascii="仿宋_GB2312" w:eastAsia="仿宋_GB2312"/>
          <w:b w:val="0"/>
          <w:sz w:val="32"/>
          <w:szCs w:val="32"/>
          <w:lang w:eastAsia="zh-CN"/>
        </w:rPr>
      </w:pPr>
    </w:p>
    <w:p>
      <w:pPr>
        <w:pStyle w:val="2"/>
        <w:rPr>
          <w:rFonts w:hint="eastAsia" w:ascii="仿宋_GB2312" w:eastAsia="仿宋_GB2312"/>
          <w:b w:val="0"/>
          <w:sz w:val="32"/>
          <w:szCs w:val="32"/>
          <w:lang w:eastAsia="zh-CN"/>
        </w:rPr>
      </w:pPr>
    </w:p>
    <w:p>
      <w:pPr>
        <w:rPr>
          <w:rFonts w:hint="eastAsia" w:ascii="仿宋_GB2312" w:eastAsia="仿宋_GB2312"/>
          <w:b w:val="0"/>
          <w:sz w:val="32"/>
          <w:szCs w:val="32"/>
          <w:lang w:eastAsia="zh-CN"/>
        </w:rPr>
      </w:pPr>
    </w:p>
    <w:p>
      <w:pPr>
        <w:pStyle w:val="2"/>
        <w:rPr>
          <w:rFonts w:hint="eastAsia" w:ascii="仿宋_GB2312" w:eastAsia="仿宋_GB2312"/>
          <w:b w:val="0"/>
          <w:sz w:val="32"/>
          <w:szCs w:val="32"/>
          <w:lang w:eastAsia="zh-CN"/>
        </w:rPr>
      </w:pPr>
    </w:p>
    <w:p>
      <w:pPr>
        <w:rPr>
          <w:rFonts w:hint="eastAsia" w:ascii="仿宋_GB2312" w:eastAsia="仿宋_GB2312"/>
          <w:b w:val="0"/>
          <w:sz w:val="32"/>
          <w:szCs w:val="32"/>
          <w:lang w:eastAsia="zh-CN"/>
        </w:rPr>
      </w:pPr>
    </w:p>
    <w:p>
      <w:pPr>
        <w:pStyle w:val="2"/>
        <w:rPr>
          <w:rFonts w:hint="eastAsia" w:ascii="仿宋_GB2312" w:eastAsia="仿宋_GB2312"/>
          <w:b w:val="0"/>
          <w:sz w:val="32"/>
          <w:szCs w:val="32"/>
          <w:lang w:eastAsia="zh-CN"/>
        </w:rPr>
      </w:pPr>
    </w:p>
    <w:p>
      <w:pPr>
        <w:rPr>
          <w:rFonts w:hint="eastAsia" w:ascii="仿宋_GB2312" w:eastAsia="仿宋_GB2312"/>
          <w:b w:val="0"/>
          <w:sz w:val="32"/>
          <w:szCs w:val="32"/>
          <w:lang w:eastAsia="zh-CN"/>
        </w:rPr>
      </w:pPr>
    </w:p>
    <w:p>
      <w:pPr>
        <w:pStyle w:val="2"/>
        <w:rPr>
          <w:rFonts w:hint="eastAsia"/>
          <w:lang w:eastAsia="zh-CN"/>
        </w:rPr>
      </w:pPr>
      <w:r>
        <w:drawing>
          <wp:inline distT="0" distB="0" distL="114300" distR="114300">
            <wp:extent cx="5473700" cy="7223125"/>
            <wp:effectExtent l="0" t="0" r="1270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73700" cy="7223125"/>
                    </a:xfrm>
                    <a:prstGeom prst="rect">
                      <a:avLst/>
                    </a:prstGeom>
                    <a:noFill/>
                    <a:ln>
                      <a:noFill/>
                    </a:ln>
                  </pic:spPr>
                </pic:pic>
              </a:graphicData>
            </a:graphic>
          </wp:inline>
        </w:drawing>
      </w:r>
    </w:p>
    <w:p>
      <w:pPr>
        <w:pStyle w:val="2"/>
        <w:rPr>
          <w:rFonts w:ascii="仿宋_GB2312" w:eastAsia="仿宋_GB2312"/>
          <w:b w:val="0"/>
          <w:sz w:val="32"/>
          <w:szCs w:val="32"/>
        </w:rPr>
      </w:pPr>
    </w:p>
    <w:p>
      <w:pPr>
        <w:rPr>
          <w:rFonts w:ascii="仿宋_GB2312" w:eastAsia="仿宋_GB2312"/>
          <w:b w:val="0"/>
          <w:sz w:val="32"/>
          <w:szCs w:val="32"/>
        </w:rPr>
      </w:pPr>
      <w:r>
        <w:drawing>
          <wp:inline distT="0" distB="0" distL="114300" distR="114300">
            <wp:extent cx="5482590" cy="7203440"/>
            <wp:effectExtent l="0" t="0" r="381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82590" cy="7203440"/>
                    </a:xfrm>
                    <a:prstGeom prst="rect">
                      <a:avLst/>
                    </a:prstGeom>
                    <a:noFill/>
                    <a:ln>
                      <a:noFill/>
                    </a:ln>
                  </pic:spPr>
                </pic:pic>
              </a:graphicData>
            </a:graphic>
          </wp:inline>
        </w:drawing>
      </w:r>
    </w:p>
    <w:p>
      <w:pPr>
        <w:pStyle w:val="2"/>
        <w:rPr>
          <w:rFonts w:ascii="仿宋_GB2312" w:eastAsia="仿宋_GB2312"/>
          <w:b w:val="0"/>
          <w:sz w:val="32"/>
          <w:szCs w:val="32"/>
        </w:rPr>
      </w:pPr>
      <w:r>
        <w:drawing>
          <wp:inline distT="0" distB="0" distL="114300" distR="114300">
            <wp:extent cx="5483860" cy="7433310"/>
            <wp:effectExtent l="0" t="0" r="254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83860" cy="7433310"/>
                    </a:xfrm>
                    <a:prstGeom prst="rect">
                      <a:avLst/>
                    </a:prstGeom>
                    <a:noFill/>
                    <a:ln>
                      <a:noFill/>
                    </a:ln>
                  </pic:spPr>
                </pic:pic>
              </a:graphicData>
            </a:graphic>
          </wp:inline>
        </w:drawing>
      </w:r>
    </w:p>
    <w:p>
      <w:pPr>
        <w:rPr>
          <w:rFonts w:ascii="仿宋_GB2312" w:eastAsia="仿宋_GB2312"/>
          <w:b w:val="0"/>
          <w:sz w:val="32"/>
          <w:szCs w:val="32"/>
        </w:rPr>
      </w:pPr>
    </w:p>
    <w:p>
      <w:pPr>
        <w:pStyle w:val="2"/>
        <w:rPr>
          <w:rFonts w:ascii="仿宋_GB2312" w:eastAsia="仿宋_GB2312"/>
          <w:b w:val="0"/>
          <w:sz w:val="32"/>
          <w:szCs w:val="32"/>
        </w:rPr>
      </w:pPr>
      <w:r>
        <w:drawing>
          <wp:inline distT="0" distB="0" distL="114300" distR="114300">
            <wp:extent cx="5475605" cy="7298055"/>
            <wp:effectExtent l="0" t="0" r="10795"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75605" cy="7298055"/>
                    </a:xfrm>
                    <a:prstGeom prst="rect">
                      <a:avLst/>
                    </a:prstGeom>
                    <a:noFill/>
                    <a:ln>
                      <a:noFill/>
                    </a:ln>
                  </pic:spPr>
                </pic:pic>
              </a:graphicData>
            </a:graphic>
          </wp:inline>
        </w:drawing>
      </w:r>
    </w:p>
    <w:p/>
    <w:p>
      <w:pPr>
        <w:pStyle w:val="2"/>
      </w:pPr>
      <w:r>
        <w:drawing>
          <wp:inline distT="0" distB="0" distL="114300" distR="114300">
            <wp:extent cx="5482590" cy="7550785"/>
            <wp:effectExtent l="0" t="0" r="3810"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82590" cy="7550785"/>
                    </a:xfrm>
                    <a:prstGeom prst="rect">
                      <a:avLst/>
                    </a:prstGeom>
                    <a:noFill/>
                    <a:ln>
                      <a:noFill/>
                    </a:ln>
                  </pic:spPr>
                </pic:pic>
              </a:graphicData>
            </a:graphic>
          </wp:inline>
        </w:drawing>
      </w:r>
    </w:p>
    <w:p/>
    <w:p>
      <w:pPr>
        <w:pStyle w:val="2"/>
      </w:pPr>
      <w:r>
        <w:drawing>
          <wp:inline distT="0" distB="0" distL="114300" distR="114300">
            <wp:extent cx="5485765" cy="7237095"/>
            <wp:effectExtent l="0" t="0" r="63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85765" cy="7237095"/>
                    </a:xfrm>
                    <a:prstGeom prst="rect">
                      <a:avLst/>
                    </a:prstGeom>
                    <a:noFill/>
                    <a:ln>
                      <a:noFill/>
                    </a:ln>
                  </pic:spPr>
                </pic:pic>
              </a:graphicData>
            </a:graphic>
          </wp:inline>
        </w:drawing>
      </w:r>
    </w:p>
    <w:p/>
    <w:p>
      <w:pPr>
        <w:pStyle w:val="2"/>
      </w:pPr>
      <w:r>
        <w:drawing>
          <wp:inline distT="0" distB="0" distL="114300" distR="114300">
            <wp:extent cx="5478780" cy="2875280"/>
            <wp:effectExtent l="0" t="0" r="762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478780" cy="287528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r>
        <w:drawing>
          <wp:inline distT="0" distB="0" distL="114300" distR="114300">
            <wp:extent cx="5479415" cy="289052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479415" cy="289052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r>
        <w:drawing>
          <wp:inline distT="0" distB="0" distL="114300" distR="114300">
            <wp:extent cx="5475605" cy="2306320"/>
            <wp:effectExtent l="0" t="0" r="10795" b="177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75605" cy="230632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abstractNum w:abstractNumId="1">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001A61AE"/>
    <w:rsid w:val="01B16F96"/>
    <w:rsid w:val="05AE6521"/>
    <w:rsid w:val="13BB1194"/>
    <w:rsid w:val="1B974D37"/>
    <w:rsid w:val="2EAA15BA"/>
    <w:rsid w:val="37081B1F"/>
    <w:rsid w:val="49600867"/>
    <w:rsid w:val="49D84C6D"/>
    <w:rsid w:val="4A3634C7"/>
    <w:rsid w:val="4FD712A8"/>
    <w:rsid w:val="4FDD44F8"/>
    <w:rsid w:val="5EF31E52"/>
    <w:rsid w:val="64616BB9"/>
    <w:rsid w:val="7B62386D"/>
    <w:rsid w:val="7B7A2701"/>
    <w:rsid w:val="7E7B62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7618</Words>
  <Characters>8755</Characters>
  <TotalTime>6</TotalTime>
  <ScaleCrop>false</ScaleCrop>
  <LinksUpToDate>false</LinksUpToDate>
  <CharactersWithSpaces>8757</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2025-08-13T06:22:00Z</dcterms:created>
  <dc:creator>MyPC</dc:creator>
  <cp:lastModifiedBy>lenovo</cp:lastModifiedBy>
  <dcterms:modified xsi:type="dcterms:W3CDTF">2025-08-19T03:26:29Z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eyJoZGlkIjoiMjA1OTA0MGZiYzcxOTcyZTFkYjMxMmU5MmJlMDUwODEiLCJ1c2VySWQiOiIzMDcyMjI5NDQifQ==</vt:lpwstr>
  </property>
  <property fmtid="{D5CDD505-2E9C-101B-9397-08002B2CF9AE}" pid="3" name="KSOProductBuildVer">
    <vt:lpwstr>2052-11.8.2.10972</vt:lpwstr>
  </property>
  <property fmtid="{D5CDD505-2E9C-101B-9397-08002B2CF9AE}" pid="4" name="ICV">
    <vt:lpwstr>B8726F552A754377899BD32268633710_12</vt:lpwstr>
  </property>
</Properties>
</file>