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BC55BE">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14:paraId="746605D3">
      <w:pPr>
        <w:spacing w:line="540" w:lineRule="exact"/>
        <w:jc w:val="center"/>
        <w:rPr>
          <w:rFonts w:ascii="华文中宋" w:hAnsi="华文中宋" w:eastAsia="华文中宋" w:cs="宋体"/>
          <w:b/>
          <w:kern w:val="0"/>
          <w:sz w:val="52"/>
          <w:szCs w:val="52"/>
        </w:rPr>
      </w:pPr>
    </w:p>
    <w:p w14:paraId="43CC5F99">
      <w:pPr>
        <w:spacing w:line="540" w:lineRule="exact"/>
        <w:jc w:val="center"/>
        <w:rPr>
          <w:rFonts w:ascii="华文中宋" w:hAnsi="华文中宋" w:eastAsia="华文中宋" w:cs="宋体"/>
          <w:b/>
          <w:kern w:val="0"/>
          <w:sz w:val="52"/>
          <w:szCs w:val="52"/>
        </w:rPr>
      </w:pPr>
    </w:p>
    <w:p w14:paraId="5EA674FA">
      <w:pPr>
        <w:spacing w:line="540" w:lineRule="exact"/>
        <w:jc w:val="center"/>
        <w:rPr>
          <w:rFonts w:ascii="华文中宋" w:hAnsi="华文中宋" w:eastAsia="华文中宋" w:cs="宋体"/>
          <w:b/>
          <w:kern w:val="0"/>
          <w:sz w:val="52"/>
          <w:szCs w:val="52"/>
        </w:rPr>
      </w:pPr>
    </w:p>
    <w:p w14:paraId="1618DCB1">
      <w:pPr>
        <w:spacing w:line="540" w:lineRule="exact"/>
        <w:jc w:val="center"/>
        <w:rPr>
          <w:rFonts w:ascii="华文中宋" w:hAnsi="华文中宋" w:eastAsia="华文中宋" w:cs="宋体"/>
          <w:b/>
          <w:kern w:val="0"/>
          <w:sz w:val="52"/>
          <w:szCs w:val="52"/>
        </w:rPr>
      </w:pPr>
    </w:p>
    <w:p w14:paraId="150FA9B7">
      <w:pPr>
        <w:spacing w:line="540" w:lineRule="exact"/>
        <w:jc w:val="center"/>
        <w:rPr>
          <w:rFonts w:ascii="华文中宋" w:hAnsi="华文中宋" w:eastAsia="华文中宋" w:cs="宋体"/>
          <w:b/>
          <w:kern w:val="0"/>
          <w:sz w:val="52"/>
          <w:szCs w:val="52"/>
        </w:rPr>
      </w:pPr>
    </w:p>
    <w:p w14:paraId="15D30A5A">
      <w:pPr>
        <w:spacing w:line="540" w:lineRule="exact"/>
        <w:jc w:val="center"/>
        <w:rPr>
          <w:rFonts w:ascii="华文中宋" w:hAnsi="华文中宋" w:eastAsia="华文中宋" w:cs="宋体"/>
          <w:b/>
          <w:kern w:val="0"/>
          <w:sz w:val="52"/>
          <w:szCs w:val="52"/>
        </w:rPr>
      </w:pPr>
    </w:p>
    <w:p w14:paraId="18CCDB5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14F5DAF9">
      <w:pPr>
        <w:spacing w:line="540" w:lineRule="exact"/>
        <w:jc w:val="center"/>
        <w:rPr>
          <w:rFonts w:ascii="华文中宋" w:hAnsi="华文中宋" w:eastAsia="华文中宋" w:cs="宋体"/>
          <w:b/>
          <w:kern w:val="0"/>
          <w:sz w:val="52"/>
          <w:szCs w:val="52"/>
        </w:rPr>
      </w:pPr>
    </w:p>
    <w:p w14:paraId="5C95ED9F">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EA0C375">
      <w:pPr>
        <w:spacing w:line="540" w:lineRule="exact"/>
        <w:jc w:val="center"/>
        <w:rPr>
          <w:rFonts w:hAnsi="宋体" w:eastAsia="仿宋_GB2312" w:cs="宋体"/>
          <w:kern w:val="0"/>
          <w:sz w:val="30"/>
          <w:szCs w:val="30"/>
        </w:rPr>
      </w:pPr>
    </w:p>
    <w:p w14:paraId="5F831D08">
      <w:pPr>
        <w:spacing w:line="540" w:lineRule="exact"/>
        <w:jc w:val="center"/>
        <w:rPr>
          <w:rFonts w:hAnsi="宋体" w:eastAsia="仿宋_GB2312" w:cs="宋体"/>
          <w:kern w:val="0"/>
          <w:sz w:val="30"/>
          <w:szCs w:val="30"/>
        </w:rPr>
      </w:pPr>
    </w:p>
    <w:p w14:paraId="36A741EB">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7182A81E">
      <w:pPr>
        <w:spacing w:line="540" w:lineRule="exact"/>
        <w:jc w:val="center"/>
        <w:rPr>
          <w:rFonts w:hAnsi="宋体" w:eastAsia="仿宋_GB2312" w:cs="宋体"/>
          <w:kern w:val="0"/>
          <w:sz w:val="30"/>
          <w:szCs w:val="30"/>
        </w:rPr>
      </w:pPr>
    </w:p>
    <w:p w14:paraId="6B9FD5D7">
      <w:pPr>
        <w:spacing w:line="540" w:lineRule="exact"/>
        <w:jc w:val="center"/>
        <w:rPr>
          <w:rFonts w:hAnsi="宋体" w:eastAsia="仿宋_GB2312" w:cs="宋体"/>
          <w:kern w:val="0"/>
          <w:sz w:val="30"/>
          <w:szCs w:val="30"/>
        </w:rPr>
      </w:pPr>
    </w:p>
    <w:p w14:paraId="6EDCDBC8">
      <w:pPr>
        <w:spacing w:line="540" w:lineRule="exact"/>
        <w:jc w:val="center"/>
        <w:rPr>
          <w:rFonts w:hAnsi="宋体" w:eastAsia="仿宋_GB2312" w:cs="宋体"/>
          <w:kern w:val="0"/>
          <w:sz w:val="30"/>
          <w:szCs w:val="30"/>
        </w:rPr>
      </w:pPr>
    </w:p>
    <w:p w14:paraId="435A4EE7">
      <w:pPr>
        <w:spacing w:line="540" w:lineRule="exact"/>
        <w:rPr>
          <w:rFonts w:hAnsi="宋体" w:eastAsia="仿宋_GB2312" w:cs="宋体"/>
          <w:kern w:val="0"/>
          <w:sz w:val="30"/>
          <w:szCs w:val="30"/>
        </w:rPr>
      </w:pPr>
    </w:p>
    <w:p w14:paraId="1588C088">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9D854FB">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部门专项-政协十一届四次会议会议费</w:t>
      </w:r>
    </w:p>
    <w:p w14:paraId="61A0804E">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政协库尔勒市委员会办公室</w:t>
      </w:r>
    </w:p>
    <w:p w14:paraId="17B2C3E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政协库尔勒市委员会办公室</w:t>
      </w:r>
    </w:p>
    <w:p w14:paraId="7BDA79D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任春梅</w:t>
      </w:r>
    </w:p>
    <w:p w14:paraId="141291C9">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2025年05月21日</w:t>
      </w:r>
    </w:p>
    <w:p w14:paraId="205F3C16">
      <w:pPr>
        <w:spacing w:line="700" w:lineRule="exact"/>
        <w:ind w:firstLine="708" w:firstLineChars="236"/>
        <w:jc w:val="left"/>
        <w:rPr>
          <w:rFonts w:hAnsi="宋体" w:eastAsia="仿宋_GB2312" w:cs="宋体"/>
          <w:kern w:val="0"/>
          <w:sz w:val="30"/>
          <w:szCs w:val="30"/>
        </w:rPr>
      </w:pPr>
    </w:p>
    <w:p w14:paraId="7921EF79">
      <w:pPr>
        <w:spacing w:line="540" w:lineRule="exact"/>
        <w:rPr>
          <w:rStyle w:val="18"/>
          <w:rFonts w:ascii="黑体" w:hAnsi="黑体" w:eastAsia="黑体"/>
          <w:b w:val="0"/>
          <w:spacing w:val="-4"/>
          <w:sz w:val="32"/>
          <w:szCs w:val="32"/>
        </w:rPr>
      </w:pPr>
    </w:p>
    <w:p w14:paraId="7A79EAD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E8EDAD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1225900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中国人民政治协商会章程》，关于印发《巴音郭楞蒙古自治州本级会议费暂行管理办法》的通知，按照市委工作安排及市政协党组会议研究决定。决定总结库尔勒市政协和各民主党派、无党派人士、各人民团体、各界人士之间共统一战线工作，查找一年来政协工作的优点和不足，促进各民主党派、无党派人士、各人民团体、各界人士之间工作开展的更加有力。这次会议共保障参与政协委员人数172名，并且委员参会覆盖率达到85%以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主要内容：2024年政协召开十一届四次会议会议费项目，本次会议共有参会委员人数172人，会议开展次数1次会期为2天半。通过召开这次会议，及总结了2024年一年来的工作情况同时通过总结有效提升了政协172名委员履职能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项目实施情况：2024年12月底召开政协十一届四次会议会议费项目，本次参会委员人数172人，会议开展次数1次会期为2天半。通过召开政协十一届四次会议实施有效提升委员履职能力。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该项目年初预算数20万元，全年预算数20万元，该项目资金已全部落实到位，资金来源为财政拨款。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该项目年初预算数20万元，全年预算数20万元，全年执行数20万元，预算执行率为100%主要用于：政协委员会议开展经费20万元。</w:t>
      </w:r>
    </w:p>
    <w:p w14:paraId="1D9C62C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5756FAF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目标1：参会委员人数172人，会议开展次数1次。 目标2：通过项目实施有效提升委员履职能力。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政协十一届四次会议会议费项目，此项目共分为2个阶段，第一阶段为准备阶段，2024年12月初制定研究召开会议的时间地点，准备会议的相关材料；第二阶段为会议召开阶段，2024年12底召开为期2天半并通过会议开展提升委员履职能力。</w:t>
      </w:r>
    </w:p>
    <w:p w14:paraId="18F2986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5DFBA1E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36FE2E8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1.绩效评价完整性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政协十一届四次会议会议费项目预算绩效评价报告在编制过程中，严格遵循相关法规与标准，确保评价内容的全面性与准确性。报告涵盖了项目从预算编制、执行到完成的全过程，对项目的各项绩效指标进行了细致的梳理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在评价指标体系的构建上，充分考虑了政协十一届四次会议会议费项目的性质、目标以及预期成果，选取了社会效益指标，对指标的评价标准和数据来源均进行了明确说明，确保评价结果的客观性和可追溯性。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在数据收集与分析环节，采用了问卷调查的方法，广泛收集了与项目相关的各类数据，以确保评价结论的科学性和可靠性。此外，还对数据的质量和完整性进行了严格把控，保证了评价数据的真实性和有效性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政协十一届四次会议会议费项目预算绩效评价报告在内容、方法和数据等方面均具备较高的完整性，能够真实、客观地反映项目的绩效情况，为项目管理决策提供了有价值的参考依据。在未来的工作中，我单位将继续完善绩效评价体系，不断提升评价工作的质量和水平，以更好地服务于项目的管理和优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（1）评估项目实施效果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通过对政协十一届四次会议会议费项目预算执行情况以及社会效益指标在内的各项绩效目标达成程度的系统性分析，全面、客观地评估项目在预定周期内的实施效果，为项目后续的改进与优化提供科学依据。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（2）提升资源利用效率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（3）强化项目管理责任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明确政协十一届四次会议会议费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（4）为决策提供支持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政协十一届四次会议会议费项目的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（5）促进项目持续改进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于开展绩效评价工作中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政协十一届四次会议会议费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3.绩效评价的对象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政协十一届四次会议会议费项目预算绩效评价报告的评价对象是部门专项-政协十一届四次会议会议费及其预算执行情况。该项目由中国人民政治协商会议新疆维吾尔自治区库尔勒市委员会负责实施，旨在通过开展此项目提升委员的履职能力。项目预算涵盖从2024年1月1日至2024年12月31日的全部资金投入与支出，涉及资金总额为20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4.绩效评价的范围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（1）项目预算编制与执行：全面审视项目预算的编制依据、合理性、科学性以及实际执行情况，包括预算调整的原因和效果。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（2）资金管理：深入分析项目资金的分配、使用和监管情况，确保资金使用的合规性、高效性和透明度。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（3）项目实施进度与产出：评估项目是否按照既定计划顺利推进，各项任务是否按时完成，以及项目产出的数量、质量和时效性是否符合预期。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（4）社会影响：考察该项目是否能有效提升政协委员履职能力。</w:t>
      </w:r>
    </w:p>
    <w:p w14:paraId="5E41D12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7128AA3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本次项目绩效评价遵循以下基本原则：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（1）确定评价指标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（2）确定权重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（3）确定指标标准值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绩效评价总分值100分，根据综合评分结果，90（含）-100分为优、80（含）-90分为良、60（含）-80分为中、60分以下为差。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具体评价指标体系详情见附件1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从项目决策、项目过程、项目产出、项目效益四个维度进行评价。评价对象为项目目标实施情况，评价核心为资金的支出完成情况和项目的产出效益。本次评价指标中采用了成本效益分析法，因为此项目评价严格遵循“花钱必问效”原则，核心为资金的支出完成情况和项目的产出效益，通过成本效益法分析验证资金使用的经济性，避免出现“重投入轻效果”的弊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分析、评价。本次评价主要采用了计划标准，原因是：根据该目标年初预先制定的计划以及三级指标，采用计划标准可提高预算编制准确率，也可发现指标偏离预期标准等情况，使评价结果更加科学真实。</w:t>
      </w:r>
    </w:p>
    <w:p w14:paraId="7875B47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2E9E4F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（1）前期准备与规划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初，成立了专门的评价工作小组，小组成员项目负责人任春梅、各委室主任及财务人员万龙龙组成，确保从多角度、全方位对项目绩效进行评价。同时，明确了评价工作的目标、范围、重点及时间安排，制定了详细的工作计划，为评价工作的顺利开展奠定了坚实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（2）指标体系构建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（3）数据收集与整理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财政系统调取资金数据，包括资金支付凭证、项目参与的政协委员参会人员名单、发放了委员满意度测评表收集满意测评表并撰写了测评表汇总等。在数据收集过程中，注重数据的质量与完整性，为后续的数据分析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（4）数据分析与评估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（5）报告撰写与反馈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数据的收集分析与评估的结果，按照财政局统一下发的格式和规范撰写项目预算绩效评价报告。其中报告内容包括项目背景、评价目的、评价指标体系、数据收集与分析方法、绩效评价结果、存在问题与改进建议等多个部分，重点突出、语言简洁明了。在报告撰写完成后，及时反馈，听取意见与建议，对报告内容进行进一步的完善与优化，确保评价报告的质量与实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（6）后续跟踪与改进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4E9D49CD">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6E7D9207">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严格按照科学公正、统筹兼顾、激励约束、公开透明绩效评价原则，采用成本效益分析法评价方法，坚持计划标准绩效评价标准对本项目产出数量、产出质量、产出时效、产出成本、项目效益进行了综合评价。。从项目目标的达成情况来看，部门专项-政协十一届四次会议会议费项目通过开展有效提升了政协委员的履职能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在在项目管理方面，库尔勒市政协通过有效的规划、组织与协调，项目得以顺利实施，并在预算与时间上保持了良好的控制。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从项目效益的角度来看，本项目实现了预期的社会效益、方面产生了积极的影响。具体而言，在提升委员履职能力方面的提升，为项目的利益相关者带来了实实在在的利益。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99.72分，属于优。其中，项目决策类指标权重为20分，得分为20分，得分率为100%。项目过程类指标权重为20分，得分为20分，得分率为100%。项目产出类指标权重为40分，得分为39.86分，得分率为 99.65%。项目效益类指标权重为20分，得分为19.86分，得分率为99.3%。具体打分情况详见：附件1综合评分表。</w:t>
      </w:r>
    </w:p>
    <w:p w14:paraId="5EBD1800">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3504872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26D2F0E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（一）项目决策情况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立项符合《中国人民政治协商会章程》，关于印发《巴音郭楞蒙古自治州本级会议费暂行管理办法》的通知，符合行业规划要求，围绕本年度工作重点和工作计划制定经费预算，属于公共财政支持范围，本项目与部门内部其他相关项目不重复，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申请、设立过程符合相关要求，严格按照审批流程准备符合《中国人民政治协商会章程》，关于印发《巴音郭楞蒙古自治州本级会议费暂行管理办法》的通知；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项目设置了明确的预期产出效益和效果，将绩效目标细化分解为具体的绩效指标，绩效目标与项目目标任务数相对应，绩效目标设定的绩效指标清晰、细化、可衡量。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政协十一届四次会议会议费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预算编制过程中，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政协十一届四次会议会议费项目的资金分配遵循了公平、公正、透明的原则，确保了项目资源的合理配置与高效利用。在资金分配过程中，我们充分考虑了项目的实际需求与目标，对不同阶段、不同任务的资金进行了科学的规划与安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政协十一届四次会议会议费项目的资金分配是合理的、科学的，既符合项目的实际情况，又满足了资金使用的效益最大化要求。资金分配的合理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p>
    <w:p w14:paraId="7BD519E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4B67943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项目过程类指标包括资金管理和组织实施两方面的内容，由5个三级指标构成，权重分值为20分，实际得分20分，得分率为100%。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本项目总投资20万元，财政资金及时足额到位，到位率100%，预算资金按计划进度执行。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预算编制较为详细，项目资金支出总体能够按照预算执行，预算资金支出20万元，预算执行率为100%。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政协十一届四次会议会议费项目的资金使用严格遵循了《中国人民政治协商会章程》和关于印发《巴音郭楞蒙古自治州本级会议费暂行管理办法》的通知等法律法规和财务制度，资金的拨付有完整的审批程序和手续；符合项目预算批复规定的用途；不存在截留、挤占、挪用、虚列支出等情况。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本项目拥有一套完善、健全的管理制度体系，包括《库尔勒市政协决算管理制度》《库尔勒市政协收入管理制度》《库尔勒市政协支出管理制度》等，制度合法、合规、完整。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管理制度的健全性不仅体现在制度的完善上，还体现在制度的执行与监督上。我们建立了有效的监督机制与反馈机制，包括《库尔勒市政协部门专项经费核查工作制度》等，对项目的实施情况进行定期检查与评估，及时发现并纠正可能存在的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综上所述，本项目的管理制度在执行过程中表现出了高度的有效性，既确保了项目的顺利进行，又实现了项目目标的有效达成。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p>
    <w:p w14:paraId="3428CE6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39608DA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项目产出类指标包括产出数量、产出质量、产出时效、产出成本四方面的内容，由5个三级指标构成，权重分为40分，实际得分39.86分，得分率为99.65%。具体产出指标完成情况如下：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指标1：保障市政协参会委员人数，指标值：&gt;=173人，实际完成值：172人，指标完成率99.42%，偏差原因：本年度1名政协委员辞去政协委员身份。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此项权重分值为5分，得分为4.86分。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指标2：会议开展次数，指标值：</w:t>
      </w:r>
      <w:r>
        <w:rPr>
          <w:rStyle w:val="18"/>
          <w:rFonts w:hint="eastAsia" w:ascii="楷体" w:hAnsi="楷体" w:eastAsia="楷体"/>
          <w:spacing w:val="-4"/>
          <w:sz w:val="32"/>
          <w:szCs w:val="32"/>
        </w:rPr>
        <w:tab/>
        <w:t>=1次，实际完成值：1次，指标完成率100%。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此项权重分值为5分，得分为5分。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指标1：开展会议合格率，指标值：=100%，实际完成值：100%，指标完成率100%。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指标1：会议开展及时率，指标值：=100%，实际完成值：100%，指标完成率100%。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④成本指标：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指标1：会议开展经费成本，指标值：&lt;=20万元，实际完成值：100%，指标完成率100%。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p>
    <w:p w14:paraId="79BA96F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1018ACDB">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项目效益类指标包括项目实施效益和满意度两方面的内容，由2个三级指标构成，权重分为20分，实际得分19.86分，得分率为99.3%。具体效益指标及满意度指标完成情况如下：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指标1：有效提升政协委员人数，指标值：&gt;=173人，实际完成值：172人，指标完成率99.42%。</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此项权重分值为10分，得分为9.86分。</w:t>
      </w:r>
    </w:p>
    <w:p w14:paraId="4D91349F">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2.满意度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指标1：参会委员满意度，指标值：&gt;=90%，实际完成值：90%，指标完成率100%。</w:t>
      </w:r>
    </w:p>
    <w:p w14:paraId="08950FEB">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14:paraId="4339541E">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一是高度重视。高度重视中央财政绩效评价工作，积极加强部门之间沟通协调，在总结以往工作经验的基础上，按照财政局通知要求，认真开展绩效自评工作。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二是明确责任。明确了绩效自评工作责任分工和完成时限，并提出了具体要求。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严格监督和管理项目资金。严格按照项目资金用途使用资金，并建立健全相关制度，包括《库尔勒市政协决算管理制度》《库尔勒市政协收入管理制度》《库尔勒市政协支出管理制度》等，对项目的实施情况进行定期检查与评估，及时发现并纠正可能存在的问题，让项目资金切切实实用于优抚对象生活改善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一是在绩效自评过程中，缺乏相关绩效管理专业知识，认知存在偏差，把绩效管理简单等同于工作目标、工作考核和业务管理；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二是资金管理水平有待进一步提高，财务审核还需进一步加强。</w:t>
      </w:r>
    </w:p>
    <w:p w14:paraId="785EEAEE">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14:paraId="5AB0C911">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一是进一步加强对绩效管理工作的组织领导，提高对预算绩效管理工作重要性的认识，总结经验查找问题，抓紧研究制定更全面更完善的绩效评价管理办法，促进绩效管理工作向广度和深度延伸。</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二是加强财务管理，进一步完善相关制度，严格按照预算规定、项目用途进行资金支付。</w:t>
      </w:r>
    </w:p>
    <w:p w14:paraId="7640A938">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14:paraId="66888DD4">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14:paraId="6828FCC1">
      <w:pPr>
        <w:spacing w:line="540" w:lineRule="exact"/>
        <w:ind w:firstLine="567"/>
        <w:rPr>
          <w:rStyle w:val="18"/>
          <w:rFonts w:ascii="仿宋" w:hAnsi="仿宋" w:eastAsia="仿宋"/>
          <w:b w:val="0"/>
          <w:spacing w:val="-4"/>
          <w:sz w:val="32"/>
          <w:szCs w:val="32"/>
        </w:rPr>
      </w:pPr>
    </w:p>
    <w:p w14:paraId="450580FA">
      <w:pPr>
        <w:spacing w:line="540" w:lineRule="exact"/>
        <w:ind w:firstLine="567"/>
        <w:rPr>
          <w:rStyle w:val="18"/>
          <w:rFonts w:ascii="仿宋" w:hAnsi="仿宋" w:eastAsia="仿宋"/>
          <w:b w:val="0"/>
          <w:spacing w:val="-4"/>
          <w:sz w:val="32"/>
          <w:szCs w:val="32"/>
        </w:rPr>
      </w:pPr>
    </w:p>
    <w:p w14:paraId="4BDADD30">
      <w:pPr>
        <w:spacing w:line="540" w:lineRule="exact"/>
        <w:ind w:firstLine="567"/>
        <w:rPr>
          <w:rStyle w:val="18"/>
          <w:rFonts w:ascii="仿宋" w:hAnsi="仿宋" w:eastAsia="仿宋"/>
          <w:b w:val="0"/>
          <w:spacing w:val="-4"/>
          <w:sz w:val="32"/>
          <w:szCs w:val="32"/>
        </w:rPr>
      </w:pPr>
    </w:p>
    <w:p w14:paraId="68EFBDE0">
      <w:pPr>
        <w:spacing w:line="540" w:lineRule="exact"/>
        <w:ind w:firstLine="567"/>
        <w:rPr>
          <w:rStyle w:val="18"/>
          <w:rFonts w:ascii="仿宋" w:hAnsi="仿宋" w:eastAsia="仿宋"/>
          <w:b w:val="0"/>
          <w:spacing w:val="-4"/>
          <w:sz w:val="32"/>
          <w:szCs w:val="32"/>
        </w:rPr>
      </w:pPr>
    </w:p>
    <w:p w14:paraId="67A4A429">
      <w:pPr>
        <w:spacing w:line="540" w:lineRule="exact"/>
        <w:ind w:firstLine="567"/>
        <w:rPr>
          <w:rStyle w:val="18"/>
          <w:rFonts w:ascii="仿宋" w:hAnsi="仿宋" w:eastAsia="仿宋"/>
          <w:b w:val="0"/>
          <w:spacing w:val="-4"/>
          <w:sz w:val="32"/>
          <w:szCs w:val="32"/>
        </w:rPr>
      </w:pPr>
    </w:p>
    <w:p w14:paraId="75420907">
      <w:pPr>
        <w:spacing w:line="540" w:lineRule="exact"/>
        <w:ind w:firstLine="567"/>
        <w:rPr>
          <w:rStyle w:val="18"/>
          <w:rFonts w:ascii="仿宋" w:hAnsi="仿宋" w:eastAsia="仿宋"/>
          <w:b w:val="0"/>
          <w:spacing w:val="-4"/>
          <w:sz w:val="32"/>
          <w:szCs w:val="32"/>
        </w:rPr>
      </w:pPr>
    </w:p>
    <w:p w14:paraId="6B98FE81">
      <w:pPr>
        <w:spacing w:line="540" w:lineRule="exact"/>
        <w:ind w:firstLine="567"/>
        <w:rPr>
          <w:rStyle w:val="18"/>
          <w:rFonts w:ascii="仿宋" w:hAnsi="仿宋" w:eastAsia="仿宋"/>
          <w:b w:val="0"/>
          <w:spacing w:val="-4"/>
          <w:sz w:val="32"/>
          <w:szCs w:val="32"/>
        </w:rPr>
      </w:pPr>
    </w:p>
    <w:p w14:paraId="691A092B">
      <w:pPr>
        <w:spacing w:line="540" w:lineRule="exact"/>
        <w:ind w:firstLine="567"/>
        <w:rPr>
          <w:rStyle w:val="18"/>
          <w:rFonts w:ascii="仿宋" w:hAnsi="仿宋" w:eastAsia="仿宋"/>
          <w:b w:val="0"/>
          <w:spacing w:val="-4"/>
          <w:sz w:val="32"/>
          <w:szCs w:val="32"/>
        </w:rPr>
      </w:pPr>
    </w:p>
    <w:p w14:paraId="49D16970">
      <w:pPr>
        <w:spacing w:line="540" w:lineRule="exact"/>
        <w:ind w:firstLine="567"/>
        <w:rPr>
          <w:rStyle w:val="18"/>
          <w:rFonts w:ascii="仿宋" w:hAnsi="仿宋" w:eastAsia="仿宋"/>
          <w:b w:val="0"/>
          <w:spacing w:val="-4"/>
          <w:sz w:val="32"/>
          <w:szCs w:val="32"/>
        </w:rPr>
      </w:pPr>
    </w:p>
    <w:p w14:paraId="7ED92C57">
      <w:pPr>
        <w:spacing w:line="540" w:lineRule="exact"/>
        <w:ind w:firstLine="567"/>
        <w:rPr>
          <w:rStyle w:val="18"/>
          <w:rFonts w:ascii="仿宋" w:hAnsi="仿宋" w:eastAsia="仿宋"/>
          <w:b w:val="0"/>
          <w:spacing w:val="-4"/>
          <w:sz w:val="32"/>
          <w:szCs w:val="32"/>
        </w:rPr>
      </w:pPr>
    </w:p>
    <w:p w14:paraId="44708551">
      <w:pPr>
        <w:spacing w:line="540" w:lineRule="exact"/>
        <w:ind w:firstLine="567"/>
        <w:rPr>
          <w:rStyle w:val="18"/>
          <w:rFonts w:ascii="仿宋" w:hAnsi="仿宋" w:eastAsia="仿宋"/>
          <w:b w:val="0"/>
          <w:spacing w:val="-4"/>
          <w:sz w:val="32"/>
          <w:szCs w:val="32"/>
        </w:rPr>
      </w:pPr>
    </w:p>
    <w:p w14:paraId="05350F3F">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052CFE30">
        <w:pPr>
          <w:pStyle w:val="12"/>
          <w:jc w:val="center"/>
        </w:pPr>
        <w:r>
          <w:fldChar w:fldCharType="begin"/>
        </w:r>
        <w:r>
          <w:instrText xml:space="preserve">PAGE   \* MERGEFORMAT</w:instrText>
        </w:r>
        <w:r>
          <w:fldChar w:fldCharType="separate"/>
        </w:r>
        <w:r>
          <w:rPr>
            <w:lang w:val="zh-CN"/>
          </w:rPr>
          <w:t>1</w:t>
        </w:r>
        <w:r>
          <w:fldChar w:fldCharType="end"/>
        </w:r>
      </w:p>
    </w:sdtContent>
  </w:sdt>
  <w:p w14:paraId="3C1D77DB">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802C6"/>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113</Words>
  <Characters>648</Characters>
  <Lines>5</Lines>
  <Paragraphs>1</Paragraphs>
  <TotalTime>0</TotalTime>
  <ScaleCrop>false</ScaleCrop>
  <LinksUpToDate>false</LinksUpToDate>
  <CharactersWithSpaces>760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2025-08-15T07:14:37Z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B819C6FE5C35410296C1CC07ED6AED8F_13</vt:lpwstr>
  </property>
</Properties>
</file>