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8B05206">
      <w:pPr>
        <w:widowControl/>
        <w:jc w:val="left"/>
        <w:rPr>
          <w:rFonts w:ascii="黑体" w:hAnsi="黑体" w:eastAsia="黑体" w:cs="宋体"/>
          <w:color w:val="333333"/>
          <w:sz w:val="32"/>
          <w:szCs w:val="32"/>
          <w:lang w:bidi="ar"/>
        </w:rPr>
      </w:pPr>
      <w:bookmarkStart w:id="1" w:name="_GoBack"/>
      <w:bookmarkEnd w:id="1"/>
      <w:r>
        <w:rPr>
          <w:rFonts w:hint="eastAsia" w:ascii="黑体" w:hAnsi="黑体" w:eastAsia="黑体" w:cs="宋体"/>
          <w:color w:val="333333"/>
          <w:sz w:val="32"/>
          <w:szCs w:val="32"/>
          <w:lang w:bidi="ar"/>
        </w:rPr>
        <w:t>附件4：</w:t>
      </w:r>
    </w:p>
    <w:p w14:paraId="6536FAA9">
      <w:pPr>
        <w:spacing w:line="540" w:lineRule="exact"/>
        <w:jc w:val="center"/>
        <w:rPr>
          <w:rFonts w:ascii="方正小标宋_GBK" w:hAnsi="华文中宋" w:eastAsia="方正小标宋_GBK" w:cs="宋体"/>
          <w:b/>
          <w:kern w:val="0"/>
          <w:sz w:val="48"/>
          <w:szCs w:val="48"/>
        </w:rPr>
      </w:pPr>
    </w:p>
    <w:p w14:paraId="671EC150">
      <w:pPr>
        <w:spacing w:line="540" w:lineRule="exact"/>
        <w:jc w:val="center"/>
        <w:rPr>
          <w:rFonts w:ascii="方正小标宋_GBK" w:hAnsi="华文中宋" w:eastAsia="方正小标宋_GBK" w:cs="宋体"/>
          <w:b/>
          <w:kern w:val="0"/>
          <w:sz w:val="48"/>
          <w:szCs w:val="48"/>
        </w:rPr>
      </w:pPr>
    </w:p>
    <w:p w14:paraId="4E89EB54">
      <w:pPr>
        <w:spacing w:line="540" w:lineRule="exact"/>
        <w:jc w:val="center"/>
        <w:rPr>
          <w:rFonts w:ascii="方正小标宋_GBK" w:hAnsi="华文中宋" w:eastAsia="方正小标宋_GBK" w:cs="宋体"/>
          <w:b/>
          <w:kern w:val="0"/>
          <w:sz w:val="48"/>
          <w:szCs w:val="48"/>
        </w:rPr>
      </w:pPr>
    </w:p>
    <w:p w14:paraId="3806913D">
      <w:pPr>
        <w:spacing w:line="540" w:lineRule="exact"/>
        <w:jc w:val="center"/>
        <w:rPr>
          <w:rFonts w:ascii="方正小标宋_GBK" w:hAnsi="华文中宋" w:eastAsia="方正小标宋_GBK" w:cs="宋体"/>
          <w:b/>
          <w:kern w:val="0"/>
          <w:sz w:val="48"/>
          <w:szCs w:val="48"/>
        </w:rPr>
      </w:pPr>
    </w:p>
    <w:p w14:paraId="4EA8BA9D">
      <w:pPr>
        <w:spacing w:line="540" w:lineRule="exact"/>
        <w:jc w:val="center"/>
        <w:rPr>
          <w:rFonts w:ascii="方正小标宋_GBK" w:hAnsi="华文中宋" w:eastAsia="方正小标宋_GBK" w:cs="宋体"/>
          <w:b/>
          <w:kern w:val="0"/>
          <w:sz w:val="48"/>
          <w:szCs w:val="48"/>
        </w:rPr>
      </w:pPr>
    </w:p>
    <w:p w14:paraId="2D413F81">
      <w:pPr>
        <w:spacing w:line="540" w:lineRule="exact"/>
        <w:jc w:val="center"/>
        <w:rPr>
          <w:rFonts w:ascii="方正小标宋_GBK" w:hAnsi="华文中宋" w:eastAsia="方正小标宋_GBK" w:cs="宋体"/>
          <w:b/>
          <w:kern w:val="0"/>
          <w:sz w:val="48"/>
          <w:szCs w:val="48"/>
        </w:rPr>
      </w:pPr>
    </w:p>
    <w:p w14:paraId="45E0C8E3">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部门单位整体支出绩效</w:t>
      </w:r>
    </w:p>
    <w:p w14:paraId="4A92A14E">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自评报告</w:t>
      </w:r>
    </w:p>
    <w:p w14:paraId="0C4B4732">
      <w:pPr>
        <w:spacing w:line="540" w:lineRule="exact"/>
        <w:jc w:val="center"/>
        <w:rPr>
          <w:rFonts w:ascii="华文中宋" w:hAnsi="华文中宋" w:eastAsia="华文中宋" w:cs="宋体"/>
          <w:b/>
          <w:kern w:val="0"/>
          <w:sz w:val="52"/>
          <w:szCs w:val="52"/>
        </w:rPr>
      </w:pPr>
    </w:p>
    <w:p w14:paraId="077EBB79">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ascii="仿宋_GB2312" w:hAnsi="宋体" w:eastAsia="仿宋_GB2312"/>
          <w:b/>
          <w:sz w:val="32"/>
          <w:szCs w:val="32"/>
        </w:rPr>
        <w:t>2024</w:t>
      </w:r>
      <w:r>
        <w:rPr>
          <w:rFonts w:hint="eastAsia" w:hAnsi="宋体" w:eastAsia="仿宋_GB2312" w:cs="宋体"/>
          <w:kern w:val="0"/>
          <w:sz w:val="36"/>
          <w:szCs w:val="36"/>
        </w:rPr>
        <w:t>年度）</w:t>
      </w:r>
    </w:p>
    <w:p w14:paraId="3C394A7A">
      <w:pPr>
        <w:spacing w:line="700" w:lineRule="exact"/>
        <w:jc w:val="left"/>
        <w:rPr>
          <w:rFonts w:hAnsi="宋体" w:eastAsia="仿宋_GB2312" w:cs="宋体"/>
          <w:kern w:val="0"/>
          <w:sz w:val="36"/>
          <w:szCs w:val="36"/>
        </w:rPr>
      </w:pPr>
    </w:p>
    <w:p w14:paraId="69828E0B">
      <w:pPr>
        <w:spacing w:line="700" w:lineRule="exact"/>
        <w:jc w:val="left"/>
        <w:rPr>
          <w:rFonts w:hAnsi="宋体" w:eastAsia="仿宋_GB2312" w:cs="宋体"/>
          <w:kern w:val="0"/>
          <w:sz w:val="36"/>
          <w:szCs w:val="36"/>
        </w:rPr>
      </w:pPr>
    </w:p>
    <w:p w14:paraId="0EDC7631">
      <w:pPr>
        <w:spacing w:line="700" w:lineRule="exact"/>
        <w:jc w:val="left"/>
        <w:rPr>
          <w:rFonts w:hAnsi="宋体" w:eastAsia="仿宋_GB2312" w:cs="宋体"/>
          <w:kern w:val="0"/>
          <w:sz w:val="36"/>
          <w:szCs w:val="36"/>
        </w:rPr>
      </w:pPr>
    </w:p>
    <w:p w14:paraId="4760036F">
      <w:pPr>
        <w:spacing w:line="700" w:lineRule="exact"/>
        <w:jc w:val="left"/>
        <w:rPr>
          <w:rFonts w:hAnsi="宋体" w:eastAsia="仿宋_GB2312" w:cs="宋体"/>
          <w:kern w:val="0"/>
          <w:sz w:val="36"/>
          <w:szCs w:val="36"/>
        </w:rPr>
      </w:pPr>
    </w:p>
    <w:p w14:paraId="6C29945D">
      <w:pPr>
        <w:spacing w:line="700" w:lineRule="exact"/>
        <w:jc w:val="left"/>
        <w:rPr>
          <w:rFonts w:hAnsi="宋体" w:eastAsia="仿宋_GB2312" w:cs="宋体"/>
          <w:kern w:val="0"/>
          <w:sz w:val="36"/>
          <w:szCs w:val="36"/>
        </w:rPr>
      </w:pPr>
    </w:p>
    <w:p w14:paraId="7CAC7B7F">
      <w:pPr>
        <w:spacing w:line="700" w:lineRule="exact"/>
        <w:jc w:val="left"/>
        <w:rPr>
          <w:rFonts w:hAnsi="宋体" w:eastAsia="仿宋_GB2312" w:cs="宋体"/>
          <w:kern w:val="0"/>
          <w:sz w:val="36"/>
          <w:szCs w:val="36"/>
        </w:rPr>
      </w:pPr>
    </w:p>
    <w:p w14:paraId="4A9ABF99">
      <w:pPr>
        <w:spacing w:line="700" w:lineRule="exact"/>
        <w:jc w:val="left"/>
        <w:rPr>
          <w:rFonts w:hAnsi="宋体" w:eastAsia="仿宋_GB2312" w:cs="宋体"/>
          <w:kern w:val="0"/>
          <w:sz w:val="36"/>
          <w:szCs w:val="36"/>
        </w:rPr>
      </w:pPr>
    </w:p>
    <w:p w14:paraId="48AD8A4F">
      <w:pPr>
        <w:spacing w:line="700" w:lineRule="exact"/>
        <w:jc w:val="left"/>
        <w:rPr>
          <w:rFonts w:hAnsi="宋体" w:eastAsia="仿宋_GB2312" w:cs="宋体"/>
          <w:kern w:val="0"/>
          <w:sz w:val="36"/>
          <w:szCs w:val="36"/>
        </w:rPr>
      </w:pPr>
    </w:p>
    <w:p w14:paraId="63D37B06">
      <w:pPr>
        <w:spacing w:line="540" w:lineRule="exact"/>
        <w:ind w:firstLine="720" w:firstLineChars="200"/>
        <w:rPr>
          <w:rFonts w:hAnsi="宋体" w:eastAsia="仿宋_GB2312" w:cs="宋体"/>
          <w:kern w:val="0"/>
          <w:sz w:val="44"/>
          <w:szCs w:val="44"/>
        </w:rPr>
      </w:pPr>
      <w:r>
        <w:rPr>
          <w:rFonts w:hint="eastAsia" w:hAnsi="宋体" w:eastAsia="仿宋_GB2312" w:cs="宋体"/>
          <w:kern w:val="0"/>
          <w:sz w:val="36"/>
          <w:szCs w:val="36"/>
        </w:rPr>
        <w:t>部门单位名称（公章）</w:t>
      </w:r>
      <w:r>
        <w:rPr>
          <w:rFonts w:hint="eastAsia" w:ascii="仿宋" w:hAnsi="仿宋" w:eastAsia="仿宋" w:cs="仿宋"/>
          <w:kern w:val="0"/>
          <w:sz w:val="44"/>
          <w:szCs w:val="44"/>
        </w:rPr>
        <w:t>：</w:t>
      </w:r>
      <w:r>
        <w:rPr>
          <w:rStyle w:val="6"/>
          <w:rFonts w:hint="eastAsia" w:ascii="仿宋" w:hAnsi="仿宋" w:eastAsia="仿宋" w:cs="仿宋"/>
          <w:b w:val="0"/>
          <w:bCs w:val="0"/>
          <w:spacing w:val="-4"/>
          <w:sz w:val="44"/>
          <w:szCs w:val="44"/>
        </w:rPr>
        <w:t>政协库尔勒市委员会办公室</w:t>
      </w:r>
    </w:p>
    <w:p w14:paraId="493B6023">
      <w:pPr>
        <w:spacing w:line="540" w:lineRule="exact"/>
        <w:ind w:firstLine="720" w:firstLineChars="200"/>
        <w:rPr>
          <w:rFonts w:ascii="仿宋" w:hAnsi="仿宋" w:eastAsia="仿宋" w:cs="仿宋"/>
          <w:kern w:val="0"/>
          <w:sz w:val="44"/>
          <w:szCs w:val="44"/>
        </w:rPr>
      </w:pPr>
      <w:r>
        <w:rPr>
          <w:rFonts w:hint="eastAsia" w:hAnsi="宋体" w:eastAsia="仿宋_GB2312" w:cs="宋体"/>
          <w:kern w:val="0"/>
          <w:sz w:val="36"/>
          <w:szCs w:val="36"/>
        </w:rPr>
        <w:t>填报时间：</w:t>
      </w:r>
      <w:r>
        <w:rPr>
          <w:rStyle w:val="6"/>
          <w:rFonts w:hint="eastAsia" w:ascii="仿宋" w:hAnsi="仿宋" w:eastAsia="仿宋" w:cs="仿宋"/>
          <w:b w:val="0"/>
          <w:bCs w:val="0"/>
          <w:spacing w:val="-4"/>
          <w:sz w:val="44"/>
          <w:szCs w:val="44"/>
        </w:rPr>
        <w:t>2025年04月29日</w:t>
      </w:r>
    </w:p>
    <w:p w14:paraId="0772F081">
      <w:pPr>
        <w:spacing w:line="700" w:lineRule="exact"/>
        <w:jc w:val="left"/>
        <w:rPr>
          <w:rFonts w:hAnsi="宋体" w:eastAsia="仿宋_GB2312" w:cs="宋体"/>
          <w:kern w:val="0"/>
          <w:sz w:val="36"/>
          <w:szCs w:val="36"/>
        </w:rPr>
      </w:pPr>
    </w:p>
    <w:p w14:paraId="76F11F98">
      <w:pPr>
        <w:spacing w:line="700" w:lineRule="exact"/>
        <w:jc w:val="left"/>
        <w:rPr>
          <w:rFonts w:hAnsi="宋体" w:eastAsia="仿宋_GB2312" w:cs="宋体"/>
          <w:kern w:val="0"/>
          <w:sz w:val="36"/>
          <w:szCs w:val="36"/>
        </w:rPr>
      </w:pPr>
    </w:p>
    <w:p w14:paraId="014E9F8C">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基本概况：</w:t>
      </w:r>
    </w:p>
    <w:p w14:paraId="4247F622">
      <w:pPr>
        <w:spacing w:line="600" w:lineRule="exact"/>
        <w:ind w:firstLine="964" w:firstLineChars="300"/>
        <w:jc w:val="left"/>
        <w:rPr>
          <w:rFonts w:hint="eastAsia" w:ascii="Arial" w:hAnsi="Arial" w:cs="Arial"/>
          <w:b/>
          <w:bCs/>
          <w:color w:val="333333"/>
          <w:sz w:val="30"/>
          <w:szCs w:val="30"/>
        </w:rPr>
      </w:pPr>
      <w:r>
        <w:rPr>
          <w:rFonts w:hint="eastAsia" w:ascii="黑体" w:hAnsi="黑体" w:eastAsia="黑体" w:cs="宋体"/>
          <w:b/>
          <w:color w:val="000000" w:themeColor="text1"/>
          <w:sz w:val="32"/>
          <w:szCs w:val="32"/>
          <w:lang w:bidi="ar"/>
          <w14:textFill>
            <w14:solidFill>
              <w14:schemeClr w14:val="tx1"/>
            </w14:solidFill>
          </w14:textFill>
        </w:rPr>
        <w:t>（一）</w:t>
      </w:r>
      <w:r>
        <w:rPr>
          <w:rFonts w:ascii="黑体" w:hAnsi="黑体" w:eastAsia="黑体" w:cs="宋体"/>
          <w:b/>
          <w:color w:val="000000" w:themeColor="text1"/>
          <w:sz w:val="32"/>
          <w:szCs w:val="32"/>
          <w:lang w:bidi="ar"/>
          <w14:textFill>
            <w14:solidFill>
              <w14:schemeClr w14:val="tx1"/>
            </w14:solidFill>
          </w14:textFill>
        </w:rPr>
        <w:t>部门单位基本情况</w:t>
      </w:r>
      <w:r>
        <w:rPr>
          <w:rFonts w:hint="eastAsia" w:ascii="Arial" w:hAnsi="Arial" w:cs="Arial"/>
          <w:b/>
          <w:bCs/>
          <w:color w:val="333333"/>
          <w:sz w:val="30"/>
          <w:szCs w:val="30"/>
        </w:rPr>
        <w:t>：</w:t>
      </w:r>
    </w:p>
    <w:p w14:paraId="5FDA4EA0">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1.主要职能</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中国人民政治协商会议全国委员会和地方委员会的主要职能是政治协商、民主监督、参政议政。</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政治协商是对国家和地方的大政方针以及政治、经济、文化和社会生活中的重要问题在决策之前进行协商和就决策执行过程中的重要问题进行协商。中国政协的政治协商是中国共产党领导的多党合作的重要体现，是党和国家实行科学民主决策的重要环节，是党提高执政能力的重要途径。</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政治协商的主要内容有：国家和地方的大政方针以及政治、经济、文化和社会生活中的重要问题；各党派参加人民政协工作的共同性事务以及有关爱国统一战线的其他重要问题。</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政治协商的主要形式有：政协全体会议，常务委员会议，主席会议，常务委员专题座谈会，政协党组受党委委托召开的座谈会，以全国政协名义召开的专题协商会，秘书长会议，各专门委员会会议，根据需要召开由政协各组成单位和各界别代表人士参加的内部协商会议。政治协商依照程序进行。</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民主监督是对国家宪法、法律和法规的实施，重大方针政策的贯彻执行、国家机关及其工作人员的工作，通过建议和批评进行监督。中国政协的民主监督是中国社会主义监督体系的重要组成部分，是在坚持四项基本原则的基础上通过提出意见、批评、建议的方式进行的政治监督。它是参加中国政协的各党派团体和各族各界人士通过政协组织对国家机关及其工作人员的工作进行的监督，也是中国共产党在政协中与各民主党派和无党派人士之间进行的互相监督。</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民主监督的主要内容有：国家宪法、法律和法规的实施，重大方针政策的贯彻执行，国家机关及其工作人员的工作，参加政协的单位和个人遵守政协章程和执行政协决议的情况。</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民主监督的主要形式有：政协全体会议、常委会议、主席会议向党委和政府提出建议案；各专门委员会提出建议或有关报告；委员视察、委员提案、委员举报、大会发言、反映社情民意或以其他形式提出批评和建议；参加党委和政府有关部门组织的调查和检查活动；政协委员应邀担任司法机关和政府部门特约监督人员等。</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参政议政是对政治、经济、文化和社会生活中的重要问题以及人民群众普遍关心的问题，开展调查研究，反映社情民意，进行协商讨论。通过调研报告、提案、建议案或其他形式，向中国共产党和国家机关提出意见和建议。中国政协的参政议政是人民政协履行职能的重要形式，也是党政领导机关经常听取参加人民政协的各民主党派、人民团体和各族各界人士的意见和建议、切实做好工作的有效方式。</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参政议政的主要内容有：选择人民群众关心、党政部门重视、政协有条件做的课题，组织调查和研究，积极主动地向党政领导机关提出建议性的意见；通过多种方式，广开言路，广开才路，充分发挥委员专长和作用，为改革开放和社会主义现代化建设献计献策；广泛参与政治、经济、文化和社会活动，对一些共同关心的事项开展评议等。</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参政议政的主要形式有：反映社情民意、各种协商例会，各种专题议政会、专题研讨会、专题调研、委员视察、考察、政协委员参与中共党委与政府统一组织的检查和巡视。</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2.机构设置及人员情况</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库尔勒市政协包括本级机关及0个直属事业单位，机关内设6个科室（办公室、提案工作委员会、经济科技工作委员会、文化教育卫生委员会、民族宗教工作委员会、学习工作委员会）。</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库尔勒市政协编制数18，实有人数54人，其中：在职19人，减少1人；退休35人，减少1人；离休0人，增加0人。</w:t>
      </w:r>
      <w:bookmarkStart w:id="0" w:name="_Hlk43849111"/>
      <w:bookmarkEnd w:id="0"/>
    </w:p>
    <w:p w14:paraId="59A2C5F2">
      <w:pPr>
        <w:spacing w:line="600" w:lineRule="exact"/>
        <w:ind w:firstLine="964" w:firstLineChars="300"/>
        <w:jc w:val="left"/>
        <w:rPr>
          <w:rFonts w:hint="eastAsia"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（二）</w:t>
      </w:r>
      <w:r>
        <w:rPr>
          <w:rFonts w:ascii="黑体" w:hAnsi="黑体" w:eastAsia="黑体" w:cs="宋体"/>
          <w:b/>
          <w:color w:val="000000" w:themeColor="text1"/>
          <w:sz w:val="32"/>
          <w:szCs w:val="32"/>
          <w:lang w:bidi="ar"/>
          <w14:textFill>
            <w14:solidFill>
              <w14:schemeClr w14:val="tx1"/>
            </w14:solidFill>
          </w14:textFill>
        </w:rPr>
        <w:t>部门单位年度重点工作：</w:t>
      </w:r>
    </w:p>
    <w:p w14:paraId="4CCF66A9">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1.年度总体目标</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 xml:space="preserve">目标1：做好人民政协的政治协商工作，推进人民政协的民主监督，保障履职干部人数54人；  </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 xml:space="preserve">目标2：发挥政协委员作用，履行好政治协商、民主监督、参政议政的基本职能。 </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目标3：审议讨论通过政协常委会和提案工作报告10项；保障和提升政协委员形成政治协商、民主监督、参政议政工作12项；召开库尔勒市政协第十一届四次会议1次；召开库尔勒市政协常委会会议4次。</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2.重点工作计划</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（一）组织召开市政协十一届五次会议。引导委员认真审议和讨论政协常委会工作报告、政府工作报告等，发挥全体会议这一协商履职最高形式作用，共同落实好大会通过的各项报告决议。</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（二）组织召开专委会全体委员会议暨对口部门协商会议。传达学习全国、自治区、自治州“两会”精神，通报《库尔勒市政协党组2024年工作要点》，协商通过专委会2024 年工作计划，听取党政对口部门2024 年重点工作安排。</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（三）9月，围绕“加强农牧民青壮年国家通用语言推广普及使用，铸牢中华民族共同体意识”为议题，召开专题议政性常委会。</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（四）季度协商座谈会（全年4次）</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3月围绕“推进融合教育规范发展，促进残疾儿童更好融入社会生活”议题，开展专题协商；4月围绕“推进基本养老服务体系建设”为议题，开展专题协商；7月围绕群众身边事积极参政议政，以“加大小区消防通道违规乱停问题治理，提升小区消防安全”为议题，开展专题协商；10月围绕“提升基层医疗机构服务和救治能力”议题，开展专题协商。</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（五）专题调研、委员视察</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第一季度，组织委员围绕“加强新能源汽车充电设施建</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设”议题，开展专题调研。第四季度，组织委员围绕“加快新型工业化建设，为构建百万人口城市作贡献”开展专题调研。6月组织委员围绕“加快培育电子商务产业聚集区 促进电商健康有序发展”，组织委员开展专题视察。10月组织委员围绕“工业经济高质量发展”，组织委员开展专题视察。</w:t>
      </w:r>
    </w:p>
    <w:p w14:paraId="2FFCF920">
      <w:pPr>
        <w:spacing w:line="600" w:lineRule="exact"/>
        <w:ind w:firstLine="964" w:firstLineChars="300"/>
        <w:jc w:val="left"/>
        <w:rPr>
          <w:rFonts w:hint="eastAsia"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（三）</w:t>
      </w:r>
      <w:r>
        <w:rPr>
          <w:rFonts w:ascii="黑体" w:hAnsi="黑体" w:eastAsia="黑体" w:cs="宋体"/>
          <w:b/>
          <w:color w:val="000000" w:themeColor="text1"/>
          <w:sz w:val="32"/>
          <w:szCs w:val="32"/>
          <w:lang w:bidi="ar"/>
          <w14:textFill>
            <w14:solidFill>
              <w14:schemeClr w14:val="tx1"/>
            </w14:solidFill>
          </w14:textFill>
        </w:rPr>
        <w:t>部门单位整体预算规模及安排情况：</w:t>
      </w:r>
    </w:p>
    <w:p w14:paraId="0822304C">
      <w:pPr>
        <w:spacing w:line="600" w:lineRule="exact"/>
        <w:ind w:firstLine="960" w:firstLineChars="300"/>
        <w:jc w:val="left"/>
        <w:rPr>
          <w:rFonts w:hint="eastAsia" w:ascii="仿宋_GB2312" w:hAnsi="宋体" w:eastAsia="仿宋_GB2312"/>
          <w:bCs/>
          <w:sz w:val="32"/>
          <w:szCs w:val="32"/>
        </w:rPr>
      </w:pPr>
      <w:r>
        <w:rPr>
          <w:rFonts w:hint="eastAsia" w:ascii="仿宋_GB2312" w:hAnsi="宋体" w:eastAsia="仿宋_GB2312"/>
          <w:bCs/>
          <w:sz w:val="32"/>
          <w:szCs w:val="32"/>
        </w:rPr>
        <w:t>2024年库尔勒市政协年初预算安排509.19万元，其中财政拨款509.19万元，其他资金0万元，主要用于在职人员工资、绩效及社保经费；退休人员绩效、独生子女费及取暖费；日常公用经费；项目经费：部门专项-十一届四次政协会议经费、巴财行[2023]51号2024年自治区基层政协补助经费、巴财行[2023]54号参政议政项目[县市]经费。年中调整21.56万元，调整后全年预算487.63万元，预算调整率4.23%，调整预算的主要原因为为本年在职减少1人，退休减少1人，相关人员经费减少。</w:t>
      </w:r>
    </w:p>
    <w:p w14:paraId="33F2C4EE">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部门单位整体支出管理及使用情况：</w:t>
      </w:r>
    </w:p>
    <w:p w14:paraId="0260055E">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（一）部门单位整体支出管理情况</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1.预算编制</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2024年我单位坚持围绕我单位工作,加强对预算编制环节的控制，对编制依据、编制程序、编制方法等按照本级政府财政部门作出规定执行，确保预算编制合理、程序适当、方法科学。</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单位预算编制“一上”上报财政相关部门审核下达一上控制数；根据下达的预算控制数，单位细化编制单位预算，形成本部门预算草案，并报送本级财政部门（“二上”），将市人代会审议批准的预算下达至单位（“二上”）。</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2.预算执行</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库尔勒市财政批复预算后，我单位按要求及时制定并报批部门预算支出计划，严格落实预算执行定期分析机制，靠前抓好支出执行，坚持严肃财经纪律，硬化预算约束，持续树牢厉行节约理念，严控一般性支出，努力降低行政运行成本。运用预算执行和其他有关资料监控预算执行情况。预算执行进度、执行差异及对预算目标的影响及时向单位领导汇报，促进预算目标的全面完成。</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3.绩效管理</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2024年，我单位严格按照财政要求，落实预算绩效管理全过程，我单位预算收入包括本级财政安排给本单位的预算拨款收入，收入主要来源是财政拨款。结合管理服务目标及资源调配能力，经过综合计算和全面平衡，对当年或者超过一个年度的管理服务和财务事项进行相关经费、额度的测算和安排的过程。</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基本支出，是指单位为保障其机构正常运转、完成日常工作任务所发生的支出，包括人员经费和公用经费；所称项目支出，是指单位为完成其特定的工作任务和事业发展目标所发生的支出。</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单位预算编制、执行的具体办法，由本级政府财政部门依法作出规定。</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落实绩效“双监控”，预算执行过程中，以年度支出计划为基础，定期分析预算执行和绩效目标落实情况，并依托财政预算绩效管理平台分5月、8月对预算执行动态进行实时监控，发现问题及时纠偏，确保绩效目标落地落实。</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扎实开展自评工作，年度终了，扎实开展预算绩效目标完成情况部门审核和自评工作。</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4.信息公开</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我单位已按要求在库尔勒市人民政府门户网站公开部门预算信息，同步公开绩效目标表；在库尔勒市人民政府门户网站公开部门决算信息，同步公开自评表及自评报告。</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（二）部门单位整体支出使用情况</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1.基本支出情况</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2024年基本支出460.33万元，包括工资福利支出386.69万元，商品和服务支出12.07万元，对个人和家庭的补助61.57万元，资本性支出0.00万元。其中会议费支出20万元，比上年增加13万元，主要原因是本年度终止了一个项目部门专项-委员活动经费13万，导致会议费用增加；培训费支出1.78万元，比上年增加1.03万元，主要原因是单位参加培训人员、次数增加，费用也增加。</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2.专项资金支出情况</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2024年专项项目支出27.3万元，占总支出的5.6％，主要在政协十一届四次会议的开展20万元中用于会议的开展和常委会工作报告、提案工作报告的审议；巴财行[2023]51号2024年自治区基层政协补助经费5万元中用于委员开展调研和视察等活动；巴财行[2023]54号参政议政项目[县市]经费2.3万元中用于委员开展调研和视察等活动。</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3.部门单位专项组织实施情况</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年初我部门下发的政协十一届四次会议、巴财行[2023]51号2024年自治区基层政协补助经费、巴财行[2023]54号参政议政项目[县市]经费工作计划，对项目的工作分工、任务分配、资金落实、完成时限等提出了明确、具体的要求，以确保项目保质、保量、按时完成。截至2024年12月31日，完成专项3个，未完成专项0个。</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为规范专项资金使用，提高专项资金使用效益，我单位做到（1）依据《关于印发&lt;自治区财政资金使用跟踪反馈管理暂行办法&gt;的通知》（新财预字〔2016〕113号）、《中华人民共和国预算法》等相关资金、项目管理办法执行，按比例按资金用途使用，实行专款专用、严禁挤占挪用。加强对项目资金的预算执行及日常监督管理，确保每个项目按照规定的用途实施。（2）资金拨付审批手续完整。项目资金专款专用，不存在支出依据不合规，序列项目支出，截留，挤占，挪用和超标准支出等现象，使项目资金的运用得到了合理的控制，项目得到了切实的保障。（3）会计信息质量真实。严格执行《会计法》等财经法规，严格按照相关会计制度办理会计业务，进行会计核算，并做好会计记录，真实的反映项目资金管理情况，并接受财政、审批部门及上级主管部门的检查、监督。（4）执行预决算管理。严格按预算管理要求使用资金，严格按进度和合同拨付资金，严格执行政府采购制度；严格执行国库集中支付制度，严防截留、挪用资金。</w:t>
      </w:r>
    </w:p>
    <w:p w14:paraId="44B1EFB4">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部门单位整体支出绩效分析：</w:t>
      </w:r>
    </w:p>
    <w:p w14:paraId="556897CD">
      <w:pPr>
        <w:spacing w:line="600" w:lineRule="exact"/>
        <w:ind w:firstLine="800" w:firstLineChars="250"/>
        <w:jc w:val="left"/>
        <w:rPr>
          <w:rFonts w:ascii="仿宋_GB2312" w:hAnsi="宋体" w:eastAsia="仿宋_GB2312"/>
          <w:b/>
          <w:sz w:val="32"/>
          <w:szCs w:val="32"/>
        </w:rPr>
      </w:pPr>
      <w:r>
        <w:rPr>
          <w:rFonts w:hint="eastAsia" w:ascii="黑体" w:hAnsi="黑体" w:eastAsia="黑体" w:cs="宋体"/>
          <w:bCs/>
          <w:color w:val="333333"/>
          <w:sz w:val="32"/>
          <w:szCs w:val="32"/>
          <w:lang w:bidi="ar"/>
        </w:rPr>
        <w:t xml:space="preserve"> </w:t>
      </w:r>
      <w:r>
        <w:rPr>
          <w:rFonts w:hint="eastAsia" w:ascii="仿宋_GB2312" w:hAnsi="宋体" w:eastAsia="仿宋_GB2312"/>
          <w:bCs/>
          <w:sz w:val="32"/>
          <w:szCs w:val="32"/>
        </w:rPr>
        <w:t>（一）预算执行情况分析</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2024年库尔勒市政协总支出487.63万元，预算执行率100%，其中一般公共服务支出319.63万元；教育支出1.78万元；社会保障和就业支出109.68万元；卫生健康支出25.27万元；住房保障支出31.27万元。</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1.基本支出使用情况</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2024年，库尔勒市政协基本支出460.33万元，占总支出的94.40％，其中：其中一般公共服务支出292.33万元；教育支出1.78万元；社会保障和就业支出109.68万元；卫生健康支出25.27万元；住房保障支出31.27万元。</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2.项目支出使用情况</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2024年，库尔勒市政协项目支出27.3万元，占总支出的5.6％。其中：一般公共服务支出27.3万元。</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（二）部门单位整体支出绩效指标完成情况分析</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年初我单位设置部门整体绩效目标中包括一级指标1个二级指标2个，三级指标4个，指标完成情况分析如下：</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1.履职效能</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（1）数量指标</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指标1：保障和提升政协委员形成政治协商、民主监督、参政议政工作次数，指标值：&gt;=8项，年中监控完成值：5项，自评完成值：8项，指标完成率100%，偏差0%，指标成效分析：通过委员开展学习培训、调研视察、收集社情民意，完成了调研报告的撰写，提出了有效的意见建议，提升了委员履职能力。</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指标2：审议讨论通过政协常委会和提案工作报告次数，指标值：&gt;=1次，年中监控完成值：1次，自评完成值：1次 ，指标完成率 100 %，偏差0%，指标成效分析：通过委员审议讨论通过政协常委会和提案工作报告，完成了政协年度工作任务和提案收集办理情况，促进了我市更好的发展。</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指标3：召开十一届政协四次会议次数，&gt;=1次，年中监控完成值：1次，自评完成值：1次 ，指标完成率100 %，偏差0%，指标成效分析：通过召开十一届政协四次会议，完成了年度工作报告审议、重大事项表决等议程，确保了政协职能的依法履行，推动了区域发展规划和政策的落实。</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指标4：召开库尔勒市政协常委会会议次数，指标值：&gt;=4次，年中监控完成值：1次，自评完成值：4次，指标完成率 100 %，偏差0%，指标成效分析：通过召开库尔勒市政协常委会会议，完成了年度工作报告审议、重大事项表决等议程，确保了政协职能的依法履行。</w:t>
      </w:r>
    </w:p>
    <w:p w14:paraId="50181450">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评价结论：</w:t>
      </w:r>
    </w:p>
    <w:p w14:paraId="54DB2AAB">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2024年度部门整体支出绩效评价综合得分100.00分，评价结果为“优”。</w:t>
      </w:r>
    </w:p>
    <w:p w14:paraId="157C6691">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存在的主要问题及原因分析：</w:t>
      </w:r>
    </w:p>
    <w:p w14:paraId="73C981FB">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（1）预算绩效观念不深入。</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在日常绩效监控工作中存在着一定程度的“重分配、轻管理、重支出、轻绩效”的情况，造成该问题的主要原因是自身绩效理念较薄弱，单位绩效目标编制仍有缺失，需要进一步加强对资金绩效管理的重视程度。</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（2）预算绩效规范管理有盲点。</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财务人员面对当前绩效管理工作既没有现成的经验可供借鉴，又缺乏专业性很强的技能储备，只能是边工作、边学习、边积累，短期内部分工作只能停留在表面，难以做到程序规范、管理科学，难以满足当前绩效管理要求。</w:t>
      </w:r>
    </w:p>
    <w:p w14:paraId="1DFAD09A">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改进措施和建议：</w:t>
      </w:r>
    </w:p>
    <w:p w14:paraId="74E6D82C">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一是加强宣传引导,强化绩效观念。</w:t>
      </w:r>
      <w:r>
        <w:rPr>
          <w:rFonts w:hint="eastAsia" w:ascii="仿宋_GB2312" w:hAnsi="宋体" w:eastAsia="仿宋_GB2312"/>
          <w:bCs/>
          <w:sz w:val="32"/>
          <w:szCs w:val="32"/>
        </w:rPr>
        <w:br w:type="textWrapping"/>
      </w:r>
      <w:r>
        <w:rPr>
          <w:rFonts w:hint="eastAsia" w:ascii="仿宋_GB2312" w:hAnsi="宋体" w:eastAsia="仿宋_GB2312"/>
          <w:bCs/>
          <w:sz w:val="32"/>
          <w:szCs w:val="32"/>
        </w:rPr>
        <w:t>党的十八届三中全会作出的《关于全面深化改革若干重大问题的决定》中对政府绩效管理和财政预算管理提出了明确要求，新修订的《预算法》以及新修订的《行政单位财务规则》也对预算绩效管理作出了具体规定，尽快建立并完善预算绩效管理机制也是深化全面从严治党、推进法治型、服务型、节约型政府建设的有效途径和重要举措。要采取专题培训、分类指导等多种形式，组织预算单位和工作人员学习预算绩效管理的法律法规、规范要求，让绩效理念深入人心、让绩效管理人员熟知政策、知行合一。</w:t>
      </w:r>
      <w:r>
        <w:rPr>
          <w:rFonts w:hint="eastAsia" w:ascii="仿宋_GB2312" w:hAnsi="宋体" w:eastAsia="仿宋_GB2312"/>
          <w:bCs/>
          <w:sz w:val="32"/>
          <w:szCs w:val="32"/>
        </w:rPr>
        <w:br w:type="textWrapping"/>
      </w:r>
      <w:r>
        <w:rPr>
          <w:rFonts w:hint="eastAsia" w:ascii="仿宋_GB2312" w:hAnsi="宋体" w:eastAsia="仿宋_GB2312"/>
          <w:bCs/>
          <w:sz w:val="32"/>
          <w:szCs w:val="32"/>
        </w:rPr>
        <w:t>二是完善指标体系,规范评价标准。</w:t>
      </w:r>
      <w:r>
        <w:rPr>
          <w:rFonts w:hint="eastAsia" w:ascii="仿宋_GB2312" w:hAnsi="宋体" w:eastAsia="仿宋_GB2312"/>
          <w:bCs/>
          <w:sz w:val="32"/>
          <w:szCs w:val="32"/>
        </w:rPr>
        <w:br w:type="textWrapping"/>
      </w:r>
      <w:r>
        <w:rPr>
          <w:rFonts w:hint="eastAsia" w:ascii="仿宋_GB2312" w:hAnsi="宋体" w:eastAsia="仿宋_GB2312"/>
          <w:bCs/>
          <w:sz w:val="32"/>
          <w:szCs w:val="32"/>
        </w:rPr>
        <w:t>要准确把握预算绩效管理的制度规定，积极探索适用于不同部门、不同项目的绩效指标，逐步建立涵盖各类各项支出、符合目标内容、突出绩效特色、细化量化、便于考核的统一规范的绩效评价指标体系，以及覆盖全部预算支出结果绩效评价的规范标准，尽快形成“预算编制有目标、预算执行有监控、预算完成有评价、评价结果有反馈、反馈结果有应用”的全过程预算绩效管理机制。</w:t>
      </w:r>
    </w:p>
    <w:p w14:paraId="254D0109"/>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font>
  <w:font w:name="华文中宋">
    <w:panose1 w:val="02010600040101010101"/>
    <w:charset w:val="86"/>
    <w:family w:val="auto"/>
    <w:pitch w:val="default"/>
    <w:sig w:usb0="00000287" w:usb1="080F0000" w:usb2="00000000" w:usb3="00000000" w:csb0="0004009F" w:csb1="DFD7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9703BB8"/>
    <w:multiLevelType w:val="multilevel"/>
    <w:tmpl w:val="69703BB8"/>
    <w:lvl w:ilvl="0" w:tentative="0">
      <w:start w:val="1"/>
      <w:numFmt w:val="japaneseCounting"/>
      <w:lvlText w:val="%1、"/>
      <w:lvlJc w:val="left"/>
      <w:pPr>
        <w:ind w:left="1368" w:hanging="720"/>
      </w:pPr>
      <w:rPr>
        <w:rFonts w:hint="default"/>
      </w:rPr>
    </w:lvl>
    <w:lvl w:ilvl="1" w:tentative="0">
      <w:start w:val="1"/>
      <w:numFmt w:val="lowerLetter"/>
      <w:lvlText w:val="%2)"/>
      <w:lvlJc w:val="left"/>
      <w:pPr>
        <w:ind w:left="1488" w:hanging="420"/>
      </w:pPr>
    </w:lvl>
    <w:lvl w:ilvl="2" w:tentative="0">
      <w:start w:val="1"/>
      <w:numFmt w:val="lowerRoman"/>
      <w:lvlText w:val="%3."/>
      <w:lvlJc w:val="right"/>
      <w:pPr>
        <w:ind w:left="1908" w:hanging="420"/>
      </w:pPr>
    </w:lvl>
    <w:lvl w:ilvl="3" w:tentative="0">
      <w:start w:val="1"/>
      <w:numFmt w:val="decimal"/>
      <w:lvlText w:val="%4."/>
      <w:lvlJc w:val="left"/>
      <w:pPr>
        <w:ind w:left="2328" w:hanging="420"/>
      </w:pPr>
    </w:lvl>
    <w:lvl w:ilvl="4" w:tentative="0">
      <w:start w:val="1"/>
      <w:numFmt w:val="lowerLetter"/>
      <w:lvlText w:val="%5)"/>
      <w:lvlJc w:val="left"/>
      <w:pPr>
        <w:ind w:left="2748" w:hanging="420"/>
      </w:pPr>
    </w:lvl>
    <w:lvl w:ilvl="5" w:tentative="0">
      <w:start w:val="1"/>
      <w:numFmt w:val="lowerRoman"/>
      <w:lvlText w:val="%6."/>
      <w:lvlJc w:val="right"/>
      <w:pPr>
        <w:ind w:left="3168" w:hanging="420"/>
      </w:pPr>
    </w:lvl>
    <w:lvl w:ilvl="6" w:tentative="0">
      <w:start w:val="1"/>
      <w:numFmt w:val="decimal"/>
      <w:lvlText w:val="%7."/>
      <w:lvlJc w:val="left"/>
      <w:pPr>
        <w:ind w:left="3588" w:hanging="420"/>
      </w:pPr>
    </w:lvl>
    <w:lvl w:ilvl="7" w:tentative="0">
      <w:start w:val="1"/>
      <w:numFmt w:val="lowerLetter"/>
      <w:lvlText w:val="%8)"/>
      <w:lvlJc w:val="left"/>
      <w:pPr>
        <w:ind w:left="4008" w:hanging="420"/>
      </w:pPr>
    </w:lvl>
    <w:lvl w:ilvl="8" w:tentative="0">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8"/>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AwZmYzMDUwNzhmYmVmMzNlY2I1MjAwNzI2NzY5MDUifQ=="/>
  </w:docVars>
  <w:rsids>
    <w:rsidRoot w:val="00EB3604"/>
    <w:rsid w:val="00021B05"/>
    <w:rsid w:val="000B791B"/>
    <w:rsid w:val="001C7F2C"/>
    <w:rsid w:val="00340E58"/>
    <w:rsid w:val="003E45AA"/>
    <w:rsid w:val="00486CD9"/>
    <w:rsid w:val="00584481"/>
    <w:rsid w:val="00653C1A"/>
    <w:rsid w:val="0072543F"/>
    <w:rsid w:val="007A5D83"/>
    <w:rsid w:val="007A798C"/>
    <w:rsid w:val="007B51CE"/>
    <w:rsid w:val="007D7702"/>
    <w:rsid w:val="007E47F4"/>
    <w:rsid w:val="007F0F7C"/>
    <w:rsid w:val="00892E0B"/>
    <w:rsid w:val="008F0DCE"/>
    <w:rsid w:val="00916058"/>
    <w:rsid w:val="00AB72C1"/>
    <w:rsid w:val="00C10BB4"/>
    <w:rsid w:val="00CE0C6C"/>
    <w:rsid w:val="00DB647F"/>
    <w:rsid w:val="00DC7E33"/>
    <w:rsid w:val="00E40ABD"/>
    <w:rsid w:val="00E8616A"/>
    <w:rsid w:val="00EB3604"/>
    <w:rsid w:val="020B07BA"/>
    <w:rsid w:val="02656D15"/>
    <w:rsid w:val="06696209"/>
    <w:rsid w:val="0D1922F1"/>
    <w:rsid w:val="10DF6E84"/>
    <w:rsid w:val="1438599A"/>
    <w:rsid w:val="200F4073"/>
    <w:rsid w:val="24B86128"/>
    <w:rsid w:val="2D6431F9"/>
    <w:rsid w:val="51C70EA9"/>
    <w:rsid w:val="54F842B6"/>
    <w:rsid w:val="64F5745B"/>
    <w:rsid w:val="656071F2"/>
    <w:rsid w:val="6BF1756B"/>
    <w:rsid w:val="6F5E1AA3"/>
    <w:rsid w:val="7F200B83"/>
    <w:rsid w:val="7F5D58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Strong"/>
    <w:basedOn w:val="5"/>
    <w:qFormat/>
    <w:uiPriority w:val="0"/>
    <w:rPr>
      <w:b/>
      <w:bCs/>
    </w:rPr>
  </w:style>
  <w:style w:type="character" w:customStyle="1" w:styleId="7">
    <w:name w:val="页眉 字符"/>
    <w:basedOn w:val="5"/>
    <w:link w:val="3"/>
    <w:qFormat/>
    <w:uiPriority w:val="99"/>
    <w:rPr>
      <w:sz w:val="18"/>
      <w:szCs w:val="18"/>
    </w:rPr>
  </w:style>
  <w:style w:type="character" w:customStyle="1" w:styleId="8">
    <w:name w:val="页脚 字符"/>
    <w:basedOn w:val="5"/>
    <w:link w:val="2"/>
    <w:qFormat/>
    <w:uiPriority w:val="99"/>
    <w:rPr>
      <w:sz w:val="18"/>
      <w:szCs w:val="18"/>
    </w:rPr>
  </w:style>
  <w:style w:type="paragraph" w:styleId="9">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14</Pages>
  <Words>57</Words>
  <Characters>328</Characters>
  <Lines>2</Lines>
  <Paragraphs>1</Paragraphs>
  <TotalTime>8</TotalTime>
  <ScaleCrop>false</ScaleCrop>
  <LinksUpToDate>false</LinksUpToDate>
  <CharactersWithSpaces>384</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2020-06-04T05:22:00Z</dcterms:created>
  <dc:creator>hongbing liu</dc:creator>
  <cp:lastModifiedBy>Administrator</cp:lastModifiedBy>
  <dcterms:modified xsi:type="dcterms:W3CDTF">2025-08-15T07:13:58Z</dcterms:modified>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2E134DF84F2F46C7B9B936FAAB58705F_13</vt:lpwstr>
  </property>
</Properties>
</file>