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DEF48">
      <w:pPr>
        <w:widowControl/>
        <w:spacing w:before="0" w:beforeLines="0" w:beforeAutospacing="0" w:after="0" w:afterLines="0" w:afterAutospacing="0" w:line="240" w:lineRule="auto"/>
        <w:jc w:val="left"/>
        <w:rPr>
          <w:rFonts w:ascii="宋体" w:eastAsia="宋体"/>
          <w:sz w:val="32"/>
          <w:szCs w:val="32"/>
        </w:rPr>
      </w:pPr>
    </w:p>
    <w:p w14:paraId="0D480E8A">
      <w:pPr>
        <w:widowControl/>
        <w:spacing w:before="0" w:beforeLines="0" w:beforeAutospacing="0" w:after="0" w:afterLines="0" w:afterAutospacing="0" w:line="240" w:lineRule="auto"/>
        <w:jc w:val="left"/>
        <w:rPr>
          <w:rFonts w:ascii="宋体" w:eastAsia="宋体"/>
          <w:sz w:val="44"/>
          <w:szCs w:val="44"/>
        </w:rPr>
      </w:pPr>
    </w:p>
    <w:p w14:paraId="06533A78">
      <w:pPr>
        <w:widowControl/>
        <w:spacing w:before="0" w:beforeLines="0" w:beforeAutospacing="0" w:after="0" w:afterLines="0" w:afterAutospacing="0" w:line="240" w:lineRule="auto"/>
        <w:jc w:val="left"/>
        <w:rPr>
          <w:rFonts w:ascii="宋体" w:eastAsia="宋体"/>
          <w:sz w:val="44"/>
          <w:szCs w:val="44"/>
        </w:rPr>
      </w:pPr>
    </w:p>
    <w:p w14:paraId="7EA6EC03">
      <w:pPr>
        <w:widowControl/>
        <w:spacing w:before="0" w:beforeLines="0" w:beforeAutospacing="0" w:after="0" w:afterLines="0" w:afterAutospacing="0" w:line="240" w:lineRule="auto"/>
        <w:jc w:val="left"/>
        <w:rPr>
          <w:rFonts w:ascii="宋体" w:eastAsia="宋体"/>
          <w:sz w:val="44"/>
          <w:szCs w:val="44"/>
        </w:rPr>
      </w:pPr>
    </w:p>
    <w:p w14:paraId="40351528">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中国人民政治协商会议新疆维吾尔自治区库尔勒市委员会</w:t>
      </w:r>
    </w:p>
    <w:p w14:paraId="5106FB81">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00EE242D">
      <w:pPr>
        <w:widowControl/>
      </w:pPr>
      <w:r>
        <w:rPr>
          <w:b w:val="0"/>
          <w:sz w:val="0"/>
          <w:szCs w:val="0"/>
        </w:rPr>
        <w:br w:type="page"/>
      </w:r>
    </w:p>
    <w:p w14:paraId="66F40960">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35052B8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196980A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4E62A12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05078C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7183FDF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6DF1059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6C6889C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1837D9C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443413E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6A090BE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44A9027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754AD83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22315BD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50B34BE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6C6C9F9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7BFEFA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03010DD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65A31E9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02B3729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FC9506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7B0C197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7954728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561563B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6690DAD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5284FDB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4BE2B4E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371E5F2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34965BE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168D67F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67F7631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2F4B134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75832B6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5A5575B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487DC0F2">
      <w:pPr>
        <w:widowControl/>
      </w:pPr>
      <w:r>
        <w:rPr>
          <w:b w:val="0"/>
          <w:sz w:val="0"/>
          <w:szCs w:val="0"/>
        </w:rPr>
        <w:br w:type="page"/>
      </w:r>
    </w:p>
    <w:p w14:paraId="1FA2947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399000B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6456D29D">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政协库尔勒市委员会办公室是政协机关的综合性、协调性、服务性机构， 是政协机关职能的主要动作机构，政协的各项活动、和工作都要通过这一机构来组织实施，政协办公室工作直接关系、到整个政协工作的质量和水平。主要职责：负责市政协全体会议、常委会议、主席会议、专题座谈会以及其他重要会议、活动的组织、协商、服务和文稿起草工作。负责政协机关公文处理、文书档案、机要保密等工作和机关办公自动化工作。负责与州政协和市党委、市人大、市政府办公室及有关部门的联系、协调工作。负责与政协委员联络站的联系、指导和协调工作，协助各专委会做好视察、调研等服务工作，及时了解和掌握活动开展情况。</w:t>
      </w:r>
    </w:p>
    <w:p w14:paraId="22EEB29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2E3342D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中国人民政治协商会议新疆维吾尔自治区库尔勒市委员会2024年度，实有人数54人，其中：在职人员19人，减少1人；离休人员0人，较上年无变化；退休人员35人，较上年无变化；</w:t>
      </w:r>
    </w:p>
    <w:p w14:paraId="722B7CE0">
      <w:pPr>
        <w:widowControl/>
        <w:ind w:firstLine="640" w:firstLineChars="200"/>
      </w:pPr>
      <w:r>
        <w:rPr>
          <w:rFonts w:ascii="仿宋_GB2312" w:eastAsia="仿宋_GB2312"/>
          <w:b w:val="0"/>
          <w:sz w:val="32"/>
          <w:szCs w:val="32"/>
        </w:rPr>
        <w:t>中国人民政治协商会议新疆维吾尔自治区库尔勒市委员会无下属预算单位，下设 6 个科室，分别是：提案工作委员会、经济科技工作委员会、文化教育卫生工作委员会、民族宗教法制工作委员会、学习工作委员会和办公室。</w:t>
      </w:r>
      <w:r>
        <w:rPr>
          <w:b w:val="0"/>
          <w:sz w:val="0"/>
          <w:szCs w:val="0"/>
        </w:rPr>
        <w:br w:type="page"/>
      </w:r>
    </w:p>
    <w:p w14:paraId="19083AB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6793183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1A26B88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2024年度收入总计487.63万元，其中：本年收入合计487.63万元，使用非财政拨款结余（含专用结余）0.00万元，年初结转和结余0.00万元。</w:t>
      </w:r>
    </w:p>
    <w:p w14:paraId="255A42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2024年度支出总计487.63万元，其中：本年支出合计487.63万元，结余分配0.00万元，年末结转和结余0.00万元。</w:t>
      </w:r>
    </w:p>
    <w:p w14:paraId="14D8E3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收入支出总体与上年相比，减少47.64万元，下降8.90%，主要原因是：</w:t>
      </w:r>
      <w:r>
        <w:rPr>
          <w:rFonts w:hint="eastAsia" w:ascii="仿宋_GB2312" w:eastAsia="仿宋_GB2312"/>
          <w:b w:val="0"/>
          <w:sz w:val="32"/>
          <w:szCs w:val="32"/>
        </w:rPr>
        <w:t>本年在职转退休1人，人员调入1人，调出1人，人员</w:t>
      </w:r>
      <w:r>
        <w:rPr>
          <w:rFonts w:hint="eastAsia" w:ascii="仿宋_GB2312" w:eastAsia="仿宋_GB2312"/>
          <w:b w:val="0"/>
          <w:sz w:val="32"/>
          <w:szCs w:val="32"/>
          <w:lang w:val="en-US" w:eastAsia="zh-CN"/>
        </w:rPr>
        <w:t>经费</w:t>
      </w:r>
      <w:r>
        <w:rPr>
          <w:rFonts w:hint="eastAsia" w:ascii="仿宋_GB2312" w:eastAsia="仿宋_GB2312"/>
          <w:b w:val="0"/>
          <w:sz w:val="32"/>
          <w:szCs w:val="32"/>
        </w:rPr>
        <w:t>减少以及本年无公务用车购置费</w:t>
      </w:r>
      <w:r>
        <w:rPr>
          <w:rFonts w:hint="eastAsia" w:ascii="仿宋_GB2312" w:eastAsia="仿宋_GB2312"/>
          <w:b w:val="0"/>
          <w:sz w:val="32"/>
          <w:szCs w:val="32"/>
          <w:lang w:val="en-US" w:eastAsia="zh-CN"/>
        </w:rPr>
        <w:t>16.49万元</w:t>
      </w:r>
      <w:r>
        <w:rPr>
          <w:rFonts w:hint="eastAsia" w:ascii="仿宋_GB2312" w:eastAsia="仿宋_GB2312"/>
          <w:b w:val="0"/>
          <w:sz w:val="32"/>
          <w:szCs w:val="32"/>
        </w:rPr>
        <w:t>，导致</w:t>
      </w:r>
      <w:r>
        <w:rPr>
          <w:rFonts w:ascii="仿宋_GB2312" w:eastAsia="仿宋_GB2312"/>
          <w:b w:val="0"/>
          <w:sz w:val="32"/>
          <w:szCs w:val="32"/>
        </w:rPr>
        <w:t>收入支出总体与上年相比</w:t>
      </w:r>
      <w:r>
        <w:rPr>
          <w:rFonts w:hint="eastAsia" w:ascii="仿宋_GB2312" w:eastAsia="仿宋_GB2312"/>
          <w:b w:val="0"/>
          <w:sz w:val="32"/>
          <w:szCs w:val="32"/>
        </w:rPr>
        <w:t>减少。</w:t>
      </w:r>
    </w:p>
    <w:p w14:paraId="353CC15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3668955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本年收入487.63万元，其中：财政拨款收入487.63万元,占100.00%；上级补助收入0.00万元,占0.00%；事业收入0.00万元，占0.00%；经营收入0.00万元,占0.00%；附属单位上缴收入0.00万元，占0.00%；其他收入0.00万元，占0.00%。</w:t>
      </w:r>
    </w:p>
    <w:p w14:paraId="15500A2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79AD3CA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本年支出487.63万元，其中：基本支出460.33万元，占94.40%；项目支出27.30万元，占5.60%；上缴上级支出0.00万元，占0.00%；经营支出0.00万元，占0.00%；对附属单位补助支出0.00万元，占0.00%。</w:t>
      </w:r>
    </w:p>
    <w:p w14:paraId="5296B42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79152EE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2024年度财政拨款收入总计487.63万元，其中：年初财政拨款结转和结余0.00万元，本年财政拨款收入487.63万元。财政拨款支出总计487.63万元，其中：年末财政拨款结转和结余0.00万元，本年财政拨款支出487.63万元。</w:t>
      </w:r>
    </w:p>
    <w:p w14:paraId="77596BE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财政拨款收入支出总体与上年相比，减少47.64万元，下降8.90%，主要原因是：</w:t>
      </w:r>
      <w:r>
        <w:rPr>
          <w:rFonts w:hint="eastAsia" w:ascii="仿宋_GB2312" w:eastAsia="仿宋_GB2312"/>
          <w:b w:val="0"/>
          <w:sz w:val="32"/>
          <w:szCs w:val="32"/>
        </w:rPr>
        <w:t>本年在职转退休1人，人员调入1人，调出1人，人员</w:t>
      </w:r>
      <w:r>
        <w:rPr>
          <w:rFonts w:hint="eastAsia" w:ascii="仿宋_GB2312" w:eastAsia="仿宋_GB2312"/>
          <w:b w:val="0"/>
          <w:sz w:val="32"/>
          <w:szCs w:val="32"/>
          <w:lang w:val="en-US" w:eastAsia="zh-CN"/>
        </w:rPr>
        <w:t>经费</w:t>
      </w:r>
      <w:r>
        <w:rPr>
          <w:rFonts w:hint="eastAsia" w:ascii="仿宋_GB2312" w:eastAsia="仿宋_GB2312"/>
          <w:b w:val="0"/>
          <w:sz w:val="32"/>
          <w:szCs w:val="32"/>
        </w:rPr>
        <w:t>减少以及本年无公务用车购置费</w:t>
      </w:r>
      <w:r>
        <w:rPr>
          <w:rFonts w:hint="eastAsia" w:ascii="仿宋_GB2312" w:eastAsia="仿宋_GB2312"/>
          <w:b w:val="0"/>
          <w:sz w:val="32"/>
          <w:szCs w:val="32"/>
          <w:lang w:val="en-US" w:eastAsia="zh-CN"/>
        </w:rPr>
        <w:t>16.49万元</w:t>
      </w:r>
      <w:r>
        <w:rPr>
          <w:rFonts w:hint="eastAsia" w:ascii="仿宋_GB2312" w:eastAsia="仿宋_GB2312"/>
          <w:b w:val="0"/>
          <w:sz w:val="32"/>
          <w:szCs w:val="32"/>
        </w:rPr>
        <w:t>，导致</w:t>
      </w:r>
      <w:r>
        <w:rPr>
          <w:rFonts w:ascii="仿宋_GB2312" w:eastAsia="仿宋_GB2312"/>
          <w:b w:val="0"/>
          <w:sz w:val="32"/>
          <w:szCs w:val="32"/>
        </w:rPr>
        <w:t>财政拨款收入支出总体与上年相比</w:t>
      </w:r>
      <w:r>
        <w:rPr>
          <w:rFonts w:hint="eastAsia" w:ascii="仿宋_GB2312" w:eastAsia="仿宋_GB2312"/>
          <w:b w:val="0"/>
          <w:sz w:val="32"/>
          <w:szCs w:val="32"/>
        </w:rPr>
        <w:t>减少。</w:t>
      </w:r>
      <w:r>
        <w:rPr>
          <w:rFonts w:ascii="仿宋_GB2312" w:eastAsia="仿宋_GB2312"/>
          <w:b w:val="0"/>
          <w:sz w:val="32"/>
          <w:szCs w:val="32"/>
        </w:rPr>
        <w:t>与年初预算相比，年初预算数509.19万元，决算数487.63万元，预决算差异率-4.23%，主要原因是：</w:t>
      </w:r>
      <w:r>
        <w:rPr>
          <w:rFonts w:hint="eastAsia" w:ascii="仿宋_GB2312" w:eastAsia="仿宋_GB2312"/>
          <w:b w:val="0"/>
          <w:sz w:val="32"/>
          <w:szCs w:val="32"/>
        </w:rPr>
        <w:t>本年在职转退休1人，人员调入1人，调出1人，人员</w:t>
      </w:r>
      <w:r>
        <w:rPr>
          <w:rFonts w:hint="eastAsia" w:ascii="仿宋_GB2312" w:eastAsia="仿宋_GB2312"/>
          <w:b w:val="0"/>
          <w:sz w:val="32"/>
          <w:szCs w:val="32"/>
          <w:lang w:val="en-US" w:eastAsia="zh-CN"/>
        </w:rPr>
        <w:t>经费</w:t>
      </w:r>
      <w:r>
        <w:rPr>
          <w:rFonts w:hint="eastAsia" w:ascii="仿宋_GB2312" w:eastAsia="仿宋_GB2312"/>
          <w:b w:val="0"/>
          <w:sz w:val="32"/>
          <w:szCs w:val="32"/>
        </w:rPr>
        <w:t>减少</w:t>
      </w:r>
      <w:r>
        <w:rPr>
          <w:rFonts w:ascii="仿宋_GB2312" w:eastAsia="仿宋_GB2312"/>
          <w:b w:val="0"/>
          <w:sz w:val="32"/>
          <w:szCs w:val="32"/>
        </w:rPr>
        <w:t>。</w:t>
      </w:r>
    </w:p>
    <w:p w14:paraId="1E6D289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789FA904">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14:paraId="3CF6352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2024年度一般公共预算财政拨款支出487.63万元，占本年支出合计的100.00%。与上年相比，减少47.64万元，下降8.90%，主要原因是：</w:t>
      </w:r>
      <w:r>
        <w:rPr>
          <w:rFonts w:hint="eastAsia" w:ascii="仿宋_GB2312" w:eastAsia="仿宋_GB2312"/>
          <w:b w:val="0"/>
          <w:sz w:val="32"/>
          <w:szCs w:val="32"/>
        </w:rPr>
        <w:t>本年在职转退休1人，人员调入1人，调出1人，人员</w:t>
      </w:r>
      <w:r>
        <w:rPr>
          <w:rFonts w:hint="eastAsia" w:ascii="仿宋_GB2312" w:eastAsia="仿宋_GB2312"/>
          <w:b w:val="0"/>
          <w:sz w:val="32"/>
          <w:szCs w:val="32"/>
          <w:lang w:val="en-US" w:eastAsia="zh-CN"/>
        </w:rPr>
        <w:t>经费</w:t>
      </w:r>
      <w:r>
        <w:rPr>
          <w:rFonts w:hint="eastAsia" w:ascii="仿宋_GB2312" w:eastAsia="仿宋_GB2312"/>
          <w:b w:val="0"/>
          <w:sz w:val="32"/>
          <w:szCs w:val="32"/>
        </w:rPr>
        <w:t>减少以及本年无公务用车购置费</w:t>
      </w:r>
      <w:r>
        <w:rPr>
          <w:rFonts w:hint="eastAsia" w:ascii="仿宋_GB2312" w:eastAsia="仿宋_GB2312"/>
          <w:b w:val="0"/>
          <w:sz w:val="32"/>
          <w:szCs w:val="32"/>
          <w:lang w:val="en-US" w:eastAsia="zh-CN"/>
        </w:rPr>
        <w:t>16.49万元</w:t>
      </w:r>
      <w:r>
        <w:rPr>
          <w:rFonts w:hint="eastAsia" w:ascii="仿宋_GB2312" w:eastAsia="仿宋_GB2312"/>
          <w:b w:val="0"/>
          <w:sz w:val="32"/>
          <w:szCs w:val="32"/>
        </w:rPr>
        <w:t>，导致</w:t>
      </w:r>
      <w:r>
        <w:rPr>
          <w:rFonts w:ascii="仿宋_GB2312" w:eastAsia="仿宋_GB2312"/>
          <w:b w:val="0"/>
          <w:sz w:val="32"/>
          <w:szCs w:val="32"/>
        </w:rPr>
        <w:t>一般公共预算财政拨款支出与上年相比</w:t>
      </w:r>
      <w:r>
        <w:rPr>
          <w:rFonts w:hint="eastAsia" w:ascii="仿宋_GB2312" w:eastAsia="仿宋_GB2312"/>
          <w:b w:val="0"/>
          <w:sz w:val="32"/>
          <w:szCs w:val="32"/>
        </w:rPr>
        <w:t>减少</w:t>
      </w:r>
      <w:bookmarkStart w:id="0" w:name="_GoBack"/>
      <w:bookmarkEnd w:id="0"/>
      <w:r>
        <w:rPr>
          <w:rFonts w:ascii="仿宋_GB2312" w:eastAsia="仿宋_GB2312"/>
          <w:b w:val="0"/>
          <w:sz w:val="32"/>
          <w:szCs w:val="32"/>
        </w:rPr>
        <w:t>。与年初预算相比，年初预算数509.19万元，决算数487.63万元，预决算差异率-4.23%，主要原因是：</w:t>
      </w:r>
      <w:r>
        <w:rPr>
          <w:rFonts w:hint="eastAsia" w:ascii="仿宋_GB2312" w:eastAsia="仿宋_GB2312"/>
          <w:b w:val="0"/>
          <w:sz w:val="32"/>
          <w:szCs w:val="32"/>
        </w:rPr>
        <w:t>本年在职转退休1人，人员调入1人，调出1人，人员</w:t>
      </w:r>
      <w:r>
        <w:rPr>
          <w:rFonts w:hint="eastAsia" w:ascii="仿宋_GB2312" w:eastAsia="仿宋_GB2312"/>
          <w:b w:val="0"/>
          <w:sz w:val="32"/>
          <w:szCs w:val="32"/>
          <w:lang w:val="en-US" w:eastAsia="zh-CN"/>
        </w:rPr>
        <w:t>经费</w:t>
      </w:r>
      <w:r>
        <w:rPr>
          <w:rFonts w:hint="eastAsia" w:ascii="仿宋_GB2312" w:eastAsia="仿宋_GB2312"/>
          <w:b w:val="0"/>
          <w:sz w:val="32"/>
          <w:szCs w:val="32"/>
        </w:rPr>
        <w:t>减少</w:t>
      </w:r>
      <w:r>
        <w:rPr>
          <w:rFonts w:ascii="仿宋_GB2312" w:eastAsia="仿宋_GB2312"/>
          <w:b w:val="0"/>
          <w:sz w:val="32"/>
          <w:szCs w:val="32"/>
        </w:rPr>
        <w:t>。</w:t>
      </w:r>
    </w:p>
    <w:p w14:paraId="5FE001B9">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14:paraId="0FE45D9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一般公共服务支出（类）319.63万元，占65.55%。</w:t>
      </w:r>
    </w:p>
    <w:p w14:paraId="3EE2A6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教育支出（类）1.78万元，占0.37%。</w:t>
      </w:r>
    </w:p>
    <w:p w14:paraId="6FCD462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社会保障和就业支出（类）109.68万元，占22.49%。</w:t>
      </w:r>
    </w:p>
    <w:p w14:paraId="0017BBD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卫生健康支出（类）25.27万元，占5.18%。</w:t>
      </w:r>
    </w:p>
    <w:p w14:paraId="015640E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住房保障支出（类）31.27万元，占6.41%。</w:t>
      </w:r>
    </w:p>
    <w:p w14:paraId="6736C620">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14:paraId="3B149AC5">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一般公共服务支出（类）政协事务（款）行政运行（项）：支出决算数为291.45万元，比上年决算减少26.70万元，下降8.39%，主要原因是：</w:t>
      </w:r>
      <w:r>
        <w:rPr>
          <w:rFonts w:hint="eastAsia" w:ascii="仿宋_GB2312" w:eastAsia="仿宋_GB2312"/>
          <w:b w:val="0"/>
          <w:sz w:val="32"/>
          <w:szCs w:val="32"/>
        </w:rPr>
        <w:t>本年在职转退休1人，人员调入1人，调出1人，人员</w:t>
      </w:r>
      <w:r>
        <w:rPr>
          <w:rFonts w:hint="eastAsia" w:ascii="仿宋_GB2312" w:eastAsia="仿宋_GB2312"/>
          <w:b w:val="0"/>
          <w:sz w:val="32"/>
          <w:szCs w:val="32"/>
          <w:lang w:val="en-US" w:eastAsia="zh-CN"/>
        </w:rPr>
        <w:t>经费</w:t>
      </w:r>
      <w:r>
        <w:rPr>
          <w:rFonts w:hint="eastAsia" w:ascii="仿宋_GB2312" w:eastAsia="仿宋_GB2312"/>
          <w:b w:val="0"/>
          <w:sz w:val="32"/>
          <w:szCs w:val="32"/>
        </w:rPr>
        <w:t>减少以及本年无公务用车购置费</w:t>
      </w:r>
      <w:r>
        <w:rPr>
          <w:rFonts w:hint="eastAsia" w:ascii="仿宋_GB2312" w:eastAsia="仿宋_GB2312"/>
          <w:b w:val="0"/>
          <w:sz w:val="32"/>
          <w:szCs w:val="32"/>
          <w:lang w:val="en-US" w:eastAsia="zh-CN"/>
        </w:rPr>
        <w:t>16.49万元</w:t>
      </w:r>
      <w:r>
        <w:rPr>
          <w:rFonts w:hint="eastAsia" w:ascii="仿宋_GB2312" w:eastAsia="仿宋_GB2312"/>
          <w:b w:val="0"/>
          <w:sz w:val="32"/>
          <w:szCs w:val="32"/>
        </w:rPr>
        <w:t>，导致</w:t>
      </w:r>
      <w:r>
        <w:rPr>
          <w:rFonts w:ascii="仿宋_GB2312" w:eastAsia="仿宋_GB2312"/>
          <w:b w:val="0"/>
          <w:sz w:val="32"/>
          <w:szCs w:val="32"/>
        </w:rPr>
        <w:t>行政运行支出决算数比上年决算减少</w:t>
      </w:r>
      <w:r>
        <w:rPr>
          <w:rFonts w:hint="eastAsia" w:ascii="仿宋_GB2312" w:eastAsia="仿宋_GB2312"/>
          <w:b w:val="0"/>
          <w:sz w:val="32"/>
          <w:szCs w:val="32"/>
          <w:lang w:eastAsia="zh-CN"/>
        </w:rPr>
        <w:t>。</w:t>
      </w:r>
    </w:p>
    <w:p w14:paraId="2FA90768">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一般公共服务支出（类）政协事务（款）政协会议（项）：支出决算数为20.00万元，比上年决算增加13.00万元，增长185.71%，主要原因是：</w:t>
      </w:r>
      <w:r>
        <w:rPr>
          <w:rFonts w:hint="eastAsia" w:ascii="仿宋_GB2312" w:eastAsia="仿宋_GB2312"/>
          <w:b w:val="0"/>
          <w:sz w:val="32"/>
          <w:szCs w:val="32"/>
        </w:rPr>
        <w:t>本年政协十一届四次会议会议费支出增加，导致</w:t>
      </w:r>
      <w:r>
        <w:rPr>
          <w:rFonts w:ascii="仿宋_GB2312" w:eastAsia="仿宋_GB2312"/>
          <w:b w:val="0"/>
          <w:sz w:val="32"/>
          <w:szCs w:val="32"/>
        </w:rPr>
        <w:t>政协会议支出决算数比上年决算增加</w:t>
      </w:r>
      <w:r>
        <w:rPr>
          <w:rFonts w:hint="eastAsia" w:ascii="仿宋_GB2312" w:eastAsia="仿宋_GB2312"/>
          <w:b w:val="0"/>
          <w:sz w:val="32"/>
          <w:szCs w:val="32"/>
          <w:lang w:eastAsia="zh-CN"/>
        </w:rPr>
        <w:t>。</w:t>
      </w:r>
    </w:p>
    <w:p w14:paraId="30312BAB">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一般公共服务支出（类）政协事务（款）委员视察（项）：支出决算数为0.00万元，比上年决算减少6.00万元，下降100.00%，主要原因是：</w:t>
      </w:r>
      <w:r>
        <w:rPr>
          <w:rFonts w:hint="eastAsia" w:ascii="仿宋_GB2312" w:eastAsia="仿宋_GB2312"/>
          <w:b w:val="0"/>
          <w:sz w:val="32"/>
          <w:szCs w:val="32"/>
          <w:lang w:val="en-US" w:eastAsia="zh-CN"/>
        </w:rPr>
        <w:t>本年无政协委员活动保障项目经费6万元，项目减少，导致</w:t>
      </w:r>
      <w:r>
        <w:rPr>
          <w:rFonts w:ascii="仿宋_GB2312" w:eastAsia="仿宋_GB2312"/>
          <w:b w:val="0"/>
          <w:sz w:val="32"/>
          <w:szCs w:val="32"/>
        </w:rPr>
        <w:t>委员视察支出决算数比上年决算减少</w:t>
      </w:r>
      <w:r>
        <w:rPr>
          <w:rFonts w:hint="eastAsia" w:ascii="仿宋_GB2312" w:eastAsia="仿宋_GB2312"/>
          <w:b w:val="0"/>
          <w:sz w:val="32"/>
          <w:szCs w:val="32"/>
          <w:lang w:eastAsia="zh-CN"/>
        </w:rPr>
        <w:t>。</w:t>
      </w:r>
    </w:p>
    <w:p w14:paraId="73074EDB">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一般公共服务支出（类）政协事务（款）参政议政（项）：支出决算数为0.00万元，比上年决算减少2.00万元，下降100.00%，主要原因是：</w:t>
      </w:r>
      <w:r>
        <w:rPr>
          <w:rFonts w:hint="eastAsia" w:ascii="仿宋_GB2312" w:eastAsia="仿宋_GB2312"/>
          <w:b w:val="0"/>
          <w:sz w:val="32"/>
          <w:szCs w:val="32"/>
          <w:lang w:val="en-US" w:eastAsia="zh-CN"/>
        </w:rPr>
        <w:t>功能科目调整，本年度</w:t>
      </w:r>
      <w:r>
        <w:rPr>
          <w:rFonts w:ascii="仿宋_GB2312" w:eastAsia="仿宋_GB2312"/>
          <w:b w:val="0"/>
          <w:sz w:val="32"/>
          <w:szCs w:val="32"/>
        </w:rPr>
        <w:t>参政议政</w:t>
      </w:r>
      <w:r>
        <w:rPr>
          <w:rFonts w:hint="eastAsia" w:ascii="仿宋_GB2312" w:eastAsia="仿宋_GB2312"/>
          <w:b w:val="0"/>
          <w:sz w:val="32"/>
          <w:szCs w:val="32"/>
          <w:lang w:val="en-US" w:eastAsia="zh-CN"/>
        </w:rPr>
        <w:t>在</w:t>
      </w:r>
      <w:r>
        <w:rPr>
          <w:rFonts w:ascii="仿宋_GB2312" w:eastAsia="仿宋_GB2312"/>
          <w:b w:val="0"/>
          <w:sz w:val="32"/>
          <w:szCs w:val="32"/>
        </w:rPr>
        <w:t>其他政协事务支出</w:t>
      </w:r>
      <w:r>
        <w:rPr>
          <w:rFonts w:hint="eastAsia" w:ascii="仿宋_GB2312" w:eastAsia="仿宋_GB2312"/>
          <w:b w:val="0"/>
          <w:sz w:val="32"/>
          <w:szCs w:val="32"/>
          <w:lang w:val="en-US" w:eastAsia="zh-CN"/>
        </w:rPr>
        <w:t>中列支，导致</w:t>
      </w:r>
      <w:r>
        <w:rPr>
          <w:rFonts w:ascii="仿宋_GB2312" w:eastAsia="仿宋_GB2312"/>
          <w:b w:val="0"/>
          <w:sz w:val="32"/>
          <w:szCs w:val="32"/>
        </w:rPr>
        <w:t>参政议政支出决算数比上年决算减少</w:t>
      </w:r>
      <w:r>
        <w:rPr>
          <w:rFonts w:hint="eastAsia" w:ascii="仿宋_GB2312" w:eastAsia="仿宋_GB2312"/>
          <w:b w:val="0"/>
          <w:sz w:val="32"/>
          <w:szCs w:val="32"/>
          <w:lang w:eastAsia="zh-CN"/>
        </w:rPr>
        <w:t>。</w:t>
      </w:r>
    </w:p>
    <w:p w14:paraId="3E105AFA">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一般公共服务支出（类）政协事务（款）其他政协事务支出（项）：支出决算数为7.30万元，比上年决算增加2.80万元，增长62.22%，主要原因是：</w:t>
      </w:r>
      <w:r>
        <w:rPr>
          <w:rFonts w:hint="eastAsia" w:ascii="仿宋_GB2312" w:eastAsia="仿宋_GB2312"/>
          <w:b w:val="0"/>
          <w:sz w:val="32"/>
          <w:szCs w:val="32"/>
          <w:lang w:val="en-US" w:eastAsia="zh-CN"/>
        </w:rPr>
        <w:t>功能科目调整，本年度</w:t>
      </w:r>
      <w:r>
        <w:rPr>
          <w:rFonts w:ascii="仿宋_GB2312" w:eastAsia="仿宋_GB2312"/>
          <w:b w:val="0"/>
          <w:sz w:val="32"/>
          <w:szCs w:val="32"/>
        </w:rPr>
        <w:t>参政议政</w:t>
      </w:r>
      <w:r>
        <w:rPr>
          <w:rFonts w:hint="eastAsia" w:ascii="仿宋_GB2312" w:eastAsia="仿宋_GB2312"/>
          <w:b w:val="0"/>
          <w:sz w:val="32"/>
          <w:szCs w:val="32"/>
          <w:lang w:val="en-US" w:eastAsia="zh-CN"/>
        </w:rPr>
        <w:t>在</w:t>
      </w:r>
      <w:r>
        <w:rPr>
          <w:rFonts w:ascii="仿宋_GB2312" w:eastAsia="仿宋_GB2312"/>
          <w:b w:val="0"/>
          <w:sz w:val="32"/>
          <w:szCs w:val="32"/>
        </w:rPr>
        <w:t>其他政协事务支出</w:t>
      </w:r>
      <w:r>
        <w:rPr>
          <w:rFonts w:hint="eastAsia" w:ascii="仿宋_GB2312" w:eastAsia="仿宋_GB2312"/>
          <w:b w:val="0"/>
          <w:sz w:val="32"/>
          <w:szCs w:val="32"/>
          <w:lang w:val="en-US" w:eastAsia="zh-CN"/>
        </w:rPr>
        <w:t>中列支，导致</w:t>
      </w:r>
      <w:r>
        <w:rPr>
          <w:rFonts w:ascii="仿宋_GB2312" w:eastAsia="仿宋_GB2312"/>
          <w:b w:val="0"/>
          <w:sz w:val="32"/>
          <w:szCs w:val="32"/>
        </w:rPr>
        <w:t>其他政协事务支出支出决算数比上年决算增加</w:t>
      </w:r>
      <w:r>
        <w:rPr>
          <w:rFonts w:hint="eastAsia" w:ascii="仿宋_GB2312" w:eastAsia="仿宋_GB2312"/>
          <w:b w:val="0"/>
          <w:sz w:val="32"/>
          <w:szCs w:val="32"/>
          <w:lang w:eastAsia="zh-CN"/>
        </w:rPr>
        <w:t>。</w:t>
      </w:r>
    </w:p>
    <w:p w14:paraId="763EC77D">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一般公共服务支出（类）组织事务（款）其他组织事务支出（项）：支出决算数为0.88万元，比上年决算增加0.88万元，增长100.00%，主要原因是：</w:t>
      </w:r>
      <w:r>
        <w:rPr>
          <w:rFonts w:hint="eastAsia" w:ascii="仿宋_GB2312" w:eastAsia="仿宋_GB2312"/>
          <w:b w:val="0"/>
          <w:sz w:val="32"/>
          <w:szCs w:val="32"/>
          <w:lang w:val="en-US" w:eastAsia="zh-CN"/>
        </w:rPr>
        <w:t>功能科目调整，本年度驻村工作队为民办实事项目在</w:t>
      </w:r>
      <w:r>
        <w:rPr>
          <w:rFonts w:ascii="仿宋_GB2312" w:eastAsia="仿宋_GB2312"/>
          <w:b w:val="0"/>
          <w:sz w:val="32"/>
          <w:szCs w:val="32"/>
        </w:rPr>
        <w:t>其他组织事务支出</w:t>
      </w:r>
      <w:r>
        <w:rPr>
          <w:rFonts w:hint="eastAsia" w:ascii="仿宋_GB2312" w:eastAsia="仿宋_GB2312"/>
          <w:b w:val="0"/>
          <w:sz w:val="32"/>
          <w:szCs w:val="32"/>
          <w:lang w:val="en-US" w:eastAsia="zh-CN"/>
        </w:rPr>
        <w:t>列支，上年度于</w:t>
      </w:r>
      <w:r>
        <w:rPr>
          <w:rFonts w:ascii="仿宋_GB2312" w:eastAsia="仿宋_GB2312"/>
          <w:b w:val="0"/>
          <w:sz w:val="32"/>
          <w:szCs w:val="32"/>
        </w:rPr>
        <w:t>行政运行</w:t>
      </w:r>
      <w:r>
        <w:rPr>
          <w:rFonts w:hint="eastAsia" w:ascii="仿宋_GB2312" w:eastAsia="仿宋_GB2312"/>
          <w:b w:val="0"/>
          <w:sz w:val="32"/>
          <w:szCs w:val="32"/>
          <w:lang w:val="en-US" w:eastAsia="zh-CN"/>
        </w:rPr>
        <w:t>列支，导致本年</w:t>
      </w:r>
      <w:r>
        <w:rPr>
          <w:rFonts w:ascii="仿宋_GB2312" w:eastAsia="仿宋_GB2312"/>
          <w:b w:val="0"/>
          <w:sz w:val="32"/>
          <w:szCs w:val="32"/>
        </w:rPr>
        <w:t>其他组织事务支出</w:t>
      </w:r>
      <w:r>
        <w:rPr>
          <w:rFonts w:hint="eastAsia" w:ascii="仿宋_GB2312" w:eastAsia="仿宋_GB2312"/>
          <w:b w:val="0"/>
          <w:sz w:val="32"/>
          <w:szCs w:val="32"/>
          <w:lang w:val="en-US" w:eastAsia="zh-CN"/>
        </w:rPr>
        <w:t>数</w:t>
      </w:r>
      <w:r>
        <w:rPr>
          <w:rFonts w:ascii="仿宋_GB2312" w:eastAsia="仿宋_GB2312"/>
          <w:b w:val="0"/>
          <w:sz w:val="32"/>
          <w:szCs w:val="32"/>
        </w:rPr>
        <w:t>比上年决算增加</w:t>
      </w:r>
      <w:r>
        <w:rPr>
          <w:rFonts w:hint="eastAsia" w:ascii="仿宋_GB2312" w:eastAsia="仿宋_GB2312"/>
          <w:b w:val="0"/>
          <w:sz w:val="32"/>
          <w:szCs w:val="32"/>
          <w:lang w:eastAsia="zh-CN"/>
        </w:rPr>
        <w:t>。</w:t>
      </w:r>
    </w:p>
    <w:p w14:paraId="1676BA15">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教育支出（类）进修及培训（款）培训支出（项）：支出决算数为1.78万元，比上年决算增加1.03万元，增长137.33%，主要原因是：</w:t>
      </w:r>
      <w:r>
        <w:rPr>
          <w:rFonts w:hint="eastAsia" w:ascii="仿宋_GB2312" w:eastAsia="仿宋_GB2312"/>
          <w:b w:val="0"/>
          <w:sz w:val="32"/>
          <w:szCs w:val="32"/>
        </w:rPr>
        <w:t>本年外出培训增加，培训费支出增加。</w:t>
      </w:r>
    </w:p>
    <w:p w14:paraId="71A33F72">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社会保障和就业支出（类）行政事业单位养老支出（款）行政单位离退休（项）：支出决算数为60.90万元，比上年决算减少22.46万元，下降26.94%，主要原因是：</w:t>
      </w:r>
      <w:r>
        <w:rPr>
          <w:rFonts w:hint="eastAsia" w:ascii="仿宋_GB2312" w:eastAsia="仿宋_GB2312"/>
          <w:b w:val="0"/>
          <w:sz w:val="32"/>
          <w:szCs w:val="32"/>
          <w:lang w:val="en-US" w:eastAsia="zh-CN"/>
        </w:rPr>
        <w:t>上年度</w:t>
      </w:r>
      <w:r>
        <w:rPr>
          <w:rFonts w:hint="eastAsia" w:ascii="仿宋_GB2312" w:eastAsia="仿宋_GB2312"/>
          <w:b w:val="0"/>
          <w:sz w:val="32"/>
          <w:szCs w:val="32"/>
        </w:rPr>
        <w:t>退休人员去世</w:t>
      </w:r>
      <w:r>
        <w:rPr>
          <w:rFonts w:hint="eastAsia" w:ascii="仿宋_GB2312" w:eastAsia="仿宋_GB2312"/>
          <w:b w:val="0"/>
          <w:sz w:val="32"/>
          <w:szCs w:val="32"/>
          <w:lang w:val="en-US" w:eastAsia="zh-CN"/>
        </w:rPr>
        <w:t>2人</w:t>
      </w:r>
      <w:r>
        <w:rPr>
          <w:rFonts w:hint="eastAsia" w:ascii="仿宋_GB2312" w:eastAsia="仿宋_GB2312"/>
          <w:b w:val="0"/>
          <w:sz w:val="32"/>
          <w:szCs w:val="32"/>
        </w:rPr>
        <w:t>，</w:t>
      </w:r>
      <w:r>
        <w:rPr>
          <w:rFonts w:hint="eastAsia" w:ascii="仿宋_GB2312" w:eastAsia="仿宋_GB2312"/>
          <w:b w:val="0"/>
          <w:sz w:val="32"/>
          <w:szCs w:val="32"/>
          <w:lang w:val="en-US" w:eastAsia="zh-CN"/>
        </w:rPr>
        <w:t>本年度去世1人，本年</w:t>
      </w:r>
      <w:r>
        <w:rPr>
          <w:rFonts w:hint="eastAsia" w:ascii="仿宋_GB2312" w:eastAsia="仿宋_GB2312"/>
          <w:b w:val="0"/>
          <w:sz w:val="32"/>
          <w:szCs w:val="32"/>
        </w:rPr>
        <w:t>抚恤金</w:t>
      </w:r>
      <w:r>
        <w:rPr>
          <w:rFonts w:hint="eastAsia" w:ascii="仿宋_GB2312" w:eastAsia="仿宋_GB2312"/>
          <w:b w:val="0"/>
          <w:sz w:val="32"/>
          <w:szCs w:val="32"/>
          <w:lang w:val="en-US" w:eastAsia="zh-CN"/>
        </w:rPr>
        <w:t>减少，导致</w:t>
      </w:r>
      <w:r>
        <w:rPr>
          <w:rFonts w:ascii="仿宋_GB2312" w:eastAsia="仿宋_GB2312"/>
          <w:b w:val="0"/>
          <w:sz w:val="32"/>
          <w:szCs w:val="32"/>
        </w:rPr>
        <w:t>行政单位离退休支出决算数比上年决算减少</w:t>
      </w:r>
      <w:r>
        <w:rPr>
          <w:rFonts w:hint="eastAsia" w:ascii="仿宋_GB2312" w:eastAsia="仿宋_GB2312"/>
          <w:b w:val="0"/>
          <w:sz w:val="32"/>
          <w:szCs w:val="32"/>
          <w:lang w:eastAsia="zh-CN"/>
        </w:rPr>
        <w:t>。</w:t>
      </w:r>
    </w:p>
    <w:p w14:paraId="59E489D0">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社会保障和就业支出（类）行政事业单位养老支出（款）机关事业单位基本养老保险缴费支出（项）：支出决算数为39.20万元，比上年决算增加0.49万元，增长1.27%，主要原因是：</w:t>
      </w:r>
      <w:r>
        <w:rPr>
          <w:rFonts w:hint="eastAsia" w:ascii="仿宋_GB2312" w:eastAsia="仿宋_GB2312"/>
          <w:b w:val="0"/>
          <w:sz w:val="32"/>
          <w:szCs w:val="32"/>
          <w:lang w:val="en-US" w:eastAsia="zh-CN"/>
        </w:rPr>
        <w:t>本年社保基数调增，导致</w:t>
      </w:r>
      <w:r>
        <w:rPr>
          <w:rFonts w:ascii="仿宋_GB2312" w:eastAsia="仿宋_GB2312"/>
          <w:b w:val="0"/>
          <w:sz w:val="32"/>
          <w:szCs w:val="32"/>
        </w:rPr>
        <w:t>机关事业单位基本养老保险缴费支出</w:t>
      </w:r>
      <w:r>
        <w:rPr>
          <w:rFonts w:hint="eastAsia" w:ascii="仿宋_GB2312" w:eastAsia="仿宋_GB2312"/>
          <w:b w:val="0"/>
          <w:sz w:val="32"/>
          <w:szCs w:val="32"/>
          <w:lang w:val="en-US" w:eastAsia="zh-CN"/>
        </w:rPr>
        <w:t>数</w:t>
      </w:r>
      <w:r>
        <w:rPr>
          <w:rFonts w:ascii="仿宋_GB2312" w:eastAsia="仿宋_GB2312"/>
          <w:b w:val="0"/>
          <w:sz w:val="32"/>
          <w:szCs w:val="32"/>
        </w:rPr>
        <w:t>比上年决算增加</w:t>
      </w:r>
      <w:r>
        <w:rPr>
          <w:rFonts w:hint="eastAsia" w:ascii="仿宋_GB2312" w:eastAsia="仿宋_GB2312"/>
          <w:b w:val="0"/>
          <w:sz w:val="32"/>
          <w:szCs w:val="32"/>
          <w:lang w:eastAsia="zh-CN"/>
        </w:rPr>
        <w:t>。</w:t>
      </w:r>
    </w:p>
    <w:p w14:paraId="57FCE238">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社会保障和就业支出（类）行政事业单位养老支出（款）机关事业单位职业年金缴费支出（项）：支出决算数为9.59万元，比上年决算减少3.53万元，下降26.91%，主要原因是：</w:t>
      </w:r>
      <w:r>
        <w:rPr>
          <w:rFonts w:hint="eastAsia" w:ascii="仿宋_GB2312" w:eastAsia="仿宋_GB2312"/>
          <w:b w:val="0"/>
          <w:sz w:val="32"/>
          <w:szCs w:val="32"/>
          <w:lang w:val="en-US" w:eastAsia="zh-CN"/>
        </w:rPr>
        <w:t>上年度退休2人，本年退休1人，退休人数减少，导致</w:t>
      </w:r>
      <w:r>
        <w:rPr>
          <w:rFonts w:ascii="仿宋_GB2312" w:eastAsia="仿宋_GB2312"/>
          <w:b w:val="0"/>
          <w:sz w:val="32"/>
          <w:szCs w:val="32"/>
        </w:rPr>
        <w:t>机关事业单位职业年金缴费支出</w:t>
      </w:r>
      <w:r>
        <w:rPr>
          <w:rFonts w:hint="eastAsia" w:ascii="仿宋_GB2312" w:eastAsia="仿宋_GB2312"/>
          <w:b w:val="0"/>
          <w:sz w:val="32"/>
          <w:szCs w:val="32"/>
          <w:lang w:val="en-US" w:eastAsia="zh-CN"/>
        </w:rPr>
        <w:t>减少。</w:t>
      </w:r>
    </w:p>
    <w:p w14:paraId="4793ACAF">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卫生健康支出（类）行政事业单位医疗（款）行政单位医疗（项）：支出决算数为17.86万元，比上年决算减少8.83万元，下降33.08%，主要原因是：</w:t>
      </w:r>
      <w:r>
        <w:rPr>
          <w:rFonts w:hint="eastAsia" w:ascii="仿宋_GB2312" w:eastAsia="仿宋_GB2312"/>
          <w:b w:val="0"/>
          <w:sz w:val="32"/>
          <w:szCs w:val="32"/>
        </w:rPr>
        <w:t>本年在职转退休1人，人员调入1人，调出1人，</w:t>
      </w:r>
      <w:r>
        <w:rPr>
          <w:rFonts w:hint="eastAsia" w:ascii="仿宋_GB2312" w:eastAsia="仿宋_GB2312"/>
          <w:b w:val="0"/>
          <w:sz w:val="32"/>
          <w:szCs w:val="32"/>
          <w:lang w:val="en-US" w:eastAsia="zh-CN"/>
        </w:rPr>
        <w:t>调出人员基数高，调入人员基数低，导致</w:t>
      </w:r>
      <w:r>
        <w:rPr>
          <w:rFonts w:ascii="仿宋_GB2312" w:eastAsia="仿宋_GB2312"/>
          <w:b w:val="0"/>
          <w:sz w:val="32"/>
          <w:szCs w:val="32"/>
        </w:rPr>
        <w:t>行政单位医疗支出决算数比上年决算减少</w:t>
      </w:r>
      <w:r>
        <w:rPr>
          <w:rFonts w:hint="eastAsia" w:ascii="仿宋_GB2312" w:eastAsia="仿宋_GB2312"/>
          <w:b w:val="0"/>
          <w:sz w:val="32"/>
          <w:szCs w:val="32"/>
          <w:lang w:eastAsia="zh-CN"/>
        </w:rPr>
        <w:t>。</w:t>
      </w:r>
    </w:p>
    <w:p w14:paraId="053FCE80">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卫生健康支出（类）行政事业单位医疗（款）公务员医疗补助（项）：支出决算数为7.40万元，比上年决算增加0.46万元，增长6.63%，主要原因是：</w:t>
      </w:r>
      <w:r>
        <w:rPr>
          <w:rFonts w:hint="eastAsia" w:ascii="仿宋_GB2312" w:eastAsia="仿宋_GB2312"/>
          <w:b w:val="0"/>
          <w:sz w:val="32"/>
          <w:szCs w:val="32"/>
          <w:lang w:val="en-US" w:eastAsia="zh-CN"/>
        </w:rPr>
        <w:t>本年医保基数调增，导致</w:t>
      </w:r>
      <w:r>
        <w:rPr>
          <w:rFonts w:ascii="仿宋_GB2312" w:eastAsia="仿宋_GB2312"/>
          <w:b w:val="0"/>
          <w:sz w:val="32"/>
          <w:szCs w:val="32"/>
        </w:rPr>
        <w:t>公务员医疗补助支出</w:t>
      </w:r>
      <w:r>
        <w:rPr>
          <w:rFonts w:hint="eastAsia" w:ascii="仿宋_GB2312" w:eastAsia="仿宋_GB2312"/>
          <w:b w:val="0"/>
          <w:sz w:val="32"/>
          <w:szCs w:val="32"/>
          <w:lang w:val="en-US" w:eastAsia="zh-CN"/>
        </w:rPr>
        <w:t>数</w:t>
      </w:r>
      <w:r>
        <w:rPr>
          <w:rFonts w:ascii="仿宋_GB2312" w:eastAsia="仿宋_GB2312"/>
          <w:b w:val="0"/>
          <w:sz w:val="32"/>
          <w:szCs w:val="32"/>
        </w:rPr>
        <w:t>比上年决算增加</w:t>
      </w:r>
      <w:r>
        <w:rPr>
          <w:rFonts w:hint="eastAsia" w:ascii="仿宋_GB2312" w:eastAsia="仿宋_GB2312"/>
          <w:b w:val="0"/>
          <w:sz w:val="32"/>
          <w:szCs w:val="32"/>
          <w:lang w:eastAsia="zh-CN"/>
        </w:rPr>
        <w:t>。</w:t>
      </w:r>
    </w:p>
    <w:p w14:paraId="02CC2C5B">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住房保障支出（类）住房改革支出（款）住房公积金（项）：支出决算数为31.27万元，比上年决算增加3.22万元，增长11.48%，主要原因是：</w:t>
      </w:r>
      <w:r>
        <w:rPr>
          <w:rFonts w:hint="eastAsia" w:ascii="仿宋_GB2312" w:eastAsia="仿宋_GB2312"/>
          <w:b w:val="0"/>
          <w:sz w:val="32"/>
          <w:szCs w:val="32"/>
          <w:lang w:val="en-US" w:eastAsia="zh-CN"/>
        </w:rPr>
        <w:t>本年公积金基数调增，导致</w:t>
      </w:r>
      <w:r>
        <w:rPr>
          <w:rFonts w:ascii="仿宋_GB2312" w:eastAsia="仿宋_GB2312"/>
          <w:b w:val="0"/>
          <w:sz w:val="32"/>
          <w:szCs w:val="32"/>
        </w:rPr>
        <w:t>住房公积金支出</w:t>
      </w:r>
      <w:r>
        <w:rPr>
          <w:rFonts w:hint="eastAsia" w:ascii="仿宋_GB2312" w:eastAsia="仿宋_GB2312"/>
          <w:b w:val="0"/>
          <w:sz w:val="32"/>
          <w:szCs w:val="32"/>
          <w:lang w:val="en-US" w:eastAsia="zh-CN"/>
        </w:rPr>
        <w:t>数</w:t>
      </w:r>
      <w:r>
        <w:rPr>
          <w:rFonts w:ascii="仿宋_GB2312" w:eastAsia="仿宋_GB2312"/>
          <w:b w:val="0"/>
          <w:sz w:val="32"/>
          <w:szCs w:val="32"/>
        </w:rPr>
        <w:t>比上年决算增加</w:t>
      </w:r>
      <w:r>
        <w:rPr>
          <w:rFonts w:hint="eastAsia" w:ascii="仿宋_GB2312" w:eastAsia="仿宋_GB2312"/>
          <w:b w:val="0"/>
          <w:sz w:val="32"/>
          <w:szCs w:val="32"/>
          <w:lang w:eastAsia="zh-CN"/>
        </w:rPr>
        <w:t>。</w:t>
      </w:r>
    </w:p>
    <w:p w14:paraId="0CD7C41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1AFD440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460.33万元，其中：人员经费448.27万元，包括：基本工资、津贴补贴、奖金、机关事业单位基本养老保险缴费、职业年金缴费、职工基本医疗保险缴费、公务员医疗补助缴费、其他社会保障缴费、住房公积金、退休费、抚恤金和生活补助。</w:t>
      </w:r>
    </w:p>
    <w:p w14:paraId="55007E0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公用经费12.07万元，包括：办公费、差旅费、培训费、工会经费和福利费。</w:t>
      </w:r>
    </w:p>
    <w:p w14:paraId="427D82A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1A0A039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C0892B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3BD6109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07F711B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41D6BB6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2024年度财政拨款“三公”经费支出0.00万元，比上年减少16.49万元，下降100%，主要原因是：</w:t>
      </w:r>
      <w:r>
        <w:rPr>
          <w:rFonts w:hint="eastAsia" w:ascii="仿宋_GB2312" w:eastAsia="仿宋_GB2312"/>
          <w:b w:val="0"/>
          <w:sz w:val="32"/>
          <w:szCs w:val="32"/>
        </w:rPr>
        <w:t>本年无公务用车购置费</w:t>
      </w:r>
      <w:r>
        <w:rPr>
          <w:rFonts w:hint="eastAsia" w:ascii="仿宋_GB2312" w:eastAsia="仿宋_GB2312"/>
          <w:b w:val="0"/>
          <w:sz w:val="32"/>
          <w:szCs w:val="32"/>
          <w:lang w:val="en-US" w:eastAsia="zh-CN"/>
        </w:rPr>
        <w:t>16.49万元，导致</w:t>
      </w:r>
      <w:r>
        <w:rPr>
          <w:rFonts w:ascii="仿宋_GB2312" w:eastAsia="仿宋_GB2312"/>
          <w:b w:val="0"/>
          <w:sz w:val="32"/>
          <w:szCs w:val="32"/>
        </w:rPr>
        <w:t>“三公”经费支出</w:t>
      </w:r>
      <w:r>
        <w:rPr>
          <w:rFonts w:hint="eastAsia" w:ascii="仿宋_GB2312" w:eastAsia="仿宋_GB2312"/>
          <w:b w:val="0"/>
          <w:sz w:val="32"/>
          <w:szCs w:val="32"/>
          <w:lang w:val="en-US" w:eastAsia="zh-CN"/>
        </w:rPr>
        <w:t>比上年减少</w:t>
      </w:r>
      <w:r>
        <w:rPr>
          <w:rFonts w:ascii="仿宋_GB2312" w:eastAsia="仿宋_GB2312"/>
          <w:b w:val="0"/>
          <w:sz w:val="32"/>
          <w:szCs w:val="32"/>
        </w:rPr>
        <w:t>。其中：因公出国（境）费支出0.00万元,占0.00%，与上年相比无变化；公务用车购置及运行维护费支出0.00万元，占0.00%，比上年减少16.49万元，下降100%，主要原因是：</w:t>
      </w:r>
      <w:r>
        <w:rPr>
          <w:rFonts w:hint="eastAsia" w:ascii="仿宋_GB2312" w:eastAsia="仿宋_GB2312"/>
          <w:b w:val="0"/>
          <w:sz w:val="32"/>
          <w:szCs w:val="32"/>
        </w:rPr>
        <w:t>本年无公务用车购置费</w:t>
      </w:r>
      <w:r>
        <w:rPr>
          <w:rFonts w:hint="eastAsia" w:ascii="仿宋_GB2312" w:eastAsia="仿宋_GB2312"/>
          <w:b w:val="0"/>
          <w:sz w:val="32"/>
          <w:szCs w:val="32"/>
          <w:lang w:val="en-US" w:eastAsia="zh-CN"/>
        </w:rPr>
        <w:t>16.49万元，导致</w:t>
      </w:r>
      <w:r>
        <w:rPr>
          <w:rFonts w:ascii="仿宋_GB2312" w:eastAsia="仿宋_GB2312"/>
          <w:b w:val="0"/>
          <w:sz w:val="32"/>
          <w:szCs w:val="32"/>
        </w:rPr>
        <w:t>公务用车购置及运行维护费支出</w:t>
      </w:r>
      <w:r>
        <w:rPr>
          <w:rFonts w:hint="eastAsia" w:ascii="仿宋_GB2312" w:eastAsia="仿宋_GB2312"/>
          <w:b w:val="0"/>
          <w:sz w:val="32"/>
          <w:szCs w:val="32"/>
          <w:lang w:val="en-US" w:eastAsia="zh-CN"/>
        </w:rPr>
        <w:t>比上年减少</w:t>
      </w:r>
      <w:r>
        <w:rPr>
          <w:rFonts w:ascii="仿宋_GB2312" w:eastAsia="仿宋_GB2312"/>
          <w:b w:val="0"/>
          <w:sz w:val="32"/>
          <w:szCs w:val="32"/>
        </w:rPr>
        <w:t>；公务接待费支出0.00万元，占0.00%，与上年相比无变化。</w:t>
      </w:r>
    </w:p>
    <w:p w14:paraId="495D175B">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69D472E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开支内容。单位全年安排的因公出国（境）团组0个，因公出国（境）0人次。</w:t>
      </w:r>
    </w:p>
    <w:p w14:paraId="24FA6C4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w:t>
      </w:r>
      <w:r>
        <w:rPr>
          <w:rFonts w:hint="eastAsia" w:ascii="仿宋_GB2312" w:eastAsia="仿宋_GB2312"/>
          <w:b w:val="0"/>
          <w:sz w:val="32"/>
          <w:szCs w:val="32"/>
          <w:lang w:val="en-US" w:eastAsia="zh-CN"/>
        </w:rPr>
        <w:t>无</w:t>
      </w:r>
      <w:r>
        <w:rPr>
          <w:rFonts w:ascii="仿宋_GB2312" w:eastAsia="仿宋_GB2312"/>
          <w:b w:val="0"/>
          <w:sz w:val="32"/>
          <w:szCs w:val="32"/>
        </w:rPr>
        <w:t>公务用车运行维护费开支内容。公务用车购置数0辆，公务用车保有量0辆。国有资产占用情况中固定资产车辆8辆，与公务用车保有量差异原因是：</w:t>
      </w:r>
      <w:r>
        <w:rPr>
          <w:rFonts w:hint="eastAsia" w:ascii="仿宋_GB2312" w:eastAsia="仿宋_GB2312"/>
          <w:b w:val="0"/>
          <w:sz w:val="32"/>
          <w:szCs w:val="32"/>
          <w:lang w:val="en-US" w:eastAsia="zh-CN"/>
        </w:rPr>
        <w:t>本单位有8辆车，根据工作安排车辆经费统一下至机关事务管理局，导致了</w:t>
      </w:r>
      <w:r>
        <w:rPr>
          <w:rFonts w:ascii="仿宋_GB2312" w:eastAsia="仿宋_GB2312"/>
          <w:b w:val="0"/>
          <w:sz w:val="32"/>
          <w:szCs w:val="32"/>
        </w:rPr>
        <w:t>公务用车保有量差异。</w:t>
      </w:r>
    </w:p>
    <w:p w14:paraId="22418A8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开支内容。单位全年安排的国内公务接待0批次，0人次。</w:t>
      </w:r>
    </w:p>
    <w:p w14:paraId="44503F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。其中：因公出国（境）费全年预算数0.00万元，决算数0.00万元，预决算差异率0.00%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。公务用车购置费全年预算数0.00万元，决算数0.00万元，预决算差异率0.00%，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。公务用车运行维护费全年预算数0.00万元，决算数0.00万元，预决算差异率0.00%，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。公务接待费全年预算数0.00万元，决算数0.00万元，预决算差异率0.00%，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w:t>
      </w:r>
    </w:p>
    <w:p w14:paraId="35A8479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5079C019">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14:paraId="646DFC0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2024年度中国人民政治协商会议新疆维吾尔自治区库尔勒市委员会单位机关运行经费支出12.07万元，比上年减少24.75万元，下降67.22%，主要原因是：</w:t>
      </w:r>
      <w:r>
        <w:rPr>
          <w:rFonts w:hint="eastAsia" w:ascii="仿宋_GB2312" w:eastAsia="仿宋_GB2312"/>
          <w:b w:val="0"/>
          <w:sz w:val="32"/>
          <w:szCs w:val="32"/>
        </w:rPr>
        <w:t>本年无公务用车购置费</w:t>
      </w:r>
      <w:r>
        <w:rPr>
          <w:rFonts w:hint="eastAsia" w:ascii="仿宋_GB2312" w:eastAsia="仿宋_GB2312"/>
          <w:b w:val="0"/>
          <w:sz w:val="32"/>
          <w:szCs w:val="32"/>
          <w:lang w:val="en-US" w:eastAsia="zh-CN"/>
        </w:rPr>
        <w:t>16.49万元，导致</w:t>
      </w:r>
      <w:r>
        <w:rPr>
          <w:rFonts w:ascii="仿宋_GB2312" w:eastAsia="仿宋_GB2312"/>
          <w:b w:val="0"/>
          <w:sz w:val="32"/>
          <w:szCs w:val="32"/>
        </w:rPr>
        <w:t>机关运行经费支出比上年减少。</w:t>
      </w:r>
    </w:p>
    <w:p w14:paraId="320D83C6">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14:paraId="6C3AFE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2024年度政府采购支出总额23.79万元，其中：政府采购货物支出13.19万元、政府采购工程支出0.00万元、政府采购服务支出10.60万元。</w:t>
      </w:r>
    </w:p>
    <w:p w14:paraId="1A01296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授予中小企业合同金额23.79万元，占政府采购支出总额的100.00%，其中：授予小微企业合同金额23.79万元，占政府采购支出总额的100.00%。</w:t>
      </w:r>
    </w:p>
    <w:p w14:paraId="1045E16A">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14:paraId="5286001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8辆，价值138.99万元，其中：副部（省）级及以上领导用车0辆、主要负责人用车0辆、机要通信用车0辆、应急保障用车0辆、执法执勤用车0辆、特种专业技术用车0辆、离退休干部服务用车0辆、其他用车8辆，其他用车主要是：</w:t>
      </w:r>
      <w:r>
        <w:rPr>
          <w:rFonts w:hint="eastAsia" w:ascii="仿宋_GB2312" w:eastAsia="仿宋_GB2312"/>
          <w:b w:val="0"/>
          <w:sz w:val="32"/>
          <w:szCs w:val="32"/>
          <w:lang w:val="en-US" w:eastAsia="zh-CN"/>
        </w:rPr>
        <w:t>主要领导用车</w:t>
      </w:r>
      <w:r>
        <w:rPr>
          <w:rFonts w:ascii="仿宋_GB2312" w:eastAsia="仿宋_GB2312"/>
          <w:b w:val="0"/>
          <w:sz w:val="32"/>
          <w:szCs w:val="32"/>
        </w:rPr>
        <w:t>;单价100万元（含）以上设备（不含车辆）0台（套）。</w:t>
      </w:r>
    </w:p>
    <w:p w14:paraId="665BD7F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182AAF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487.63</w:t>
      </w:r>
      <w:r>
        <w:rPr>
          <w:rFonts w:ascii="仿宋_GB2312" w:eastAsia="仿宋_GB2312"/>
          <w:b w:val="0"/>
          <w:sz w:val="32"/>
          <w:szCs w:val="32"/>
        </w:rPr>
        <w:t>万元，实际执行总额</w:t>
      </w:r>
      <w:r>
        <w:rPr>
          <w:rFonts w:hint="eastAsia" w:ascii="仿宋_GB2312" w:eastAsia="仿宋_GB2312"/>
          <w:b w:val="0"/>
          <w:sz w:val="32"/>
          <w:szCs w:val="32"/>
          <w:lang w:val="en-US" w:eastAsia="zh-CN"/>
        </w:rPr>
        <w:t>487.63</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3</w:t>
      </w:r>
      <w:r>
        <w:rPr>
          <w:rFonts w:ascii="仿宋_GB2312" w:eastAsia="仿宋_GB2312"/>
          <w:b w:val="0"/>
          <w:sz w:val="32"/>
          <w:szCs w:val="32"/>
        </w:rPr>
        <w:t>个，全年预算数</w:t>
      </w:r>
      <w:r>
        <w:rPr>
          <w:rFonts w:hint="eastAsia" w:ascii="仿宋_GB2312" w:eastAsia="仿宋_GB2312"/>
          <w:b w:val="0"/>
          <w:sz w:val="32"/>
          <w:szCs w:val="32"/>
          <w:lang w:val="en-US" w:eastAsia="zh-CN"/>
        </w:rPr>
        <w:t>27.3</w:t>
      </w:r>
      <w:r>
        <w:rPr>
          <w:rFonts w:ascii="仿宋_GB2312" w:eastAsia="仿宋_GB2312"/>
          <w:b w:val="0"/>
          <w:sz w:val="32"/>
          <w:szCs w:val="32"/>
        </w:rPr>
        <w:t>万元，全年执行数</w:t>
      </w:r>
      <w:r>
        <w:rPr>
          <w:rFonts w:hint="eastAsia" w:ascii="仿宋_GB2312" w:eastAsia="仿宋_GB2312"/>
          <w:b w:val="0"/>
          <w:sz w:val="32"/>
          <w:szCs w:val="32"/>
          <w:lang w:val="en-US" w:eastAsia="zh-CN"/>
        </w:rPr>
        <w:t>27.3</w:t>
      </w:r>
      <w:r>
        <w:rPr>
          <w:rFonts w:ascii="仿宋_GB2312" w:eastAsia="仿宋_GB2312"/>
          <w:b w:val="0"/>
          <w:sz w:val="32"/>
          <w:szCs w:val="32"/>
        </w:rPr>
        <w:t>万元。预算绩效管理取得的成效：</w:t>
      </w:r>
      <w:r>
        <w:rPr>
          <w:rFonts w:hint="eastAsia" w:ascii="仿宋_GB2312" w:eastAsia="仿宋_GB2312"/>
          <w:b w:val="0"/>
          <w:sz w:val="32"/>
          <w:szCs w:val="32"/>
        </w:rPr>
        <w:t>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w:t>
      </w:r>
      <w:r>
        <w:rPr>
          <w:rFonts w:ascii="仿宋_GB2312" w:eastAsia="仿宋_GB2312"/>
          <w:b w:val="0"/>
          <w:sz w:val="32"/>
          <w:szCs w:val="32"/>
        </w:rPr>
        <w:t>发现的问题及原因：</w:t>
      </w:r>
      <w:r>
        <w:rPr>
          <w:rFonts w:hint="eastAsia" w:ascii="仿宋_GB2312" w:eastAsia="仿宋_GB2312"/>
          <w:b w:val="0"/>
          <w:sz w:val="32"/>
          <w:szCs w:val="32"/>
        </w:rPr>
        <w:t>一是对绩效目标偏差问题缺乏有效分析，从而导致填报的内容相对简单。二是在部门整体支出的资金安排和使用上仍有不可预见性，在经费支出科学化精细化管理上还有待加强。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w:t>
      </w:r>
      <w:r>
        <w:rPr>
          <w:rFonts w:ascii="仿宋_GB2312" w:eastAsia="仿宋_GB2312"/>
          <w:b w:val="0"/>
          <w:sz w:val="32"/>
          <w:szCs w:val="32"/>
        </w:rPr>
        <w:t>具体附部门整体支出绩效自评表，项目支出绩效自评表和部门评价报告。</w:t>
      </w:r>
    </w:p>
    <w:p w14:paraId="036662E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33306D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14:paraId="37036531">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7A126D42">
      <w:pPr>
        <w:widowControl/>
      </w:pPr>
      <w:r>
        <w:rPr>
          <w:b w:val="0"/>
          <w:sz w:val="0"/>
          <w:szCs w:val="0"/>
        </w:rPr>
        <w:br w:type="page"/>
      </w:r>
    </w:p>
    <w:p w14:paraId="1A22E20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5CC5273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6118197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1D0AED1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6FC12F9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48D6B71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0389E2A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6CD1922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64DA532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4B78F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0EF6400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0075EF8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1BD3592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57917F2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008F6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0A313365">
      <w:pPr>
        <w:widowControl/>
      </w:pPr>
      <w:r>
        <w:rPr>
          <w:b w:val="0"/>
          <w:sz w:val="0"/>
          <w:szCs w:val="0"/>
        </w:rPr>
        <w:br w:type="page"/>
      </w:r>
    </w:p>
    <w:p w14:paraId="1D7A51D6">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075CFBE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17F0C65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24148DB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6D0E364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276A8B0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255BDDD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5A6DD4C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213BC13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0983F6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14:paraId="0502861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C6B35E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EA4EFB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DAEF3F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66719D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42182E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3B7D9D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DBD07C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B2FFAA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AD22AA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801285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3B804D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B23971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C4199F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27949F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E57B74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FC1327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71D449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EFA698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F62C61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A3F2DF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D6994E2">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-38100</wp:posOffset>
            </wp:positionH>
            <wp:positionV relativeFrom="paragraph">
              <wp:posOffset>24765</wp:posOffset>
            </wp:positionV>
            <wp:extent cx="5480050" cy="4827905"/>
            <wp:effectExtent l="0" t="0" r="6350" b="1079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80050" cy="4827905"/>
                    </a:xfrm>
                    <a:prstGeom prst="rect">
                      <a:avLst/>
                    </a:prstGeom>
                    <a:noFill/>
                    <a:ln>
                      <a:noFill/>
                    </a:ln>
                  </pic:spPr>
                </pic:pic>
              </a:graphicData>
            </a:graphic>
          </wp:anchor>
        </w:drawing>
      </w:r>
    </w:p>
    <w:p w14:paraId="183BE42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CC88B8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30A852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2E32A0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EEB6B7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8CABE7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09D254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319E77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AA01BA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8240D8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82F034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2ECC4C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D1A057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732E7B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F6CAB0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AC06F7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8BB9ED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A6065F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EFCE71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4E2DB5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ADCBA4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2332FB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B4F489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289E40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E46677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2896C7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0FEEC5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9D97E4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9D2B7F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2F88DC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7A37E2F">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-13970</wp:posOffset>
            </wp:positionH>
            <wp:positionV relativeFrom="paragraph">
              <wp:posOffset>97790</wp:posOffset>
            </wp:positionV>
            <wp:extent cx="5485765" cy="3534410"/>
            <wp:effectExtent l="0" t="0" r="635" b="889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485765" cy="3534410"/>
                    </a:xfrm>
                    <a:prstGeom prst="rect">
                      <a:avLst/>
                    </a:prstGeom>
                    <a:noFill/>
                    <a:ln>
                      <a:noFill/>
                    </a:ln>
                  </pic:spPr>
                </pic:pic>
              </a:graphicData>
            </a:graphic>
          </wp:anchor>
        </w:drawing>
      </w:r>
    </w:p>
    <w:p w14:paraId="33F1275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32DED0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980420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21EB24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CD9D50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9A3898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F0451C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3EA88C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7A20FE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BFE6F3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0A355D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89362B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07B63E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512EBC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3416B2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CCF561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4315CD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B0F2AA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464C0F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56E36E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92584C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6DFD76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D03345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2FE94D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BCF5D6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D1CE7A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278BB7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3E06B3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FD4A87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83F3B4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536196A">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35560</wp:posOffset>
            </wp:positionH>
            <wp:positionV relativeFrom="paragraph">
              <wp:posOffset>80010</wp:posOffset>
            </wp:positionV>
            <wp:extent cx="5477510" cy="4191635"/>
            <wp:effectExtent l="0" t="0" r="8890" b="1841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477510" cy="4191635"/>
                    </a:xfrm>
                    <a:prstGeom prst="rect">
                      <a:avLst/>
                    </a:prstGeom>
                    <a:noFill/>
                    <a:ln>
                      <a:noFill/>
                    </a:ln>
                  </pic:spPr>
                </pic:pic>
              </a:graphicData>
            </a:graphic>
          </wp:anchor>
        </w:drawing>
      </w:r>
    </w:p>
    <w:p w14:paraId="7360352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449BD2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8C518D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477D9D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B2011B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E6C9D6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46D235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0F9285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3EED00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C34AFB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F1EEA6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D60F90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C7BB5F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AE370B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AE7B8F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8BB67C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2E7E1D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14946A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707655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AD1366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E06C40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F8E5F4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2B8E6D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FC9AB7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7E0A2D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EA0E5E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90C348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C2B5E7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34C9B1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9BD41C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ACB6C0C">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10795</wp:posOffset>
            </wp:positionH>
            <wp:positionV relativeFrom="paragraph">
              <wp:posOffset>60960</wp:posOffset>
            </wp:positionV>
            <wp:extent cx="5480050" cy="4077970"/>
            <wp:effectExtent l="0" t="0" r="6350" b="1778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80050" cy="4077970"/>
                    </a:xfrm>
                    <a:prstGeom prst="rect">
                      <a:avLst/>
                    </a:prstGeom>
                    <a:noFill/>
                    <a:ln>
                      <a:noFill/>
                    </a:ln>
                  </pic:spPr>
                </pic:pic>
              </a:graphicData>
            </a:graphic>
          </wp:anchor>
        </w:drawing>
      </w:r>
    </w:p>
    <w:p w14:paraId="3D6F322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89A90A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432F59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09C352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EE45F0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4D324A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D88617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AB172B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F2F1D2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6DFB2B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85F38D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D5F721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198D68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990C16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5BB102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E1D9FD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6B9162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074C88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A4E8AF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6CCF9F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74A4FE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7701CD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8491A9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45C6A0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63FCA9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2A3953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570EFD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CD7071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F42F5D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18B531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C4516F7">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3360" behindDoc="1" locked="0" layoutInCell="1" allowOverlap="1">
            <wp:simplePos x="0" y="0"/>
            <wp:positionH relativeFrom="column">
              <wp:posOffset>-13335</wp:posOffset>
            </wp:positionH>
            <wp:positionV relativeFrom="paragraph">
              <wp:posOffset>80645</wp:posOffset>
            </wp:positionV>
            <wp:extent cx="5476875" cy="4468495"/>
            <wp:effectExtent l="9525" t="9525" r="19050" b="17780"/>
            <wp:wrapTight wrapText="bothSides">
              <wp:wrapPolygon>
                <wp:start x="-38" y="-46"/>
                <wp:lineTo x="-38" y="21594"/>
                <wp:lineTo x="21600" y="21594"/>
                <wp:lineTo x="21600" y="-46"/>
                <wp:lineTo x="-38" y="-46"/>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76875" cy="4468495"/>
                    </a:xfrm>
                    <a:prstGeom prst="rect">
                      <a:avLst/>
                    </a:prstGeom>
                    <a:noFill/>
                    <a:ln w="3175">
                      <a:solidFill>
                        <a:schemeClr val="tx1"/>
                      </a:solidFill>
                    </a:ln>
                  </pic:spPr>
                </pic:pic>
              </a:graphicData>
            </a:graphic>
          </wp:anchor>
        </w:drawing>
      </w:r>
    </w:p>
    <w:p w14:paraId="3202F76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44F6EC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803C99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DD768B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D09818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120DF5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D93997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B41524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890A3B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1747FF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C2CBF4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3F4575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1630049">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10795</wp:posOffset>
            </wp:positionH>
            <wp:positionV relativeFrom="paragraph">
              <wp:posOffset>24130</wp:posOffset>
            </wp:positionV>
            <wp:extent cx="5485765" cy="4620260"/>
            <wp:effectExtent l="0" t="0" r="635" b="889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5765" cy="4620260"/>
                    </a:xfrm>
                    <a:prstGeom prst="rect">
                      <a:avLst/>
                    </a:prstGeom>
                    <a:noFill/>
                    <a:ln>
                      <a:noFill/>
                    </a:ln>
                  </pic:spPr>
                </pic:pic>
              </a:graphicData>
            </a:graphic>
          </wp:anchor>
        </w:drawing>
      </w:r>
    </w:p>
    <w:p w14:paraId="31C63DC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AB9B7C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32DD8F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C3DA6C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C9B555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68F078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F1CFDF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717B33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7CDBBA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F4B054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66F39F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F8C223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E87779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6781B8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7214F0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2635A6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49F07B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71C6C1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C51577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32D1F1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50846F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F2C4DC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335861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B5D002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8BD26A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559571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9C3830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6FD5AE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8DE3B0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C87809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A430C8E">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10795</wp:posOffset>
            </wp:positionH>
            <wp:positionV relativeFrom="paragraph">
              <wp:posOffset>19050</wp:posOffset>
            </wp:positionV>
            <wp:extent cx="5483860" cy="1757680"/>
            <wp:effectExtent l="0" t="0" r="2540" b="1397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5483860" cy="1757680"/>
                    </a:xfrm>
                    <a:prstGeom prst="rect">
                      <a:avLst/>
                    </a:prstGeom>
                    <a:noFill/>
                    <a:ln>
                      <a:noFill/>
                    </a:ln>
                  </pic:spPr>
                </pic:pic>
              </a:graphicData>
            </a:graphic>
          </wp:anchor>
        </w:drawing>
      </w:r>
    </w:p>
    <w:p w14:paraId="48E5C71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E7FB45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576124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805962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AF04C9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B55EF0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4C5722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35087F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9F4D14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F47357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5554DE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5ACFDB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303337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3F96C2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507703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5C0951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49DF45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B5FB7A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220AC7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40D4DA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CD49B7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0498C4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4163B1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8E6A39F">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eastAsia="zh-CN"/>
        </w:rPr>
      </w:pPr>
    </w:p>
    <w:p w14:paraId="3CC42057">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eastAsia="zh-CN"/>
        </w:rPr>
      </w:pPr>
    </w:p>
    <w:p w14:paraId="699B5E0C">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eastAsia="zh-CN"/>
        </w:rPr>
      </w:pPr>
    </w:p>
    <w:p w14:paraId="7F7B3D9C">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eastAsia="zh-CN"/>
        </w:rPr>
      </w:pPr>
    </w:p>
    <w:p w14:paraId="3D0BA3FB">
      <w:pPr>
        <w:widowControl/>
        <w:spacing w:before="0" w:beforeLines="0" w:beforeAutospacing="0" w:after="0" w:afterLines="0" w:afterAutospacing="0" w:line="240" w:lineRule="auto"/>
        <w:jc w:val="left"/>
        <w:outlineLvl w:val="1"/>
        <w:rPr>
          <w:rFonts w:ascii="仿宋_GB2312" w:eastAsia="仿宋_GB2312"/>
          <w:b w:val="0"/>
          <w:sz w:val="32"/>
          <w:szCs w:val="32"/>
        </w:rPr>
      </w:pPr>
    </w:p>
    <w:p w14:paraId="3FD405D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AA111C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19D08CA">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-38100</wp:posOffset>
            </wp:positionH>
            <wp:positionV relativeFrom="paragraph">
              <wp:posOffset>60960</wp:posOffset>
            </wp:positionV>
            <wp:extent cx="5481955" cy="1833880"/>
            <wp:effectExtent l="0" t="0" r="4445" b="1397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5481955" cy="1833880"/>
                    </a:xfrm>
                    <a:prstGeom prst="rect">
                      <a:avLst/>
                    </a:prstGeom>
                    <a:noFill/>
                    <a:ln>
                      <a:noFill/>
                    </a:ln>
                  </pic:spPr>
                </pic:pic>
              </a:graphicData>
            </a:graphic>
          </wp:anchor>
        </w:drawing>
      </w:r>
    </w:p>
    <w:p w14:paraId="7750AA0F">
      <w:pPr>
        <w:widowControl/>
        <w:spacing w:before="0" w:beforeLines="0" w:beforeAutospacing="0" w:after="0" w:afterLines="0" w:afterAutospacing="0" w:line="240" w:lineRule="auto"/>
        <w:jc w:val="left"/>
        <w:outlineLvl w:val="1"/>
        <w:rPr>
          <w:rFonts w:ascii="仿宋_GB2312" w:eastAsia="仿宋_GB2312"/>
          <w:b w:val="0"/>
          <w:sz w:val="32"/>
          <w:szCs w:val="32"/>
        </w:rPr>
      </w:pPr>
    </w:p>
    <w:p w14:paraId="5587BF3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75C60C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9EA373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311241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F2C1C0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6BB741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903DCF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243576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B772AC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3E898A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B10B21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C4928F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9B7ABA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A3D6B2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CF6668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42FEFA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401477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C2462F9">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 xml:space="preserve"> </w:t>
      </w:r>
    </w:p>
    <w:p w14:paraId="12E1BDD7">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14:paraId="3CE03906">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14:paraId="7C6D7E0A">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14:paraId="03EA63B8">
      <w:pPr>
        <w:widowControl/>
        <w:spacing w:before="0" w:beforeLines="0" w:beforeAutospacing="0" w:after="0" w:afterLines="0" w:afterAutospacing="0" w:line="240" w:lineRule="auto"/>
        <w:jc w:val="left"/>
        <w:outlineLvl w:val="1"/>
        <w:rPr>
          <w:rFonts w:ascii="仿宋_GB2312" w:eastAsia="仿宋_GB2312"/>
          <w:b w:val="0"/>
          <w:sz w:val="32"/>
          <w:szCs w:val="32"/>
        </w:rPr>
      </w:pPr>
    </w:p>
    <w:p w14:paraId="60C2FBC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270326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037678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12528F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5E2648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E4258C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1FFA3F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DA73E6A">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22860</wp:posOffset>
            </wp:positionH>
            <wp:positionV relativeFrom="paragraph">
              <wp:posOffset>85725</wp:posOffset>
            </wp:positionV>
            <wp:extent cx="5476240" cy="988060"/>
            <wp:effectExtent l="0" t="0" r="10160" b="2540"/>
            <wp:wrapNone/>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4"/>
                    <a:stretch>
                      <a:fillRect/>
                    </a:stretch>
                  </pic:blipFill>
                  <pic:spPr>
                    <a:xfrm>
                      <a:off x="0" y="0"/>
                      <a:ext cx="5476240" cy="988060"/>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535E"/>
    <w:rsid w:val="00950F42"/>
    <w:rsid w:val="00FB2829"/>
    <w:rsid w:val="014865D4"/>
    <w:rsid w:val="05E774BE"/>
    <w:rsid w:val="07913C76"/>
    <w:rsid w:val="082A0972"/>
    <w:rsid w:val="0CAE6EDD"/>
    <w:rsid w:val="0D8E3FCC"/>
    <w:rsid w:val="0F293D6D"/>
    <w:rsid w:val="107A038F"/>
    <w:rsid w:val="12B80ABF"/>
    <w:rsid w:val="13734957"/>
    <w:rsid w:val="14A26256"/>
    <w:rsid w:val="18F3727C"/>
    <w:rsid w:val="1B841B34"/>
    <w:rsid w:val="217E1DFE"/>
    <w:rsid w:val="22F619EB"/>
    <w:rsid w:val="24DF150B"/>
    <w:rsid w:val="256D2638"/>
    <w:rsid w:val="2A5C4961"/>
    <w:rsid w:val="2C1724E2"/>
    <w:rsid w:val="34D3493A"/>
    <w:rsid w:val="3B34332F"/>
    <w:rsid w:val="3E645ECE"/>
    <w:rsid w:val="3FAB2584"/>
    <w:rsid w:val="40842268"/>
    <w:rsid w:val="40C83C56"/>
    <w:rsid w:val="415820B8"/>
    <w:rsid w:val="46CD35B6"/>
    <w:rsid w:val="47904979"/>
    <w:rsid w:val="48F71942"/>
    <w:rsid w:val="495F5E6E"/>
    <w:rsid w:val="4A901A63"/>
    <w:rsid w:val="4B29095D"/>
    <w:rsid w:val="4D8C39CA"/>
    <w:rsid w:val="4E914C57"/>
    <w:rsid w:val="50F1625A"/>
    <w:rsid w:val="566775D0"/>
    <w:rsid w:val="58E7636A"/>
    <w:rsid w:val="5FE307E1"/>
    <w:rsid w:val="6009191A"/>
    <w:rsid w:val="605B1725"/>
    <w:rsid w:val="614A35AB"/>
    <w:rsid w:val="615C001A"/>
    <w:rsid w:val="64156F42"/>
    <w:rsid w:val="66DF73D5"/>
    <w:rsid w:val="69AA52EA"/>
    <w:rsid w:val="6BA563A9"/>
    <w:rsid w:val="6D0F1739"/>
    <w:rsid w:val="6F5C4F92"/>
    <w:rsid w:val="712453FC"/>
    <w:rsid w:val="76B5101F"/>
    <w:rsid w:val="77784602"/>
    <w:rsid w:val="7C050B07"/>
    <w:rsid w:val="7D596B5B"/>
    <w:rsid w:val="7E0250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TotalTime>1</TotalTime>
  <ScaleCrop>false</ScaleCrop>
  <LinksUpToDate>false</LinksUpToDate>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2025-08-14T08:01:00Z</dcterms:created>
  <dc:creator>Administrator</dc:creator>
  <cp:lastModifiedBy>Administrator</cp:lastModifiedBy>
  <dcterms:modified xsi:type="dcterms:W3CDTF">2025-08-20T02:48:59Z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4B2034D76CC242EB8FDCFD4F7AD878DF_13</vt:lpwstr>
  </property>
</Properties>
</file>