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中共库尔勒市直属机关工作委员会</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1.统一组织、规划、部署市直机关党的工作，提出加强和改进机关党的建设的意见和建议，研究制定工作规划并抓好组织实施。</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 xml:space="preserve"> 2.指导督促市直机关党组（党委）认真履行机关党建主体责任。指导市直机关党的政治建设、思想建设、组织建设、作风建设、纪律建设，把制度建设贯穿其中，深入推进反腐败斗争。</w:t>
      </w:r>
    </w:p>
    <w:p>
      <w:pPr>
        <w:widowControl/>
        <w:spacing w:before="0" w:beforeLines="0" w:beforeAutospacing="0" w:after="0" w:afterLines="0" w:afterAutospacing="0" w:line="240" w:lineRule="auto"/>
        <w:ind w:firstLine="320" w:firstLineChars="100"/>
        <w:jc w:val="both"/>
        <w:rPr>
          <w:rFonts w:ascii="仿宋_GB2312" w:eastAsia="仿宋_GB2312"/>
          <w:b w:val="0"/>
          <w:sz w:val="32"/>
          <w:szCs w:val="32"/>
        </w:rPr>
      </w:pPr>
      <w:r>
        <w:rPr>
          <w:rFonts w:ascii="仿宋_GB2312" w:eastAsia="仿宋_GB2312"/>
          <w:b w:val="0"/>
          <w:sz w:val="32"/>
          <w:szCs w:val="32"/>
        </w:rPr>
        <w:t xml:space="preserve"> </w:t>
      </w:r>
      <w:r>
        <w:rPr>
          <w:rFonts w:hint="eastAsia" w:ascii="仿宋_GB2312" w:eastAsia="仿宋_GB2312"/>
          <w:b w:val="0"/>
          <w:sz w:val="32"/>
          <w:szCs w:val="32"/>
          <w:lang w:val="en-US" w:eastAsia="zh-CN"/>
        </w:rPr>
        <w:t xml:space="preserve"> </w:t>
      </w:r>
      <w:r>
        <w:rPr>
          <w:rFonts w:ascii="仿宋_GB2312" w:eastAsia="仿宋_GB2312"/>
          <w:b w:val="0"/>
          <w:sz w:val="32"/>
          <w:szCs w:val="32"/>
        </w:rPr>
        <w:t xml:space="preserve">3.指导市直机关各级党组织和广大党员学习马克思列宁主义、毛泽东思想、邓小平理论、“三个代表”重要思想、科学发展观、习近平新时代中国特色社会主义思想。对党组织书记能力提升，对党员进行教育管理，督促党员履行义务，帮带服务群众，保障人员的权利不受侵犯。 </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 xml:space="preserve">4.对市直机关各级党组织、党员领导干部落实党建责任制、遵守政治纪律 和政治规矩情况进行监督检查，并向市党委报告。 </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 xml:space="preserve">5.指导市直机关各级党组织实施对党员特别是党员领导干部的监督和管理，及时向市党委反映各部门单位领导班子、领导干部的情况。 </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6.配合市有关部门抓好市直机关各部门单位领导班子思想政治建设，参与对党员领导干部民主生活会的督促检查和指导，了解掌握情况，按规定报送情况报告。</w:t>
      </w:r>
    </w:p>
    <w:p>
      <w:pPr>
        <w:widowControl/>
        <w:spacing w:before="0" w:beforeLines="0" w:beforeAutospacing="0" w:after="0" w:afterLines="0" w:afterAutospacing="0" w:line="240" w:lineRule="auto"/>
        <w:ind w:firstLine="320" w:firstLineChars="100"/>
        <w:jc w:val="both"/>
        <w:rPr>
          <w:rFonts w:ascii="仿宋_GB2312" w:eastAsia="仿宋_GB2312"/>
          <w:b w:val="0"/>
          <w:sz w:val="32"/>
          <w:szCs w:val="32"/>
        </w:rPr>
      </w:pPr>
      <w:r>
        <w:rPr>
          <w:rFonts w:ascii="仿宋_GB2312" w:eastAsia="仿宋_GB2312"/>
          <w:b w:val="0"/>
          <w:sz w:val="32"/>
          <w:szCs w:val="32"/>
        </w:rPr>
        <w:t xml:space="preserve"> </w:t>
      </w:r>
      <w:r>
        <w:rPr>
          <w:rFonts w:hint="eastAsia" w:ascii="仿宋_GB2312" w:eastAsia="仿宋_GB2312"/>
          <w:b w:val="0"/>
          <w:sz w:val="32"/>
          <w:szCs w:val="32"/>
          <w:lang w:val="en-US" w:eastAsia="zh-CN"/>
        </w:rPr>
        <w:t xml:space="preserve"> </w:t>
      </w:r>
      <w:r>
        <w:rPr>
          <w:rFonts w:ascii="仿宋_GB2312" w:eastAsia="仿宋_GB2312"/>
          <w:b w:val="0"/>
          <w:sz w:val="32"/>
          <w:szCs w:val="32"/>
        </w:rPr>
        <w:t>7.督促指导市直机关部门单位机关党委（党总支、党支部）按期换届，审批关于召开党员大会或党员代表大会的请示，审批市直机关部门单位机关党委（党总支、党支部）领导班子的组成及书记、副书记的任免。</w:t>
      </w:r>
    </w:p>
    <w:p>
      <w:pPr>
        <w:widowControl/>
        <w:spacing w:before="0" w:beforeLines="0" w:beforeAutospacing="0" w:after="0" w:afterLines="0" w:afterAutospacing="0" w:line="240" w:lineRule="auto"/>
        <w:ind w:firstLine="320" w:firstLineChars="100"/>
        <w:jc w:val="both"/>
        <w:rPr>
          <w:rFonts w:ascii="仿宋_GB2312" w:eastAsia="仿宋_GB2312"/>
          <w:b w:val="0"/>
          <w:sz w:val="32"/>
          <w:szCs w:val="32"/>
        </w:rPr>
      </w:pPr>
      <w:r>
        <w:rPr>
          <w:rFonts w:ascii="仿宋_GB2312" w:eastAsia="仿宋_GB2312"/>
          <w:b w:val="0"/>
          <w:sz w:val="32"/>
          <w:szCs w:val="32"/>
        </w:rPr>
        <w:t xml:space="preserve"> </w:t>
      </w:r>
      <w:r>
        <w:rPr>
          <w:rFonts w:hint="eastAsia" w:ascii="仿宋_GB2312" w:eastAsia="仿宋_GB2312"/>
          <w:b w:val="0"/>
          <w:sz w:val="32"/>
          <w:szCs w:val="32"/>
          <w:lang w:val="en-US" w:eastAsia="zh-CN"/>
        </w:rPr>
        <w:t xml:space="preserve"> </w:t>
      </w:r>
      <w:r>
        <w:rPr>
          <w:rFonts w:ascii="仿宋_GB2312" w:eastAsia="仿宋_GB2312"/>
          <w:b w:val="0"/>
          <w:sz w:val="32"/>
          <w:szCs w:val="32"/>
        </w:rPr>
        <w:t>8.指导各级党组织加强基层组织建设，做好党员发展、教育、管理等工作，审批市直机关部门单位机关党委（党总支、党支部）吸收预备党员、预备党员转正。</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9.指导市直机关各级党组织加强思想政治工作。</w:t>
      </w:r>
    </w:p>
    <w:p>
      <w:pPr>
        <w:widowControl/>
        <w:spacing w:before="0" w:beforeLines="0" w:beforeAutospacing="0" w:after="0" w:afterLines="0" w:afterAutospacing="0" w:line="240" w:lineRule="auto"/>
        <w:ind w:firstLine="320" w:firstLineChars="100"/>
        <w:jc w:val="both"/>
        <w:rPr>
          <w:rFonts w:ascii="仿宋_GB2312" w:eastAsia="仿宋_GB2312"/>
          <w:b w:val="0"/>
          <w:sz w:val="32"/>
          <w:szCs w:val="32"/>
        </w:rPr>
      </w:pPr>
      <w:r>
        <w:rPr>
          <w:rFonts w:ascii="仿宋_GB2312" w:eastAsia="仿宋_GB2312"/>
          <w:b w:val="0"/>
          <w:sz w:val="32"/>
          <w:szCs w:val="32"/>
        </w:rPr>
        <w:t xml:space="preserve"> </w:t>
      </w:r>
      <w:r>
        <w:rPr>
          <w:rFonts w:hint="eastAsia" w:ascii="仿宋_GB2312" w:eastAsia="仿宋_GB2312"/>
          <w:b w:val="0"/>
          <w:sz w:val="32"/>
          <w:szCs w:val="32"/>
          <w:lang w:val="en-US" w:eastAsia="zh-CN"/>
        </w:rPr>
        <w:t xml:space="preserve"> </w:t>
      </w:r>
      <w:r>
        <w:rPr>
          <w:rFonts w:ascii="仿宋_GB2312" w:eastAsia="仿宋_GB2312"/>
          <w:b w:val="0"/>
          <w:sz w:val="32"/>
          <w:szCs w:val="32"/>
        </w:rPr>
        <w:t xml:space="preserve">10.领导市直机关工会联合会的工作，指导市直属机关各级党组织做好党的群众工作。 </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 xml:space="preserve">11.协同有关部门指导、规划、协调、监督、检查市直属机关干部教育培训工作，培训轮训市直机关党务干部及党员发展对象。 </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eastAsia="zh-CN"/>
        </w:rPr>
      </w:pPr>
      <w:r>
        <w:rPr>
          <w:rFonts w:ascii="仿宋_GB2312" w:eastAsia="仿宋_GB2312"/>
          <w:b w:val="0"/>
          <w:sz w:val="32"/>
          <w:szCs w:val="32"/>
        </w:rPr>
        <w:t>12.完成市党委交办的其他任务</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中共库尔勒市直属机关工作委员会2024年度，实有人数10人，其中：在职人员5人，减少1人；离休人员0人，较上年无变化；退休人员5人，增加1人。</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eastAsia="zh-CN"/>
        </w:rPr>
      </w:pPr>
      <w:r>
        <w:rPr>
          <w:rFonts w:ascii="仿宋_GB2312" w:eastAsia="仿宋_GB2312"/>
          <w:b w:val="0"/>
          <w:sz w:val="32"/>
          <w:szCs w:val="32"/>
        </w:rPr>
        <w:t>中共库尔勒市直属机关工作委员会无下属预算单位，下设 1 个科室，分别是：办公室</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2024年度收入总计106.30万元，其中：本年收入合计106.30万元，使用非财政拨款结余（含专用结余）0.00万元，年初结转和结余0.00万元。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2024年度支出总计106.30万元，其中：本年支出合计106.30万元，结余分配0.00万元，年末结转和结余0.00万元。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收入支出总体与上年相比，增加2.05万元，增长1.97%，主要原因是：</w:t>
      </w:r>
      <w:r>
        <w:rPr>
          <w:rFonts w:hint="eastAsia" w:ascii="仿宋_GB2312" w:eastAsia="仿宋_GB2312"/>
          <w:b w:val="0"/>
          <w:sz w:val="32"/>
          <w:szCs w:val="32"/>
        </w:rPr>
        <w:t>人员工资增长，社保、公积金基数调增，导致</w:t>
      </w:r>
      <w:r>
        <w:rPr>
          <w:rFonts w:ascii="仿宋_GB2312" w:eastAsia="仿宋_GB2312"/>
          <w:b w:val="0"/>
          <w:sz w:val="32"/>
          <w:szCs w:val="32"/>
        </w:rPr>
        <w:t>收入支出总体与上年相比</w:t>
      </w:r>
      <w:r>
        <w:rPr>
          <w:rFonts w:hint="eastAsia" w:ascii="仿宋_GB2312" w:eastAsia="仿宋_GB2312"/>
          <w:b w:val="0"/>
          <w:sz w:val="32"/>
          <w:szCs w:val="32"/>
        </w:rPr>
        <w:t>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本年收入106.30万元，其中：财政拨款收入106.30万元,占100.00%；上级补助收入0.00万元,占0.00%；事业收入0.00万元，占0.00%；经营收入0.00万元,占0.00%；附属单位上缴收入0.00万元，占0.00%；其他收入0.00万元，占0.00%。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本年支出106.30万元，其中：基本支出103.71万元，占97.56%；项目支出2.59万元，占2.44%；上缴上级支出0.00万元，占0.00%；经营支出0.00万元，占0.00%；对附属单位补助支出0.00万元，占0.00%。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2024年度财政拨款收入总计106.30万元，其中：年初财政拨款结转和结余0.00万元，本年财政拨款收入106.30万元。财政拨款支出总计106.30万元，其中：年末财政拨款结转和结余0.00万元，本年财政拨款支出106.30万元。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财政拨款收入支出总体与上年相比，增加2.05万元，增长1.97%，主要原因是：</w:t>
      </w:r>
      <w:r>
        <w:rPr>
          <w:rFonts w:hint="eastAsia" w:ascii="仿宋_GB2312" w:eastAsia="仿宋_GB2312"/>
          <w:b w:val="0"/>
          <w:sz w:val="32"/>
          <w:szCs w:val="32"/>
        </w:rPr>
        <w:t>人员工资增长，社保、公积金基数调增，导致</w:t>
      </w:r>
      <w:r>
        <w:rPr>
          <w:rFonts w:ascii="仿宋_GB2312" w:eastAsia="仿宋_GB2312"/>
          <w:b w:val="0"/>
          <w:sz w:val="32"/>
          <w:szCs w:val="32"/>
        </w:rPr>
        <w:t>财政拨款收入支出总体与上年相比</w:t>
      </w:r>
      <w:r>
        <w:rPr>
          <w:rFonts w:hint="eastAsia" w:ascii="仿宋_GB2312" w:eastAsia="仿宋_GB2312"/>
          <w:b w:val="0"/>
          <w:sz w:val="32"/>
          <w:szCs w:val="32"/>
        </w:rPr>
        <w:t>增加</w:t>
      </w:r>
      <w:r>
        <w:rPr>
          <w:rFonts w:ascii="仿宋_GB2312" w:eastAsia="仿宋_GB2312"/>
          <w:b w:val="0"/>
          <w:sz w:val="32"/>
          <w:szCs w:val="32"/>
        </w:rPr>
        <w:t>。与年初预算相比，年初预算数120.06万元，决算数106.30万元，预决算差异率-11.46%，主要原因是：</w:t>
      </w:r>
      <w:r>
        <w:rPr>
          <w:rFonts w:hint="eastAsia" w:ascii="仿宋_GB2312" w:eastAsia="仿宋_GB2312"/>
          <w:b w:val="0"/>
          <w:sz w:val="32"/>
          <w:szCs w:val="32"/>
          <w:lang w:val="en-US" w:eastAsia="zh-CN"/>
        </w:rPr>
        <w:t>本年在职转退休1人，人员减少，人员经费减少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2024年度一般公共预算财政拨款支出106.30万元，占本年支出合计的100.00%。与上年相比，增加2.05万元，增长1.97%，主要原因是：</w:t>
      </w:r>
      <w:r>
        <w:rPr>
          <w:rFonts w:hint="eastAsia" w:ascii="仿宋_GB2312" w:eastAsia="仿宋_GB2312"/>
          <w:b w:val="0"/>
          <w:sz w:val="32"/>
          <w:szCs w:val="32"/>
        </w:rPr>
        <w:t>人员工资增长，社保、公积金基数调增，导致</w:t>
      </w:r>
      <w:r>
        <w:rPr>
          <w:rFonts w:ascii="仿宋_GB2312" w:eastAsia="仿宋_GB2312"/>
          <w:b w:val="0"/>
          <w:sz w:val="32"/>
          <w:szCs w:val="32"/>
        </w:rPr>
        <w:t>一般公共预算财政拨款支出与上年相比</w:t>
      </w:r>
      <w:r>
        <w:rPr>
          <w:rFonts w:hint="eastAsia" w:ascii="仿宋_GB2312" w:eastAsia="仿宋_GB2312"/>
          <w:b w:val="0"/>
          <w:sz w:val="32"/>
          <w:szCs w:val="32"/>
        </w:rPr>
        <w:t>增加</w:t>
      </w:r>
      <w:r>
        <w:rPr>
          <w:rFonts w:ascii="仿宋_GB2312" w:eastAsia="仿宋_GB2312"/>
          <w:b w:val="0"/>
          <w:sz w:val="32"/>
          <w:szCs w:val="32"/>
        </w:rPr>
        <w:t>。与年初预算相比，年初预算数120.06万元，决算数106.30万元，预决算差异率-11.46%，主要原因是：</w:t>
      </w:r>
      <w:r>
        <w:rPr>
          <w:rFonts w:hint="eastAsia" w:ascii="仿宋_GB2312" w:eastAsia="仿宋_GB2312"/>
          <w:b w:val="0"/>
          <w:sz w:val="32"/>
          <w:szCs w:val="32"/>
          <w:lang w:val="en-US" w:eastAsia="zh-CN"/>
        </w:rPr>
        <w:t>本年在职转退休1人，人员减少，人员经费减少</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一般公共服务支出（类）72.64万元，占68.33%。</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社会保障和就业支出（类）20.48万元，占19.27%。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卫生健康支出（类）5.88万元，占5.53%。</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住房保障支出（类）7.30万元，占6.87%。</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lang w:val="en-US" w:eastAsia="zh-CN"/>
        </w:rPr>
      </w:pPr>
      <w:r>
        <w:rPr>
          <w:rFonts w:ascii="仿宋_GB2312" w:eastAsia="仿宋_GB2312"/>
          <w:b w:val="0"/>
          <w:sz w:val="32"/>
          <w:szCs w:val="32"/>
        </w:rPr>
        <w:t>一般公共服务支出（类）其他共产党事务支出（款）行政运行（项）：支出决算数为70.05万元，比上年决算减少6.17万元，下降8.09%，主要原因是：</w:t>
      </w:r>
      <w:r>
        <w:rPr>
          <w:rFonts w:hint="eastAsia" w:ascii="仿宋_GB2312" w:eastAsia="仿宋_GB2312"/>
          <w:b w:val="0"/>
          <w:sz w:val="32"/>
          <w:szCs w:val="32"/>
          <w:lang w:val="en-US" w:eastAsia="zh-CN"/>
        </w:rPr>
        <w:t>本年在职转退休1人，人员减少，人员经费减少，导致</w:t>
      </w:r>
      <w:r>
        <w:rPr>
          <w:rFonts w:ascii="仿宋_GB2312" w:eastAsia="仿宋_GB2312"/>
          <w:b w:val="0"/>
          <w:sz w:val="32"/>
          <w:szCs w:val="32"/>
        </w:rPr>
        <w:t>行政运行支出决算数比上年决算减少</w:t>
      </w:r>
      <w:r>
        <w:rPr>
          <w:rFonts w:hint="eastAsia" w:ascii="仿宋_GB2312" w:eastAsia="仿宋_GB2312"/>
          <w:b w:val="0"/>
          <w:sz w:val="32"/>
          <w:szCs w:val="32"/>
          <w:lang w:eastAsia="zh-CN"/>
        </w:rPr>
        <w:t>。</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一般公共服务支出（类）其他共产党事务支出（款）其他共产党事务支出（项）：支出决算数为2.59万元，比上年决算减少0.41万元，下降13.67%，主要原因是：</w:t>
      </w:r>
      <w:r>
        <w:rPr>
          <w:rFonts w:hint="eastAsia" w:ascii="仿宋_GB2312" w:eastAsia="仿宋_GB2312"/>
          <w:b w:val="0"/>
          <w:sz w:val="32"/>
          <w:szCs w:val="32"/>
          <w:lang w:val="en-US" w:eastAsia="zh-CN"/>
        </w:rPr>
        <w:t>本年党建工作经费项目压减支出，导致</w:t>
      </w:r>
      <w:r>
        <w:rPr>
          <w:rFonts w:ascii="仿宋_GB2312" w:eastAsia="仿宋_GB2312"/>
          <w:b w:val="0"/>
          <w:sz w:val="32"/>
          <w:szCs w:val="32"/>
        </w:rPr>
        <w:t>其他共产党事务支出支出决算数比上年决算减少</w:t>
      </w:r>
      <w:r>
        <w:rPr>
          <w:rFonts w:hint="eastAsia" w:ascii="仿宋_GB2312" w:eastAsia="仿宋_GB2312"/>
          <w:b w:val="0"/>
          <w:sz w:val="32"/>
          <w:szCs w:val="32"/>
          <w:lang w:eastAsia="zh-CN"/>
        </w:rPr>
        <w:t>。</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教育支出（类）进修及培训（款）培训支出（项）：支出决算数为0.00万元，比上年决算减少0.58万元，下降100.00%，主要原因是：</w:t>
      </w:r>
      <w:r>
        <w:rPr>
          <w:rFonts w:hint="eastAsia" w:ascii="仿宋_GB2312" w:eastAsia="仿宋_GB2312"/>
          <w:b w:val="0"/>
          <w:sz w:val="32"/>
          <w:szCs w:val="32"/>
        </w:rPr>
        <w:t>本年无外出培训，培训费用较上年减少。</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社会保障和就业支出（类）行政事业单位养老支出（款）行政单位离退休（项）：支出决算数为3.07万元，比上年决算增加0.94万元，增长44.13%，主要原因是：</w:t>
      </w:r>
      <w:r>
        <w:rPr>
          <w:rFonts w:hint="eastAsia" w:ascii="仿宋_GB2312" w:eastAsia="仿宋_GB2312"/>
          <w:b w:val="0"/>
          <w:sz w:val="32"/>
          <w:szCs w:val="32"/>
          <w:lang w:val="en-US" w:eastAsia="zh-CN"/>
        </w:rPr>
        <w:t>本年度退休人员绩效增加以及在职转退休1人，导致本年行政单位离退休增加。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社会保障和就业支出（类）行政事业单位养老支出（款）机关事业单位基本养老保险缴费支出（项）：支出决算数为10.27万元，比上年决算增加1.50万元，增长17.10%，主要原因是：</w:t>
      </w:r>
      <w:r>
        <w:rPr>
          <w:rFonts w:hint="eastAsia" w:ascii="仿宋_GB2312" w:eastAsia="仿宋_GB2312"/>
          <w:b w:val="0"/>
          <w:sz w:val="32"/>
          <w:szCs w:val="32"/>
          <w:lang w:val="en-US" w:eastAsia="zh-CN"/>
        </w:rPr>
        <w:t>本年度社保基数调增，导致</w:t>
      </w:r>
      <w:r>
        <w:rPr>
          <w:rFonts w:ascii="仿宋_GB2312" w:eastAsia="仿宋_GB2312"/>
          <w:b w:val="0"/>
          <w:sz w:val="32"/>
          <w:szCs w:val="32"/>
        </w:rPr>
        <w:t>机关事业单位基本养老保险缴费支出</w:t>
      </w:r>
      <w:r>
        <w:rPr>
          <w:rFonts w:hint="eastAsia" w:ascii="仿宋_GB2312" w:eastAsia="仿宋_GB2312"/>
          <w:b w:val="0"/>
          <w:sz w:val="32"/>
          <w:szCs w:val="32"/>
          <w:lang w:val="en-US" w:eastAsia="zh-CN"/>
        </w:rPr>
        <w:t>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社会保障和就业支出（类）行政事业单位养老支出（款）机关事业单位职业年金缴费支出（项）：支出决算数为7.14万元，比上年决算增加7.14万元，增长100.00%，主要原因是：</w:t>
      </w:r>
      <w:r>
        <w:rPr>
          <w:rFonts w:hint="eastAsia" w:ascii="仿宋_GB2312" w:eastAsia="仿宋_GB2312"/>
          <w:b w:val="0"/>
          <w:sz w:val="32"/>
          <w:szCs w:val="32"/>
          <w:lang w:val="en-US" w:eastAsia="zh-CN"/>
        </w:rPr>
        <w:t>本年度在职转退休1人，导致</w:t>
      </w:r>
      <w:r>
        <w:rPr>
          <w:rFonts w:ascii="仿宋_GB2312" w:eastAsia="仿宋_GB2312"/>
          <w:b w:val="0"/>
          <w:sz w:val="32"/>
          <w:szCs w:val="32"/>
        </w:rPr>
        <w:t>机关事业单位职业年金缴费支出</w:t>
      </w:r>
      <w:r>
        <w:rPr>
          <w:rFonts w:hint="eastAsia" w:ascii="仿宋_GB2312" w:eastAsia="仿宋_GB2312"/>
          <w:b w:val="0"/>
          <w:sz w:val="32"/>
          <w:szCs w:val="32"/>
          <w:lang w:val="en-US" w:eastAsia="zh-CN"/>
        </w:rPr>
        <w:t>数</w:t>
      </w:r>
      <w:r>
        <w:rPr>
          <w:rFonts w:ascii="仿宋_GB2312" w:eastAsia="仿宋_GB2312"/>
          <w:b w:val="0"/>
          <w:sz w:val="32"/>
          <w:szCs w:val="32"/>
        </w:rPr>
        <w:t>比上年决算增加</w:t>
      </w:r>
      <w:r>
        <w:rPr>
          <w:rFonts w:hint="eastAsia" w:ascii="仿宋_GB2312" w:eastAsia="仿宋_GB2312"/>
          <w:b w:val="0"/>
          <w:sz w:val="32"/>
          <w:szCs w:val="32"/>
          <w:lang w:eastAsia="zh-CN"/>
        </w:rPr>
        <w:t>。</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卫生健康支出（类）行政事业单位医疗（款）行政单位医疗（项）：支出决算数为4.16万元，比上年决算减少0.75万元，下降15.27%，主要原因是：</w:t>
      </w:r>
      <w:r>
        <w:rPr>
          <w:rFonts w:hint="eastAsia" w:ascii="仿宋_GB2312" w:eastAsia="仿宋_GB2312"/>
          <w:b w:val="0"/>
          <w:sz w:val="32"/>
          <w:szCs w:val="32"/>
          <w:lang w:val="en-US" w:eastAsia="zh-CN"/>
        </w:rPr>
        <w:t>上年度多申请财政承担医保费用，本年减少申请此部分费用，导致</w:t>
      </w:r>
      <w:r>
        <w:rPr>
          <w:rFonts w:ascii="仿宋_GB2312" w:eastAsia="仿宋_GB2312"/>
          <w:b w:val="0"/>
          <w:sz w:val="32"/>
          <w:szCs w:val="32"/>
        </w:rPr>
        <w:t>行政单位医疗支出决算数比上年决算减少</w:t>
      </w:r>
      <w:r>
        <w:rPr>
          <w:rFonts w:hint="eastAsia" w:ascii="仿宋_GB2312" w:eastAsia="仿宋_GB2312"/>
          <w:b w:val="0"/>
          <w:sz w:val="32"/>
          <w:szCs w:val="32"/>
          <w:lang w:eastAsia="zh-CN"/>
        </w:rPr>
        <w:t>。</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卫生健康支出（类）行政事业单位医疗（款）公务员医疗补助（项）：支出决算数为1.72万元，比上年决算减少0.21万元，下降10.88%，主要原因是：</w:t>
      </w:r>
      <w:r>
        <w:rPr>
          <w:rFonts w:hint="eastAsia" w:ascii="仿宋_GB2312" w:eastAsia="仿宋_GB2312"/>
          <w:b w:val="0"/>
          <w:sz w:val="32"/>
          <w:szCs w:val="32"/>
          <w:lang w:val="en-US" w:eastAsia="zh-CN"/>
        </w:rPr>
        <w:t>上年度多申请财政承担医保费用，本年减少申请此部分费用，导致</w:t>
      </w:r>
      <w:r>
        <w:rPr>
          <w:rFonts w:ascii="仿宋_GB2312" w:eastAsia="仿宋_GB2312"/>
          <w:b w:val="0"/>
          <w:sz w:val="32"/>
          <w:szCs w:val="32"/>
        </w:rPr>
        <w:t>公务员医疗补助支出决算数比上年决算减少</w:t>
      </w:r>
      <w:r>
        <w:rPr>
          <w:rFonts w:hint="eastAsia" w:ascii="仿宋_GB2312" w:eastAsia="仿宋_GB2312"/>
          <w:b w:val="0"/>
          <w:sz w:val="32"/>
          <w:szCs w:val="32"/>
          <w:lang w:eastAsia="zh-CN"/>
        </w:rPr>
        <w:t>。</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住房保障支出（类）住房改革支出（款）住房公积金（项）：支出决算数为7.30万元，比上年决算增加0.58万元，增长8.63%，主要原因是：</w:t>
      </w:r>
      <w:r>
        <w:rPr>
          <w:rFonts w:hint="eastAsia" w:ascii="仿宋_GB2312" w:eastAsia="仿宋_GB2312"/>
          <w:b w:val="0"/>
          <w:sz w:val="32"/>
          <w:szCs w:val="32"/>
          <w:lang w:val="en-US" w:eastAsia="zh-CN"/>
        </w:rPr>
        <w:t>本年度公积金基数调增，导致</w:t>
      </w:r>
      <w:r>
        <w:rPr>
          <w:rFonts w:ascii="仿宋_GB2312" w:eastAsia="仿宋_GB2312"/>
          <w:b w:val="0"/>
          <w:sz w:val="32"/>
          <w:szCs w:val="32"/>
        </w:rPr>
        <w:t>住房公积金支出</w:t>
      </w:r>
      <w:r>
        <w:rPr>
          <w:rFonts w:hint="eastAsia" w:ascii="仿宋_GB2312" w:eastAsia="仿宋_GB2312"/>
          <w:b w:val="0"/>
          <w:sz w:val="32"/>
          <w:szCs w:val="32"/>
          <w:lang w:val="en-US" w:eastAsia="zh-CN"/>
        </w:rPr>
        <w:t>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103.71万元，其中：人员经费98.51万元，包括：基本工资、津贴补贴、奖金、机关事业单位基本养老保险缴费、职业年金缴费、职工基本医疗保险缴费、公务员医疗补助缴费、其他社会保障缴费、住房公积金和退休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公用经费5.19万元，包括：办公费、邮电费、差旅费、委托业务费、工会经费、福利费和其他交通费用。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0.00万元，与上年相比无变化。其中：因公出国（境）费支出0.00万元,占0.00%，与上年相比无变化；公务用车购置及运行维护费支出0.00万元，占0.00%，与上年相比无变化；公务接待费支出0.00万元，占0.00%，与上年相比无变化。</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w:t>
      </w:r>
      <w:r>
        <w:rPr>
          <w:rFonts w:hint="eastAsia" w:ascii="仿宋_GB2312" w:eastAsia="仿宋_GB2312"/>
          <w:b w:val="0"/>
          <w:sz w:val="32"/>
          <w:szCs w:val="32"/>
          <w:lang w:val="en-US" w:eastAsia="zh-CN"/>
        </w:rPr>
        <w:t>无</w:t>
      </w:r>
      <w:r>
        <w:rPr>
          <w:rFonts w:ascii="仿宋_GB2312" w:eastAsia="仿宋_GB2312"/>
          <w:b w:val="0"/>
          <w:sz w:val="32"/>
          <w:szCs w:val="32"/>
        </w:rPr>
        <w:t>开支内容。单位全年安排的因公出国（境）团组0个，因公出国（境）0人次。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w:t>
      </w:r>
      <w:r>
        <w:rPr>
          <w:rFonts w:hint="eastAsia" w:ascii="仿宋_GB2312" w:eastAsia="仿宋_GB2312"/>
          <w:b w:val="0"/>
          <w:sz w:val="32"/>
          <w:szCs w:val="32"/>
          <w:lang w:val="en-US" w:eastAsia="zh-CN"/>
        </w:rPr>
        <w:t>无</w:t>
      </w:r>
      <w:r>
        <w:rPr>
          <w:rFonts w:ascii="仿宋_GB2312" w:eastAsia="仿宋_GB2312"/>
          <w:b w:val="0"/>
          <w:sz w:val="32"/>
          <w:szCs w:val="32"/>
        </w:rPr>
        <w:t>公务用车运行维护费开支内容</w:t>
      </w:r>
      <w:r>
        <w:rPr>
          <w:rFonts w:hint="eastAsia" w:ascii="仿宋_GB2312" w:eastAsia="仿宋_GB2312"/>
          <w:b w:val="0"/>
          <w:sz w:val="32"/>
          <w:szCs w:val="32"/>
          <w:lang w:eastAsia="zh-CN"/>
        </w:rPr>
        <w:t>。</w:t>
      </w:r>
      <w:r>
        <w:rPr>
          <w:rFonts w:ascii="仿宋_GB2312" w:eastAsia="仿宋_GB2312"/>
          <w:b w:val="0"/>
          <w:sz w:val="32"/>
          <w:szCs w:val="32"/>
        </w:rPr>
        <w:t>公务用车购置数0辆，公务用车保有量0辆。国有资产占用情况中固定资产车辆0辆，与公务用车保有量</w:t>
      </w:r>
      <w:r>
        <w:rPr>
          <w:rFonts w:hint="eastAsia" w:ascii="仿宋_GB2312" w:eastAsia="仿宋_GB2312"/>
          <w:b w:val="0"/>
          <w:sz w:val="32"/>
          <w:szCs w:val="32"/>
          <w:lang w:val="en-US" w:eastAsia="zh-CN"/>
        </w:rPr>
        <w:t>无</w:t>
      </w:r>
      <w:r>
        <w:rPr>
          <w:rFonts w:ascii="仿宋_GB2312" w:eastAsia="仿宋_GB2312"/>
          <w:b w:val="0"/>
          <w:sz w:val="32"/>
          <w:szCs w:val="32"/>
        </w:rPr>
        <w:t>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w:t>
      </w:r>
      <w:r>
        <w:rPr>
          <w:rFonts w:hint="eastAsia" w:ascii="仿宋_GB2312" w:eastAsia="仿宋_GB2312"/>
          <w:b w:val="0"/>
          <w:sz w:val="32"/>
          <w:szCs w:val="32"/>
          <w:lang w:val="en-US" w:eastAsia="zh-CN"/>
        </w:rPr>
        <w:t>无</w:t>
      </w:r>
      <w:r>
        <w:rPr>
          <w:rFonts w:ascii="仿宋_GB2312" w:eastAsia="仿宋_GB2312"/>
          <w:b w:val="0"/>
          <w:sz w:val="32"/>
          <w:szCs w:val="32"/>
        </w:rPr>
        <w:t>开支内容。单位全年安排的国内公务接待0批次，0人次。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。其中：因公出国（境）费全年预算数0.00万元，决算数0.00万元，预决算差异率0.00%，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。公务用车购置费全年预算数0.00万元，决算数0.00万元，预决算差异率0.00%，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。公务用车运行维护费全年预算数0.00万元，决算数0.00万元，预决算差异率0.00%，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。公务接待费全年预算数0.00万元，决算数0.00万元，预决算差异率0.00%，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lang w:eastAsia="zh-CN"/>
        </w:rPr>
      </w:pPr>
      <w:r>
        <w:rPr>
          <w:rFonts w:ascii="仿宋_GB2312" w:eastAsia="仿宋_GB2312"/>
          <w:b w:val="0"/>
          <w:sz w:val="32"/>
          <w:szCs w:val="32"/>
        </w:rPr>
        <w:t>2024年度中共库尔勒市直属机关工作委员会单位机关运行经费支出5.19万元，比上年减少3.65万元，下降41.29%，主要原因是：</w:t>
      </w:r>
      <w:r>
        <w:rPr>
          <w:rFonts w:hint="eastAsia" w:ascii="仿宋_GB2312" w:eastAsia="仿宋_GB2312"/>
          <w:b w:val="0"/>
          <w:sz w:val="32"/>
          <w:szCs w:val="32"/>
        </w:rPr>
        <w:t>2023年党建工作经费项目列支于日常公用经费，</w:t>
      </w:r>
      <w:r>
        <w:rPr>
          <w:rFonts w:hint="eastAsia" w:ascii="仿宋_GB2312" w:eastAsia="仿宋_GB2312"/>
          <w:b w:val="0"/>
          <w:sz w:val="32"/>
          <w:szCs w:val="32"/>
          <w:lang w:val="en-US" w:eastAsia="zh-CN"/>
        </w:rPr>
        <w:t>本年</w:t>
      </w:r>
      <w:r>
        <w:rPr>
          <w:rFonts w:hint="eastAsia" w:ascii="仿宋_GB2312" w:eastAsia="仿宋_GB2312"/>
          <w:b w:val="0"/>
          <w:sz w:val="32"/>
          <w:szCs w:val="32"/>
        </w:rPr>
        <w:t>党建工作经费</w:t>
      </w:r>
      <w:r>
        <w:rPr>
          <w:rFonts w:hint="eastAsia" w:ascii="仿宋_GB2312" w:eastAsia="仿宋_GB2312"/>
          <w:b w:val="0"/>
          <w:sz w:val="32"/>
          <w:szCs w:val="32"/>
          <w:lang w:val="en-US" w:eastAsia="zh-CN"/>
        </w:rPr>
        <w:t>2.59万元列支于项目经费，</w:t>
      </w:r>
      <w:r>
        <w:rPr>
          <w:rFonts w:hint="eastAsia" w:ascii="仿宋_GB2312" w:eastAsia="仿宋_GB2312"/>
          <w:b w:val="0"/>
          <w:sz w:val="32"/>
          <w:szCs w:val="32"/>
        </w:rPr>
        <w:t>导致本年机关运行经费</w:t>
      </w:r>
      <w:r>
        <w:rPr>
          <w:rFonts w:ascii="仿宋_GB2312" w:eastAsia="仿宋_GB2312"/>
          <w:b w:val="0"/>
          <w:sz w:val="32"/>
          <w:szCs w:val="32"/>
        </w:rPr>
        <w:t>比上年减少</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2024年度政府采购支出总额6.28万元，其中：政府采购货物支出1.43万元、政府采购工程支出0.00万元、政府采购服务支出4.85万元。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授予中小企业合同金额6.28万元，占政府采购支出总额的100.00%，其中：授予小微企业合同金额4.70万元，占政府采购支出总额的74.84%。</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b w:val="0"/>
          <w:sz w:val="32"/>
          <w:szCs w:val="32"/>
          <w:lang w:val="en-US" w:eastAsia="zh-CN"/>
        </w:rPr>
        <w:t>无其他用车</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106.3</w:t>
      </w:r>
      <w:r>
        <w:rPr>
          <w:rFonts w:ascii="仿宋_GB2312" w:eastAsia="仿宋_GB2312"/>
          <w:b w:val="0"/>
          <w:sz w:val="32"/>
          <w:szCs w:val="32"/>
        </w:rPr>
        <w:t>万元，实际执行总额</w:t>
      </w:r>
      <w:r>
        <w:rPr>
          <w:rFonts w:hint="eastAsia" w:ascii="仿宋_GB2312" w:eastAsia="仿宋_GB2312"/>
          <w:b w:val="0"/>
          <w:sz w:val="32"/>
          <w:szCs w:val="32"/>
          <w:lang w:val="en-US" w:eastAsia="zh-CN"/>
        </w:rPr>
        <w:t>106.3</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1</w:t>
      </w:r>
      <w:r>
        <w:rPr>
          <w:rFonts w:ascii="仿宋_GB2312" w:eastAsia="仿宋_GB2312"/>
          <w:b w:val="0"/>
          <w:sz w:val="32"/>
          <w:szCs w:val="32"/>
        </w:rPr>
        <w:t>个，全年预算数</w:t>
      </w:r>
      <w:r>
        <w:rPr>
          <w:rFonts w:hint="eastAsia" w:ascii="仿宋_GB2312" w:eastAsia="仿宋_GB2312"/>
          <w:b w:val="0"/>
          <w:sz w:val="32"/>
          <w:szCs w:val="32"/>
          <w:lang w:val="en-US" w:eastAsia="zh-CN"/>
        </w:rPr>
        <w:t>3</w:t>
      </w:r>
      <w:r>
        <w:rPr>
          <w:rFonts w:ascii="仿宋_GB2312" w:eastAsia="仿宋_GB2312"/>
          <w:b w:val="0"/>
          <w:sz w:val="32"/>
          <w:szCs w:val="32"/>
        </w:rPr>
        <w:t>万元，全年执行数</w:t>
      </w:r>
      <w:r>
        <w:rPr>
          <w:rFonts w:hint="eastAsia" w:ascii="仿宋_GB2312" w:eastAsia="仿宋_GB2312"/>
          <w:b w:val="0"/>
          <w:sz w:val="32"/>
          <w:szCs w:val="32"/>
          <w:lang w:val="en-US" w:eastAsia="zh-CN"/>
        </w:rPr>
        <w:t>2.59</w:t>
      </w:r>
      <w:r>
        <w:rPr>
          <w:rFonts w:ascii="仿宋_GB2312" w:eastAsia="仿宋_GB2312"/>
          <w:b w:val="0"/>
          <w:sz w:val="32"/>
          <w:szCs w:val="32"/>
        </w:rPr>
        <w:t>万元。预算绩效管理取得的成效：</w:t>
      </w:r>
      <w:r>
        <w:rPr>
          <w:rFonts w:hint="eastAsia" w:ascii="仿宋_GB2312" w:eastAsia="仿宋_GB2312"/>
          <w:b w:val="0"/>
          <w:sz w:val="32"/>
          <w:szCs w:val="32"/>
        </w:rPr>
        <w:t>开展绩效评价，提高了绩效工作管理水平，科学制定目标，促进了绩效目标顺利实现，提高了项目资金使用的绩效意识，以便项目实施完成，进行跟踪问效评价，对下一年此类项目预算编制提供参考。</w:t>
      </w:r>
      <w:r>
        <w:rPr>
          <w:rFonts w:ascii="仿宋_GB2312" w:eastAsia="仿宋_GB2312"/>
          <w:b w:val="0"/>
          <w:sz w:val="32"/>
          <w:szCs w:val="32"/>
        </w:rPr>
        <w:t>发现的问题及原因：</w:t>
      </w:r>
      <w:r>
        <w:rPr>
          <w:rFonts w:hint="eastAsia" w:ascii="仿宋_GB2312" w:eastAsia="仿宋_GB2312"/>
          <w:b w:val="0"/>
          <w:sz w:val="32"/>
          <w:szCs w:val="32"/>
        </w:rPr>
        <w:t>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w:t>
      </w:r>
      <w:r>
        <w:rPr>
          <w:rFonts w:ascii="仿宋_GB2312" w:eastAsia="仿宋_GB2312"/>
          <w:b w:val="0"/>
          <w:sz w:val="32"/>
          <w:szCs w:val="32"/>
        </w:rPr>
        <w:t>下一步改进措施：</w:t>
      </w:r>
      <w:r>
        <w:rPr>
          <w:rFonts w:hint="eastAsia" w:ascii="仿宋_GB2312" w:eastAsia="仿宋_GB2312"/>
          <w:b w:val="0"/>
          <w:sz w:val="32"/>
          <w:szCs w:val="32"/>
        </w:rPr>
        <w:t>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59264" behindDoc="0" locked="0" layoutInCell="1" allowOverlap="1">
            <wp:simplePos x="0" y="0"/>
            <wp:positionH relativeFrom="column">
              <wp:posOffset>-25400</wp:posOffset>
            </wp:positionH>
            <wp:positionV relativeFrom="paragraph">
              <wp:posOffset>85725</wp:posOffset>
            </wp:positionV>
            <wp:extent cx="5479415" cy="5120640"/>
            <wp:effectExtent l="0" t="0" r="6985" b="381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6"/>
                    <a:stretch>
                      <a:fillRect/>
                    </a:stretch>
                  </pic:blipFill>
                  <pic:spPr>
                    <a:xfrm>
                      <a:off x="0" y="0"/>
                      <a:ext cx="5479415" cy="512064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0288" behindDoc="0" locked="0" layoutInCell="1" allowOverlap="1">
            <wp:simplePos x="0" y="0"/>
            <wp:positionH relativeFrom="column">
              <wp:posOffset>-13335</wp:posOffset>
            </wp:positionH>
            <wp:positionV relativeFrom="paragraph">
              <wp:posOffset>48895</wp:posOffset>
            </wp:positionV>
            <wp:extent cx="5480050" cy="3197860"/>
            <wp:effectExtent l="0" t="0" r="6350" b="2540"/>
            <wp:wrapNone/>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7">
                      <a:grayscl/>
                    </a:blip>
                    <a:stretch>
                      <a:fillRect/>
                    </a:stretch>
                  </pic:blipFill>
                  <pic:spPr>
                    <a:xfrm>
                      <a:off x="0" y="0"/>
                      <a:ext cx="5480050" cy="319786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1312" behindDoc="0" locked="0" layoutInCell="1" allowOverlap="1">
            <wp:simplePos x="0" y="0"/>
            <wp:positionH relativeFrom="column">
              <wp:posOffset>-6985</wp:posOffset>
            </wp:positionH>
            <wp:positionV relativeFrom="paragraph">
              <wp:posOffset>92710</wp:posOffset>
            </wp:positionV>
            <wp:extent cx="5481955" cy="3796030"/>
            <wp:effectExtent l="0" t="0" r="4445" b="13970"/>
            <wp:wrapNone/>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8">
                      <a:grayscl/>
                    </a:blip>
                    <a:stretch>
                      <a:fillRect/>
                    </a:stretch>
                  </pic:blipFill>
                  <pic:spPr>
                    <a:xfrm>
                      <a:off x="0" y="0"/>
                      <a:ext cx="5481955" cy="379603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2336" behindDoc="0" locked="0" layoutInCell="1" allowOverlap="1">
            <wp:simplePos x="0" y="0"/>
            <wp:positionH relativeFrom="column">
              <wp:posOffset>35560</wp:posOffset>
            </wp:positionH>
            <wp:positionV relativeFrom="paragraph">
              <wp:posOffset>85725</wp:posOffset>
            </wp:positionV>
            <wp:extent cx="5485130" cy="4067810"/>
            <wp:effectExtent l="0" t="0" r="1270" b="8890"/>
            <wp:wrapNone/>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9"/>
                    <a:stretch>
                      <a:fillRect/>
                    </a:stretch>
                  </pic:blipFill>
                  <pic:spPr>
                    <a:xfrm>
                      <a:off x="0" y="0"/>
                      <a:ext cx="5485130" cy="406781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3360" behindDoc="0" locked="0" layoutInCell="1" allowOverlap="1">
            <wp:simplePos x="0" y="0"/>
            <wp:positionH relativeFrom="column">
              <wp:posOffset>10795</wp:posOffset>
            </wp:positionH>
            <wp:positionV relativeFrom="paragraph">
              <wp:posOffset>60960</wp:posOffset>
            </wp:positionV>
            <wp:extent cx="5479415" cy="4655185"/>
            <wp:effectExtent l="0" t="0" r="6985" b="12065"/>
            <wp:wrapNone/>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10">
                      <a:grayscl/>
                    </a:blip>
                    <a:stretch>
                      <a:fillRect/>
                    </a:stretch>
                  </pic:blipFill>
                  <pic:spPr>
                    <a:xfrm>
                      <a:off x="0" y="0"/>
                      <a:ext cx="5479415" cy="465518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4384" behindDoc="0" locked="0" layoutInCell="1" allowOverlap="1">
            <wp:simplePos x="0" y="0"/>
            <wp:positionH relativeFrom="column">
              <wp:posOffset>-1270</wp:posOffset>
            </wp:positionH>
            <wp:positionV relativeFrom="paragraph">
              <wp:posOffset>60960</wp:posOffset>
            </wp:positionV>
            <wp:extent cx="5477510" cy="5419725"/>
            <wp:effectExtent l="0" t="0" r="8890" b="9525"/>
            <wp:wrapNone/>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1"/>
                    <a:stretch>
                      <a:fillRect/>
                    </a:stretch>
                  </pic:blipFill>
                  <pic:spPr>
                    <a:xfrm>
                      <a:off x="0" y="0"/>
                      <a:ext cx="5477510" cy="541972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5408" behindDoc="0" locked="0" layoutInCell="1" allowOverlap="1">
            <wp:simplePos x="0" y="0"/>
            <wp:positionH relativeFrom="column">
              <wp:posOffset>-1270</wp:posOffset>
            </wp:positionH>
            <wp:positionV relativeFrom="paragraph">
              <wp:posOffset>0</wp:posOffset>
            </wp:positionV>
            <wp:extent cx="5483860" cy="1868170"/>
            <wp:effectExtent l="0" t="0" r="2540" b="17780"/>
            <wp:wrapNone/>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12"/>
                    <a:stretch>
                      <a:fillRect/>
                    </a:stretch>
                  </pic:blipFill>
                  <pic:spPr>
                    <a:xfrm>
                      <a:off x="0" y="0"/>
                      <a:ext cx="5483860" cy="186817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rPr>
          <w:rFonts w:ascii="仿宋_GB2312" w:eastAsia="仿宋_GB2312"/>
          <w:b w:val="0"/>
          <w:sz w:val="18"/>
          <w:szCs w:val="18"/>
        </w:rPr>
      </w:pPr>
      <w:r>
        <w:rPr>
          <w:rFonts w:hint="eastAsia" w:ascii="仿宋_GB2312" w:eastAsia="仿宋_GB2312"/>
          <w:b w:val="0"/>
          <w:sz w:val="18"/>
          <w:szCs w:val="18"/>
          <w:lang w:val="en-US" w:eastAsia="zh-CN"/>
        </w:rPr>
        <w:t>注：</w:t>
      </w:r>
      <w:r>
        <w:rPr>
          <w:rFonts w:hint="eastAsia" w:ascii="仿宋_GB2312" w:eastAsia="仿宋_GB2312"/>
          <w:b w:val="0"/>
          <w:sz w:val="18"/>
          <w:szCs w:val="18"/>
        </w:rPr>
        <w:t>我单位无政府性基金预算财政拨款收入、支出及结转和结余情况。政府性基金预算财政拨款收入支出决算表为空表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6432" behindDoc="0" locked="0" layoutInCell="1" allowOverlap="1">
            <wp:simplePos x="0" y="0"/>
            <wp:positionH relativeFrom="column">
              <wp:posOffset>-62865</wp:posOffset>
            </wp:positionH>
            <wp:positionV relativeFrom="paragraph">
              <wp:posOffset>109855</wp:posOffset>
            </wp:positionV>
            <wp:extent cx="5482590" cy="2052320"/>
            <wp:effectExtent l="0" t="0" r="3810" b="5080"/>
            <wp:wrapNone/>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13"/>
                    <a:stretch>
                      <a:fillRect/>
                    </a:stretch>
                  </pic:blipFill>
                  <pic:spPr>
                    <a:xfrm>
                      <a:off x="0" y="0"/>
                      <a:ext cx="5482590" cy="205232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rPr>
          <w:rFonts w:hint="eastAsia" w:ascii="仿宋_GB2312" w:eastAsia="仿宋_GB2312"/>
          <w:b w:val="0"/>
          <w:sz w:val="20"/>
          <w:szCs w:val="20"/>
          <w:lang w:val="en-US" w:eastAsia="zh-CN"/>
        </w:rPr>
      </w:pPr>
    </w:p>
    <w:p>
      <w:pPr>
        <w:widowControl/>
        <w:spacing w:before="0" w:beforeLines="0" w:beforeAutospacing="0" w:after="0" w:afterLines="0" w:afterAutospacing="0" w:line="240" w:lineRule="auto"/>
        <w:jc w:val="left"/>
        <w:outlineLvl w:val="1"/>
        <w:rPr>
          <w:rFonts w:ascii="仿宋_GB2312" w:eastAsia="仿宋_GB2312"/>
          <w:b w:val="0"/>
          <w:sz w:val="20"/>
          <w:szCs w:val="20"/>
        </w:rPr>
      </w:pPr>
      <w:r>
        <w:rPr>
          <w:rFonts w:hint="eastAsia" w:ascii="仿宋_GB2312" w:eastAsia="仿宋_GB2312"/>
          <w:b w:val="0"/>
          <w:sz w:val="20"/>
          <w:szCs w:val="20"/>
          <w:lang w:val="en-US" w:eastAsia="zh-CN"/>
        </w:rPr>
        <w:t>注:</w:t>
      </w:r>
      <w:r>
        <w:rPr>
          <w:rFonts w:hint="eastAsia" w:ascii="仿宋_GB2312" w:eastAsia="仿宋_GB2312"/>
          <w:b w:val="0"/>
          <w:sz w:val="20"/>
          <w:szCs w:val="20"/>
        </w:rPr>
        <w:t>我单位无国有资本经营预算财政拨款收入、支出及结转和结余情况。国有资本经营预算财政拨款收入支出决算表为空表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bookmarkStart w:id="0" w:name="_GoBack"/>
      <w:bookmarkEnd w:id="0"/>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7456" behindDoc="0" locked="0" layoutInCell="1" allowOverlap="1">
            <wp:simplePos x="0" y="0"/>
            <wp:positionH relativeFrom="column">
              <wp:posOffset>-1270</wp:posOffset>
            </wp:positionH>
            <wp:positionV relativeFrom="paragraph">
              <wp:posOffset>97790</wp:posOffset>
            </wp:positionV>
            <wp:extent cx="5476240" cy="872490"/>
            <wp:effectExtent l="0" t="0" r="10160" b="3810"/>
            <wp:wrapNone/>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14"/>
                    <a:stretch>
                      <a:fillRect/>
                    </a:stretch>
                  </pic:blipFill>
                  <pic:spPr>
                    <a:xfrm>
                      <a:off x="0" y="0"/>
                      <a:ext cx="5476240" cy="87249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hint="eastAsia" w:ascii="仿宋_GB2312" w:eastAsia="仿宋_GB2312"/>
          <w:b w:val="0"/>
          <w:sz w:val="32"/>
          <w:szCs w:val="32"/>
        </w:rPr>
        <w:t>我单位无</w:t>
      </w:r>
      <w:r>
        <w:rPr>
          <w:rFonts w:hint="eastAsia" w:ascii="仿宋_GB2312" w:eastAsia="仿宋_GB2312"/>
          <w:b w:val="0"/>
          <w:sz w:val="32"/>
          <w:szCs w:val="32"/>
          <w:lang w:val="en-US" w:eastAsia="zh-CN"/>
        </w:rPr>
        <w:t>财政拨款“三公经费”预算，财政拨款“三公经费</w:t>
      </w:r>
      <w:r>
        <w:rPr>
          <w:rFonts w:hint="eastAsia" w:ascii="仿宋_GB2312" w:eastAsia="仿宋_GB2312"/>
          <w:b w:val="0"/>
          <w:sz w:val="32"/>
          <w:szCs w:val="32"/>
        </w:rPr>
        <w:t>支出决算表为空表</w:t>
      </w:r>
    </w:p>
    <w:p>
      <w:pPr>
        <w:widowControl/>
        <w:spacing w:before="0" w:beforeLines="0" w:beforeAutospacing="0" w:after="0" w:afterLines="0" w:afterAutospacing="0" w:line="240" w:lineRule="auto"/>
        <w:ind w:firstLine="0" w:firstLineChars="0"/>
        <w:jc w:val="left"/>
        <w:outlineLvl w:val="1"/>
        <w:rPr>
          <w:rFonts w:ascii="仿宋_GB2312" w:eastAsia="仿宋_GB2312"/>
          <w:b w:val="0"/>
          <w:sz w:val="32"/>
          <w:szCs w:val="32"/>
        </w:rPr>
      </w:pP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A6523"/>
    <w:rsid w:val="05B437EC"/>
    <w:rsid w:val="0C157FE3"/>
    <w:rsid w:val="0CE26D9D"/>
    <w:rsid w:val="0E79524F"/>
    <w:rsid w:val="13C55923"/>
    <w:rsid w:val="15DD476B"/>
    <w:rsid w:val="170F3781"/>
    <w:rsid w:val="1C95761D"/>
    <w:rsid w:val="1DDD2F8D"/>
    <w:rsid w:val="22A10C5C"/>
    <w:rsid w:val="32925305"/>
    <w:rsid w:val="3D9744B2"/>
    <w:rsid w:val="3EF065CE"/>
    <w:rsid w:val="44192A7D"/>
    <w:rsid w:val="46476E9E"/>
    <w:rsid w:val="5AD83297"/>
    <w:rsid w:val="5B353C75"/>
    <w:rsid w:val="5C127B1C"/>
    <w:rsid w:val="788D17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link w:val="8"/>
    <w:qFormat/>
    <w:uiPriority w:val="99"/>
  </w:style>
  <w:style w:type="character" w:customStyle="1" w:styleId="17">
    <w:name w:val="Heading 1 Char"/>
    <w:basedOn w:val="13"/>
    <w:link w:val="2"/>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23</Pages>
  <TotalTime>4</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2025-08-14T11:25:00Z</dcterms:created>
  <dc:creator>Administrator</dc:creator>
  <cp:lastModifiedBy>lenovo</cp:lastModifiedBy>
  <dcterms:modified xsi:type="dcterms:W3CDTF">2025-08-19T04:53:35Z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4676069A85EF4A9A85D3928112352680_13</vt:lpwstr>
  </property>
</Properties>
</file>