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库尔勒市档案馆</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numPr>
          <w:ilvl w:val="0"/>
          <w:numId w:val="1"/>
        </w:numPr>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主要职能</w:t>
      </w:r>
    </w:p>
    <w:p>
      <w:pPr>
        <w:widowControl/>
        <w:spacing w:before="0" w:beforeLines="0" w:beforeAutospacing="0" w:after="0" w:afterLines="0" w:afterAutospacing="0" w:line="240" w:lineRule="auto"/>
        <w:ind w:firstLine="640" w:firstLineChars="200"/>
        <w:jc w:val="both"/>
        <w:rPr>
          <w:rFonts w:ascii="黑体" w:eastAsia="黑体"/>
          <w:b w:val="0"/>
          <w:sz w:val="32"/>
          <w:szCs w:val="32"/>
        </w:rPr>
      </w:pPr>
      <w:r>
        <w:rPr>
          <w:rFonts w:hint="eastAsia" w:ascii="仿宋_GB2312" w:eastAsia="仿宋_GB2312"/>
          <w:b w:val="0"/>
          <w:sz w:val="32"/>
          <w:szCs w:val="32"/>
          <w:lang w:eastAsia="zh-CN"/>
        </w:rPr>
        <w:t>贯彻执行《中华人民共和国档案法》《中华人民共和国档案法实施办法》，按规定整理和保管各类重要档案资料，保守党和国家秘密，维护档案完整，确保档案安全；</w:t>
      </w:r>
      <w:r>
        <w:rPr>
          <w:rFonts w:hint="eastAsia" w:ascii="仿宋_GB2312" w:eastAsia="仿宋_GB2312"/>
          <w:b w:val="0"/>
          <w:sz w:val="32"/>
          <w:szCs w:val="32"/>
        </w:rPr>
        <w:t>负责对全市立档单位到期移交档案的集中保管;做好档案编研出版工作;</w:t>
      </w:r>
      <w:r>
        <w:rPr>
          <w:rFonts w:hint="eastAsia" w:ascii="仿宋_GB2312" w:eastAsia="仿宋_GB2312"/>
          <w:b w:val="0"/>
          <w:sz w:val="32"/>
          <w:szCs w:val="32"/>
          <w:lang w:eastAsia="zh-CN"/>
        </w:rPr>
        <w:t>负责馆藏档案资源信息开发和提供利用，依法向社会开放馆藏档案；负责档案信息化建设，接收、征集、保管、利用电子档案，为电子档案、传统载体档案数字化成果提供支持和服务，推进档案工作的科学化、信息化和现代化管理；管理库尔勒市爱国主义教育基地、库尔勒地情馆，向社会开展爱国主义、革命传统教育和市情知识宣传教育活动；负责库尔勒市政府信息公开和库尔勒市现行文件阅览中心的查阅服务工作；完成市委办公室（档案局）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库尔勒市档案馆2024年度，实有人数30人，其中：在职人员10人，减少2人；离休人员0人，较上年无变化；退休人员20人，增加1人。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库尔勒市档案馆无下属预算单位，下设</w:t>
      </w:r>
      <w:r>
        <w:rPr>
          <w:rFonts w:hint="eastAsia" w:ascii="仿宋_GB2312" w:eastAsia="仿宋_GB2312"/>
          <w:color w:val="auto"/>
          <w:sz w:val="32"/>
          <w:szCs w:val="32"/>
          <w:highlight w:val="none"/>
          <w:lang w:val="en-US" w:eastAsia="zh-CN"/>
        </w:rPr>
        <w:t>3</w:t>
      </w:r>
      <w:r>
        <w:rPr>
          <w:rFonts w:hint="eastAsia" w:ascii="仿宋_GB2312" w:hAnsi="黑体" w:eastAsia="仿宋_GB2312" w:cs="宋体"/>
          <w:bCs/>
          <w:color w:val="auto"/>
          <w:kern w:val="0"/>
          <w:sz w:val="32"/>
          <w:szCs w:val="32"/>
          <w:highlight w:val="none"/>
        </w:rPr>
        <w:t>个处室</w:t>
      </w:r>
      <w:r>
        <w:rPr>
          <w:rFonts w:ascii="仿宋_GB2312" w:eastAsia="仿宋_GB2312"/>
          <w:b w:val="0"/>
          <w:sz w:val="32"/>
          <w:szCs w:val="32"/>
        </w:rPr>
        <w:t>，分别是：</w:t>
      </w:r>
      <w:r>
        <w:rPr>
          <w:rFonts w:hint="eastAsia" w:ascii="仿宋_GB2312" w:hAnsi="仿宋" w:eastAsia="仿宋_GB2312"/>
          <w:sz w:val="32"/>
          <w:szCs w:val="32"/>
          <w:lang w:eastAsia="zh-CN"/>
        </w:rPr>
        <w:t>综合办</w:t>
      </w:r>
      <w:r>
        <w:rPr>
          <w:rFonts w:hint="eastAsia" w:ascii="仿宋_GB2312" w:hAnsi="仿宋" w:eastAsia="仿宋_GB2312"/>
          <w:sz w:val="32"/>
          <w:szCs w:val="32"/>
        </w:rPr>
        <w:t>公室、</w:t>
      </w:r>
      <w:r>
        <w:rPr>
          <w:rFonts w:hint="eastAsia" w:ascii="仿宋_GB2312" w:hAnsi="仿宋" w:eastAsia="仿宋_GB2312"/>
          <w:sz w:val="32"/>
          <w:szCs w:val="32"/>
          <w:lang w:eastAsia="zh-CN"/>
        </w:rPr>
        <w:t>保管利用室</w:t>
      </w:r>
      <w:r>
        <w:rPr>
          <w:rFonts w:hint="eastAsia" w:ascii="仿宋_GB2312" w:hAnsi="仿宋" w:eastAsia="仿宋_GB2312"/>
          <w:sz w:val="32"/>
          <w:szCs w:val="32"/>
        </w:rPr>
        <w:t>、</w:t>
      </w:r>
      <w:r>
        <w:rPr>
          <w:rFonts w:hint="eastAsia" w:ascii="仿宋_GB2312" w:hAnsi="仿宋" w:eastAsia="仿宋_GB2312"/>
          <w:sz w:val="32"/>
          <w:szCs w:val="32"/>
          <w:lang w:eastAsia="zh-CN"/>
        </w:rPr>
        <w:t>信息技术室</w:t>
      </w:r>
      <w:r>
        <w:rPr>
          <w:rFonts w:ascii="仿宋_GB2312" w:eastAsia="仿宋_GB2312"/>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2024年度收入总计259.22万元，其中：本年收入合计259.22万元，使用非财政拨款结余（含专用结余）0.00万元，年初结转和结余0.00万元。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2024年度支出总计259.22万元，其中：本年支出合计259.22万元，结余分配0.00万元，年末结转和结余0.00万元。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收入支出总体与上年相比，增加11.68万元，增长4.72%，主要原因是：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缴费基数增加，收入增加及公用经费较上年增加</w:t>
      </w:r>
      <w:r>
        <w:rPr>
          <w:rFonts w:hint="eastAsia" w:ascii="仿宋_GB2312" w:hAnsi="仿宋" w:eastAsia="仿宋_GB2312"/>
          <w:color w:val="auto"/>
          <w:sz w:val="32"/>
          <w:szCs w:val="32"/>
          <w:lang w:val="en-US" w:eastAsia="zh-CN"/>
        </w:rPr>
        <w:t>9.96万元</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本年收入259.22万元，其中：财政拨款收入259.22万元,占100.00%；上级补助收入0.00万元,占0.00%；事业收入0.00万元，占0.00%；经营收入0.00万元,占0.00%；附属单位上缴收入0.00万元，占0.00%；其他收入0.00万元，占0.00%。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本年支出259.22万元，其中：基本支出254.79万元，占98.29%；项目支出4.43万元，占1.71%；上缴上级支出0.00万元，占0.00%；经营支出0.00万元，占0.00%；对附属单位补助支出0.00万元，占0.00%。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2024年度财政拨款收入总计259.22万元，其中：年初财政拨款结转和结余0.00万元，本年财政拨款收入259.22万元。财政拨款支出总计259.22万元，其中：年末财政拨款结转和结余0.00万元，本年财政拨款支出259.22万元。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财政拨款收入支出总体与上年相比，增加11.68万元，增长4.72%，主要原因是：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缴费基数增加，收入增加及公用经费较上年增加</w:t>
      </w:r>
      <w:r>
        <w:rPr>
          <w:rFonts w:hint="eastAsia" w:ascii="仿宋_GB2312" w:hAnsi="仿宋" w:eastAsia="仿宋_GB2312"/>
          <w:color w:val="auto"/>
          <w:sz w:val="32"/>
          <w:szCs w:val="32"/>
          <w:lang w:val="en-US" w:eastAsia="zh-CN"/>
        </w:rPr>
        <w:t>9.96万元</w:t>
      </w:r>
      <w:r>
        <w:rPr>
          <w:rFonts w:ascii="仿宋_GB2312" w:eastAsia="仿宋_GB2312"/>
          <w:b w:val="0"/>
          <w:sz w:val="32"/>
          <w:szCs w:val="32"/>
        </w:rPr>
        <w:t>。与年初预算相比，年初预算数268.14万元，决算数259.22万元，预决算差异率-3.33%，主要原因是：</w:t>
      </w:r>
      <w:r>
        <w:rPr>
          <w:rFonts w:hint="eastAsia" w:ascii="仿宋_GB2312" w:eastAsia="仿宋_GB2312"/>
          <w:color w:val="auto"/>
          <w:spacing w:val="0"/>
          <w:sz w:val="32"/>
          <w:szCs w:val="32"/>
          <w:highlight w:val="none"/>
          <w:lang w:val="en-US" w:eastAsia="zh-CN"/>
        </w:rPr>
        <w:t>2024年度预算与决算相比，</w:t>
      </w:r>
      <w:r>
        <w:rPr>
          <w:rFonts w:hint="eastAsia" w:ascii="仿宋_GB2312" w:hAnsi="仿宋" w:eastAsia="仿宋_GB2312"/>
          <w:sz w:val="32"/>
          <w:szCs w:val="32"/>
          <w:lang w:eastAsia="zh-CN"/>
        </w:rPr>
        <w:t>档案管理费支出预决算差异为</w:t>
      </w:r>
      <w:r>
        <w:rPr>
          <w:rFonts w:hint="eastAsia" w:ascii="仿宋_GB2312" w:hAnsi="仿宋" w:eastAsia="仿宋_GB2312"/>
          <w:sz w:val="32"/>
          <w:szCs w:val="32"/>
          <w:lang w:val="en-US" w:eastAsia="zh-CN"/>
        </w:rPr>
        <w:t>15.71万元</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2024年度一般公共预算财政拨款支出259.22万元，占本年支出合计的100.00%。与上年相比，增加11.68万元，增长4.72%，主要原因是：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缴费基数增加，支出增加及公用经费较上年增加</w:t>
      </w:r>
      <w:r>
        <w:rPr>
          <w:rFonts w:hint="eastAsia" w:ascii="仿宋_GB2312" w:hAnsi="仿宋" w:eastAsia="仿宋_GB2312"/>
          <w:color w:val="auto"/>
          <w:sz w:val="32"/>
          <w:szCs w:val="32"/>
          <w:lang w:val="en-US" w:eastAsia="zh-CN"/>
        </w:rPr>
        <w:t>9.96万元</w:t>
      </w:r>
      <w:r>
        <w:rPr>
          <w:rFonts w:ascii="仿宋_GB2312" w:eastAsia="仿宋_GB2312"/>
          <w:b w:val="0"/>
          <w:sz w:val="32"/>
          <w:szCs w:val="32"/>
        </w:rPr>
        <w:t>。与年初预算相比，年初预算数268.14万元，决算数259.22万元，预决算差异率-3.33%，主要原因是：</w:t>
      </w:r>
      <w:r>
        <w:rPr>
          <w:rFonts w:hint="eastAsia" w:ascii="仿宋_GB2312" w:eastAsia="仿宋_GB2312"/>
          <w:color w:val="auto"/>
          <w:spacing w:val="0"/>
          <w:sz w:val="32"/>
          <w:szCs w:val="32"/>
          <w:highlight w:val="none"/>
          <w:lang w:val="en-US" w:eastAsia="zh-CN"/>
        </w:rPr>
        <w:t>2024年度预算与决算相比，</w:t>
      </w:r>
      <w:r>
        <w:rPr>
          <w:rFonts w:hint="eastAsia" w:ascii="仿宋_GB2312" w:hAnsi="仿宋" w:eastAsia="仿宋_GB2312"/>
          <w:sz w:val="32"/>
          <w:szCs w:val="32"/>
          <w:lang w:eastAsia="zh-CN"/>
        </w:rPr>
        <w:t>档案管理费支出预决算差异为</w:t>
      </w:r>
      <w:r>
        <w:rPr>
          <w:rFonts w:hint="eastAsia" w:ascii="仿宋_GB2312" w:hAnsi="仿宋" w:eastAsia="仿宋_GB2312"/>
          <w:sz w:val="32"/>
          <w:szCs w:val="32"/>
          <w:lang w:val="en-US" w:eastAsia="zh-CN"/>
        </w:rPr>
        <w:t>15.71万元</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一般公共服务支出（类）156.45万元，占60.35%。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教育支出（类）0.30万元，占0.12%。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社会保障和就业支出（类）76.98万元，占29.70%。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卫生健康支出（类）11.36万元，占4.38%。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住房保障支出（类）14.13万元，占5.45%。</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一般公共服务支出（类）档案事务（款）行政运行（项）：支出决算数为152.02万元，比上年决算增加1.25万元，增长0.83%，主要原因是：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一般公共服务支出（类）档案事务（款）其他档案事务支出（项）：支出决算数为4.43万元，比上年决算减少2.70万元，下降37.87%，主要原因是：</w:t>
      </w:r>
      <w:r>
        <w:rPr>
          <w:rFonts w:hint="eastAsia" w:ascii="仿宋_GB2312" w:eastAsia="仿宋_GB2312"/>
          <w:b w:val="0"/>
          <w:sz w:val="32"/>
          <w:szCs w:val="32"/>
          <w:lang w:eastAsia="zh-CN"/>
        </w:rPr>
        <w:t>节约开支，减少支出。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教育支出（类）进修及培训（款）培训支出（项）：支出决算数为0.30万元，比上年决算增加0.24万元，增长400.00%，主要原因是：</w:t>
      </w:r>
      <w:r>
        <w:rPr>
          <w:rFonts w:hint="eastAsia" w:eastAsia="仿宋_GB2312" w:cs="Times New Roman"/>
          <w:color w:val="auto"/>
          <w:kern w:val="2"/>
          <w:sz w:val="32"/>
          <w:szCs w:val="32"/>
          <w:highlight w:val="none"/>
          <w:lang w:val="zh-CN" w:eastAsia="zh-CN" w:bidi="ar-SA"/>
        </w:rPr>
        <w:t>参加培训的人次增加。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社会保障和就业支出（类）行政事业单位养老支出（款）行政单位离退休（项）：支出决算数为44.43万元，比上年决算增加6.08万元，增长15.85%，主要原因是：</w:t>
      </w:r>
      <w:r>
        <w:rPr>
          <w:rFonts w:hint="eastAsia" w:ascii="仿宋_GB2312" w:hAnsi="仿宋" w:eastAsia="仿宋_GB2312"/>
          <w:color w:val="auto"/>
          <w:sz w:val="32"/>
          <w:szCs w:val="32"/>
          <w:lang w:eastAsia="zh-CN"/>
        </w:rPr>
        <w:t>增加退休人员</w:t>
      </w:r>
      <w:r>
        <w:rPr>
          <w:rFonts w:hint="eastAsia" w:ascii="仿宋_GB2312" w:hAnsi="仿宋" w:eastAsia="仿宋_GB2312"/>
          <w:color w:val="auto"/>
          <w:sz w:val="32"/>
          <w:szCs w:val="32"/>
          <w:lang w:val="en-US" w:eastAsia="zh-CN"/>
        </w:rPr>
        <w:t>2人</w:t>
      </w:r>
      <w:r>
        <w:rPr>
          <w:rFonts w:hint="eastAsia" w:ascii="仿宋_GB2312" w:hAnsi="仿宋" w:eastAsia="仿宋_GB2312"/>
          <w:color w:val="auto"/>
          <w:sz w:val="32"/>
          <w:szCs w:val="32"/>
          <w:lang w:eastAsia="zh-CN"/>
        </w:rPr>
        <w:t>，支出增加。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社会保障和就业支出（类）行政事业单位养老支出（款）机关事业单位基本养老保险缴费支出（项）：支出决算数为17.92万元，比上年决算减少0.25万元，下降1.38%，主要原因是：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社会保障和就业支出（类）行政事业单位养老支出（款）机关事业单位职业年金缴费支出（项）：支出决算数为14.63万元，比上年决算增加14.63万元，增长100.00%，主要原因是：</w:t>
      </w:r>
      <w:r>
        <w:rPr>
          <w:rFonts w:hint="eastAsia" w:ascii="仿宋_GB2312" w:hAnsi="仿宋" w:eastAsia="仿宋_GB2312"/>
          <w:color w:val="auto"/>
          <w:sz w:val="32"/>
          <w:szCs w:val="32"/>
          <w:lang w:eastAsia="zh-CN"/>
        </w:rPr>
        <w:t>增加退休人员</w:t>
      </w:r>
      <w:r>
        <w:rPr>
          <w:rFonts w:hint="eastAsia" w:ascii="仿宋_GB2312" w:hAnsi="仿宋" w:eastAsia="仿宋_GB2312"/>
          <w:color w:val="auto"/>
          <w:sz w:val="32"/>
          <w:szCs w:val="32"/>
          <w:lang w:val="en-US" w:eastAsia="zh-CN"/>
        </w:rPr>
        <w:t>2人</w:t>
      </w:r>
      <w:r>
        <w:rPr>
          <w:rFonts w:hint="eastAsia" w:ascii="仿宋_GB2312" w:hAnsi="仿宋" w:eastAsia="仿宋_GB2312"/>
          <w:color w:val="auto"/>
          <w:sz w:val="32"/>
          <w:szCs w:val="32"/>
          <w:lang w:eastAsia="zh-CN"/>
        </w:rPr>
        <w:t>，支出增加。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rPr>
      </w:pPr>
      <w:r>
        <w:rPr>
          <w:rFonts w:ascii="仿宋_GB2312" w:eastAsia="仿宋_GB2312"/>
          <w:b w:val="0"/>
          <w:sz w:val="32"/>
          <w:szCs w:val="32"/>
        </w:rPr>
        <w:t>社会保障和就业支出（类）就业补助（款）公益性岗位补贴（项）：支出决算数为0.00万元，比上年决算减少2.69万元，下降100.00%，主要原因是：</w:t>
      </w:r>
      <w:r>
        <w:rPr>
          <w:rFonts w:hint="eastAsia" w:ascii="仿宋_GB2312" w:hAnsi="仿宋" w:eastAsia="仿宋_GB2312"/>
          <w:sz w:val="32"/>
          <w:szCs w:val="32"/>
          <w:lang w:val="en-US" w:eastAsia="zh-CN"/>
        </w:rPr>
        <w:t>2024年度</w:t>
      </w:r>
      <w:r>
        <w:rPr>
          <w:rFonts w:ascii="仿宋_GB2312" w:eastAsia="仿宋_GB2312"/>
          <w:b w:val="0"/>
          <w:sz w:val="32"/>
          <w:szCs w:val="32"/>
        </w:rPr>
        <w:t>公益性岗位补贴</w:t>
      </w:r>
      <w:r>
        <w:rPr>
          <w:rFonts w:hint="eastAsia" w:ascii="仿宋_GB2312" w:hAnsi="仿宋" w:eastAsia="仿宋_GB2312"/>
          <w:sz w:val="32"/>
          <w:szCs w:val="32"/>
          <w:lang w:val="en-US" w:eastAsia="zh-CN"/>
        </w:rPr>
        <w:t>支出在主款中列支，故下降100%。</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卫生健康支出（类）行政事业单位医疗（款）行政单位医疗（项）：支出决算数为8.56万元，比上年决算减少5.21万元，下降37.84%，主要原因是：</w:t>
      </w:r>
      <w:r>
        <w:rPr>
          <w:rFonts w:hint="eastAsia" w:ascii="仿宋_GB2312" w:hAnsi="仿宋" w:eastAsia="仿宋_GB2312"/>
          <w:color w:val="auto"/>
          <w:sz w:val="32"/>
          <w:szCs w:val="32"/>
          <w:lang w:eastAsia="zh-CN"/>
        </w:rPr>
        <w:t>在职转退休人员</w:t>
      </w:r>
      <w:r>
        <w:rPr>
          <w:rFonts w:hint="eastAsia" w:ascii="仿宋_GB2312" w:hAnsi="仿宋" w:eastAsia="仿宋_GB2312"/>
          <w:color w:val="auto"/>
          <w:sz w:val="32"/>
          <w:szCs w:val="32"/>
          <w:lang w:val="en-US" w:eastAsia="zh-CN"/>
        </w:rPr>
        <w:t>2人，故支出减少。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卫生健康支出（类）行政事业单位医疗（款）公务员医疗补助（项）：支出决算数为2.80万元，比上年决算增加0.84万元，增长42.86%，主要原因是：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住房保障支出（类）住房改革支出（款）住房公积金（项）：支出决算数为14.13万元，比上年决算减少0.50万元，下降3.42%，主要原因是：</w:t>
      </w:r>
      <w:r>
        <w:rPr>
          <w:rFonts w:hint="eastAsia" w:ascii="仿宋_GB2312" w:hAnsi="仿宋" w:eastAsia="仿宋_GB2312"/>
          <w:color w:val="auto"/>
          <w:sz w:val="32"/>
          <w:szCs w:val="32"/>
          <w:lang w:eastAsia="zh-CN"/>
        </w:rPr>
        <w:t>在职转退休人员</w:t>
      </w:r>
      <w:r>
        <w:rPr>
          <w:rFonts w:hint="eastAsia" w:ascii="仿宋_GB2312" w:hAnsi="仿宋" w:eastAsia="仿宋_GB2312"/>
          <w:color w:val="auto"/>
          <w:sz w:val="32"/>
          <w:szCs w:val="32"/>
          <w:lang w:val="en-US" w:eastAsia="zh-CN"/>
        </w:rPr>
        <w:t>2人，故支出减少。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254.79万元，其中：人员经费241.54万元，包括：基本工资、津贴补贴、奖金、绩效工资、机关事业单位基本养老保险缴费、职业年金缴费、职工基本医疗保险缴费、公务员医疗补助缴费、其他社会保障缴费、住房公积金、其他工资福利支出、退休费、抚恤金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公用经费13.26万元，包括：办公费、邮电费、差旅费、维修（护）费、租赁费、培训费、工会经费、福利费和公务用车运行维护费。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2024年度财政拨款“三公”经费支出0.79万元，比上年增加0.42万元，增长113.51%，主要原因是：</w:t>
      </w:r>
      <w:r>
        <w:rPr>
          <w:rFonts w:hint="eastAsia" w:ascii="仿宋_GB2312" w:eastAsia="仿宋_GB2312"/>
          <w:b w:val="0"/>
          <w:sz w:val="32"/>
          <w:szCs w:val="32"/>
          <w:lang w:eastAsia="zh-CN"/>
        </w:rPr>
        <w:t>车辆增加维修维护费</w:t>
      </w:r>
      <w:r>
        <w:rPr>
          <w:rFonts w:ascii="仿宋_GB2312" w:eastAsia="仿宋_GB2312"/>
          <w:b w:val="0"/>
          <w:sz w:val="32"/>
          <w:szCs w:val="32"/>
        </w:rPr>
        <w:t>。其中：因公出国（境）费支出0.00万元,占0.00%，与上年相比无变化，主要原因是：</w:t>
      </w:r>
      <w:r>
        <w:rPr>
          <w:rFonts w:hint="eastAsia" w:ascii="仿宋_GB2312" w:eastAsia="仿宋_GB2312"/>
          <w:color w:val="auto"/>
          <w:sz w:val="32"/>
          <w:szCs w:val="32"/>
        </w:rPr>
        <w:t>本年无因公出国（境）费支出，与上年相比无变动</w:t>
      </w:r>
      <w:r>
        <w:rPr>
          <w:rFonts w:ascii="仿宋_GB2312" w:eastAsia="仿宋_GB2312"/>
          <w:b w:val="0"/>
          <w:sz w:val="32"/>
          <w:szCs w:val="32"/>
        </w:rPr>
        <w:t>；公务用车购置及运行维护费支出0.79万元，占100.00%，比上年增加0.42万元，增长113.51%，主要原因是：</w:t>
      </w:r>
      <w:r>
        <w:rPr>
          <w:rFonts w:hint="eastAsia" w:ascii="仿宋_GB2312" w:eastAsia="仿宋_GB2312"/>
          <w:b w:val="0"/>
          <w:sz w:val="32"/>
          <w:szCs w:val="32"/>
          <w:lang w:eastAsia="zh-CN"/>
        </w:rPr>
        <w:t>车辆增加维修维护费</w:t>
      </w:r>
      <w:r>
        <w:rPr>
          <w:rFonts w:ascii="仿宋_GB2312" w:eastAsia="仿宋_GB2312"/>
          <w:b w:val="0"/>
          <w:sz w:val="32"/>
          <w:szCs w:val="32"/>
        </w:rPr>
        <w:t>；公务接待费支出0.00万元，占0.00%，与上年相比无变化，主要原因是：</w:t>
      </w:r>
      <w:r>
        <w:rPr>
          <w:rFonts w:hint="eastAsia" w:ascii="仿宋_GB2312" w:eastAsia="仿宋_GB2312"/>
          <w:color w:val="auto"/>
          <w:sz w:val="32"/>
          <w:szCs w:val="32"/>
        </w:rPr>
        <w:t>本年无公务接待费支出，与上年相比无变动</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因公出国（境）费支出0.00万元，开支内容包括0。单位全年安排的因公出国（境）团组0个，因公出国（境）0人次。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公务用车购置及运行维护费0.79万元，其中：公务用车购置费0.00万元，公务用车运行维护费0.79万元。公务用车运行维护费开支内容包括</w:t>
      </w:r>
      <w:r>
        <w:rPr>
          <w:rFonts w:hint="eastAsia" w:ascii="仿宋_GB2312" w:eastAsia="仿宋_GB2312"/>
          <w:color w:val="auto"/>
          <w:sz w:val="32"/>
          <w:szCs w:val="32"/>
          <w:highlight w:val="none"/>
          <w:lang w:val="zh-CN" w:eastAsia="zh-CN"/>
        </w:rPr>
        <w:t>车辆保险费、车辆维修费</w:t>
      </w:r>
      <w:r>
        <w:rPr>
          <w:rFonts w:ascii="仿宋_GB2312" w:eastAsia="仿宋_GB2312"/>
          <w:b w:val="0"/>
          <w:sz w:val="32"/>
          <w:szCs w:val="32"/>
        </w:rPr>
        <w:t>。公务用车购置数0辆，公务用车保有量1辆。国有资产占用情况中固定资产车辆1辆，与公务用车保有量差异原因是：国有资产占用情况中固定资产车辆与公务用车保有量</w:t>
      </w:r>
      <w:r>
        <w:rPr>
          <w:rFonts w:hint="eastAsia" w:ascii="仿宋_GB2312" w:eastAsia="仿宋_GB2312"/>
          <w:color w:val="auto"/>
          <w:sz w:val="32"/>
          <w:szCs w:val="32"/>
          <w:highlight w:val="none"/>
          <w:lang w:val="en-US" w:eastAsia="zh-CN"/>
        </w:rPr>
        <w:t>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公务接待费0.00万元，开支内容包括0。单位全年安排的国内公务接待0批次，0人次。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与全年预算相比，财政拨款“三公”经费支出全年预算数0.79万元，决算数0.79万元，预决算差异率0.00%，主要原因是：</w:t>
      </w:r>
      <w:r>
        <w:rPr>
          <w:rFonts w:hint="eastAsia" w:ascii="仿宋_GB2312" w:eastAsia="仿宋_GB2312"/>
          <w:sz w:val="32"/>
          <w:szCs w:val="32"/>
        </w:rPr>
        <w:t>预决算无差异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因公出国（境）费支出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公务用车购置费支出</w:t>
      </w:r>
      <w:r>
        <w:rPr>
          <w:rFonts w:ascii="仿宋_GB2312" w:eastAsia="仿宋_GB2312"/>
          <w:b w:val="0"/>
          <w:sz w:val="32"/>
          <w:szCs w:val="32"/>
        </w:rPr>
        <w:t>。公务用车运行维护费全年预算数0.79万元，决算数0.79万元，预决算差异率0.00%，主要原因是：</w:t>
      </w:r>
      <w:r>
        <w:rPr>
          <w:rFonts w:hint="eastAsia" w:ascii="仿宋_GB2312" w:eastAsia="仿宋_GB2312"/>
          <w:sz w:val="32"/>
          <w:szCs w:val="32"/>
        </w:rPr>
        <w:t>预决算无差异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公务接待费支出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2024年度库尔勒市档案馆单位机关运行经费支出13.26万元，比上年增加9.96万元，增长301.82%，主要原因是：</w:t>
      </w:r>
      <w:r>
        <w:rPr>
          <w:rFonts w:hint="eastAsia" w:ascii="仿宋_GB2312" w:eastAsia="仿宋_GB2312"/>
          <w:b w:val="0"/>
          <w:sz w:val="32"/>
          <w:szCs w:val="32"/>
          <w:lang w:eastAsia="zh-CN"/>
        </w:rPr>
        <w:t>本年度增加了办公费</w:t>
      </w:r>
      <w:r>
        <w:rPr>
          <w:rFonts w:hint="eastAsia" w:ascii="仿宋_GB2312" w:eastAsia="仿宋_GB2312"/>
          <w:b w:val="0"/>
          <w:sz w:val="32"/>
          <w:szCs w:val="32"/>
          <w:lang w:val="en-US" w:eastAsia="zh-CN"/>
        </w:rPr>
        <w:t>7.81万元、福利费0.9万元、车辆经费0.42万元、维护维修费0.29万元、租赁费0.22万元</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2024年度政府采购支出总额1.52万元，其中：政府采购货物支出0.56万元、政府采购工程支出0.17万元、政府采购服务支出0.79万元。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授予中小企业合同金额1.16万元，占政府采购支出总额的76.32%，其中：授予小微企业合同金额1.16万元，占政府采购支出总额的76.32%。</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11.95万元，其中：副部（省）级及以上领导用车0辆、主要负责人用车0辆、机要通信用车0辆、应急保障用车0辆、执法执勤用车0辆、特种专业技术用车0辆、离退休干部服务用车0辆、其他用车1辆，其他用车主要是：</w:t>
      </w:r>
      <w:r>
        <w:rPr>
          <w:rFonts w:hint="eastAsia" w:eastAsia="仿宋_GB2312" w:cs="Times New Roman"/>
          <w:color w:val="auto"/>
          <w:sz w:val="32"/>
          <w:szCs w:val="32"/>
          <w:highlight w:val="none"/>
          <w:lang w:val="zh-CN" w:eastAsia="zh-CN"/>
        </w:rPr>
        <w:t>单位办公用车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259.22</w:t>
      </w:r>
      <w:r>
        <w:rPr>
          <w:rFonts w:ascii="仿宋_GB2312" w:eastAsia="仿宋_GB2312"/>
          <w:b w:val="0"/>
          <w:sz w:val="32"/>
          <w:szCs w:val="32"/>
        </w:rPr>
        <w:t>万元，实际执行总额</w:t>
      </w:r>
      <w:r>
        <w:rPr>
          <w:rFonts w:hint="eastAsia" w:ascii="仿宋_GB2312" w:eastAsia="仿宋_GB2312"/>
          <w:b w:val="0"/>
          <w:sz w:val="32"/>
          <w:szCs w:val="32"/>
          <w:lang w:val="en-US" w:eastAsia="zh-CN"/>
        </w:rPr>
        <w:t>259.22</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1</w:t>
      </w:r>
      <w:r>
        <w:rPr>
          <w:rFonts w:ascii="仿宋_GB2312" w:eastAsia="仿宋_GB2312"/>
          <w:b w:val="0"/>
          <w:sz w:val="32"/>
          <w:szCs w:val="32"/>
        </w:rPr>
        <w:t>个，全年预算数</w:t>
      </w:r>
      <w:r>
        <w:rPr>
          <w:rFonts w:hint="eastAsia" w:ascii="仿宋_GB2312" w:eastAsia="仿宋_GB2312"/>
          <w:b w:val="0"/>
          <w:sz w:val="32"/>
          <w:szCs w:val="32"/>
          <w:lang w:val="en-US" w:eastAsia="zh-CN"/>
        </w:rPr>
        <w:t>4.43</w:t>
      </w:r>
      <w:r>
        <w:rPr>
          <w:rFonts w:ascii="仿宋_GB2312" w:eastAsia="仿宋_GB2312"/>
          <w:b w:val="0"/>
          <w:sz w:val="32"/>
          <w:szCs w:val="32"/>
        </w:rPr>
        <w:t>万元，全年执行数</w:t>
      </w:r>
      <w:r>
        <w:rPr>
          <w:rFonts w:hint="eastAsia" w:ascii="仿宋_GB2312" w:eastAsia="仿宋_GB2312"/>
          <w:b w:val="0"/>
          <w:sz w:val="32"/>
          <w:szCs w:val="32"/>
          <w:lang w:val="en-US" w:eastAsia="zh-CN"/>
        </w:rPr>
        <w:t>4.43</w:t>
      </w:r>
      <w:r>
        <w:rPr>
          <w:rFonts w:ascii="仿宋_GB2312" w:eastAsia="仿宋_GB2312"/>
          <w:b w:val="0"/>
          <w:sz w:val="32"/>
          <w:szCs w:val="32"/>
        </w:rPr>
        <w:t>万元。预算绩效管理取得的成效：</w:t>
      </w:r>
      <w:r>
        <w:rPr>
          <w:rFonts w:hint="eastAsia" w:ascii="仿宋_GB2312" w:eastAsia="仿宋_GB2312"/>
          <w:sz w:val="32"/>
          <w:szCs w:val="32"/>
        </w:rPr>
        <w:t>一是按照“谁使用、谁监控”的原则，我</w:t>
      </w:r>
      <w:r>
        <w:rPr>
          <w:rFonts w:hint="eastAsia" w:ascii="仿宋_GB2312" w:eastAsia="仿宋_GB2312"/>
          <w:sz w:val="32"/>
          <w:szCs w:val="32"/>
          <w:lang w:eastAsia="zh-CN"/>
        </w:rPr>
        <w:t>馆</w:t>
      </w:r>
      <w:r>
        <w:rPr>
          <w:rFonts w:hint="eastAsia" w:ascii="仿宋_GB2312" w:eastAsia="仿宋_GB2312"/>
          <w:sz w:val="32"/>
          <w:szCs w:val="32"/>
        </w:rPr>
        <w:t>对照年初设定的绩效目标，对202</w:t>
      </w:r>
      <w:r>
        <w:rPr>
          <w:rFonts w:hint="eastAsia" w:ascii="仿宋_GB2312" w:eastAsia="仿宋_GB2312"/>
          <w:sz w:val="32"/>
          <w:szCs w:val="32"/>
          <w:lang w:val="en-US" w:eastAsia="zh-CN"/>
        </w:rPr>
        <w:t>4</w:t>
      </w:r>
      <w:r>
        <w:rPr>
          <w:rFonts w:hint="eastAsia" w:ascii="仿宋_GB2312" w:eastAsia="仿宋_GB2312"/>
          <w:sz w:val="32"/>
          <w:szCs w:val="32"/>
        </w:rPr>
        <w:t>年已到位的市本级财力安排的项目实施进度及预期实现程度进行跟踪监控；二是我</w:t>
      </w:r>
      <w:r>
        <w:rPr>
          <w:rFonts w:hint="eastAsia" w:ascii="仿宋_GB2312" w:eastAsia="仿宋_GB2312"/>
          <w:sz w:val="32"/>
          <w:szCs w:val="32"/>
          <w:lang w:eastAsia="zh-CN"/>
        </w:rPr>
        <w:t>馆</w:t>
      </w:r>
      <w:r>
        <w:rPr>
          <w:rFonts w:hint="eastAsia" w:ascii="仿宋_GB2312" w:eastAsia="仿宋_GB2312"/>
          <w:sz w:val="32"/>
          <w:szCs w:val="32"/>
        </w:rPr>
        <w:t>逐项填报《专项转移支付绩效监控情况表》和《部门单位项目支出绩效监控情况表》，及时反映出了资金执行情况和目标完成情况，并分析绩效目标执行出现偏差的原因和采取的措施</w:t>
      </w:r>
      <w:r>
        <w:rPr>
          <w:rFonts w:ascii="仿宋_GB2312" w:eastAsia="仿宋_GB2312"/>
          <w:b w:val="0"/>
          <w:sz w:val="32"/>
          <w:szCs w:val="32"/>
        </w:rPr>
        <w:t>。发现的问题及原因：</w:t>
      </w:r>
      <w:r>
        <w:rPr>
          <w:rFonts w:hint="eastAsia" w:ascii="仿宋_GB2312" w:eastAsia="仿宋_GB2312"/>
          <w:sz w:val="32"/>
          <w:szCs w:val="32"/>
        </w:rPr>
        <w:t>一是项目绩效目标完成情况与项目资金支出进度存在脱节情况；二是填报内容过于简单，对绩效目标偏差问题缺乏有效分析，无法监控绩效目标的实现程度，还有待进一步提升单位整体绩效管理理念</w:t>
      </w:r>
      <w:r>
        <w:rPr>
          <w:rFonts w:ascii="仿宋_GB2312" w:eastAsia="仿宋_GB2312"/>
          <w:b w:val="0"/>
          <w:sz w:val="32"/>
          <w:szCs w:val="32"/>
        </w:rPr>
        <w:t>。下一步改进措施：</w:t>
      </w:r>
      <w:r>
        <w:rPr>
          <w:rFonts w:hint="eastAsia" w:ascii="仿宋_GB2312" w:eastAsia="仿宋_GB2312"/>
          <w:sz w:val="32"/>
          <w:szCs w:val="32"/>
        </w:rPr>
        <w:t>一是强化对项目资金绩效实现情况的责任约束，对专项资金偏离预算绩效目标的支出，及时采取有效措施予以纠正，进一步规范专项资金使用绩效；二是加强财政资金使用效益跟踪“回头看”，针对资金绩效运行状况，及时预控、查找资金使用和管理过程中的薄弱环节，提出纠偏措施</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sectPr>
          <w:pgSz w:w="12240" w:h="15840"/>
          <w:pgMar w:top="1440" w:right="1800" w:bottom="1440" w:left="1800" w:header="720" w:footer="720" w:gutter="0"/>
        </w:sectPr>
      </w:pP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58240" behindDoc="0" locked="0" layoutInCell="1" allowOverlap="1">
            <wp:simplePos x="0" y="0"/>
            <wp:positionH relativeFrom="column">
              <wp:posOffset>0</wp:posOffset>
            </wp:positionH>
            <wp:positionV relativeFrom="paragraph">
              <wp:posOffset>0</wp:posOffset>
            </wp:positionV>
            <wp:extent cx="5479415" cy="7734935"/>
            <wp:effectExtent l="0" t="0" r="6985" b="1841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79415" cy="773493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bookmarkStart w:id="0" w:name="_GoBack"/>
      <w:r>
        <w:drawing>
          <wp:anchor distT="0" distB="0" distL="114935" distR="114935" simplePos="0" relativeHeight="251659264" behindDoc="0" locked="0" layoutInCell="1" allowOverlap="1">
            <wp:simplePos x="0" y="0"/>
            <wp:positionH relativeFrom="column">
              <wp:posOffset>0</wp:posOffset>
            </wp:positionH>
            <wp:positionV relativeFrom="paragraph">
              <wp:posOffset>0</wp:posOffset>
            </wp:positionV>
            <wp:extent cx="5480050" cy="7379970"/>
            <wp:effectExtent l="0" t="0" r="6350" b="1143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grayscl/>
                    </a:blip>
                    <a:stretch>
                      <a:fillRect/>
                    </a:stretch>
                  </pic:blipFill>
                  <pic:spPr>
                    <a:xfrm>
                      <a:off x="0" y="0"/>
                      <a:ext cx="5480050" cy="7379970"/>
                    </a:xfrm>
                    <a:prstGeom prst="rect">
                      <a:avLst/>
                    </a:prstGeom>
                    <a:noFill/>
                    <a:ln>
                      <a:noFill/>
                    </a:ln>
                  </pic:spPr>
                </pic:pic>
              </a:graphicData>
            </a:graphic>
          </wp:anchor>
        </w:drawing>
      </w:r>
      <w:bookmarkEnd w:id="0"/>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60288" behindDoc="0" locked="0" layoutInCell="1" allowOverlap="1">
            <wp:simplePos x="0" y="0"/>
            <wp:positionH relativeFrom="column">
              <wp:posOffset>0</wp:posOffset>
            </wp:positionH>
            <wp:positionV relativeFrom="paragraph">
              <wp:posOffset>0</wp:posOffset>
            </wp:positionV>
            <wp:extent cx="5477510" cy="7524750"/>
            <wp:effectExtent l="0" t="0" r="889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5477510" cy="752475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61312" behindDoc="0" locked="0" layoutInCell="1" allowOverlap="1">
            <wp:simplePos x="0" y="0"/>
            <wp:positionH relativeFrom="column">
              <wp:posOffset>0</wp:posOffset>
            </wp:positionH>
            <wp:positionV relativeFrom="paragraph">
              <wp:posOffset>0</wp:posOffset>
            </wp:positionV>
            <wp:extent cx="5485130" cy="7289800"/>
            <wp:effectExtent l="0" t="0" r="1270" b="635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485130" cy="728980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62336" behindDoc="0" locked="0" layoutInCell="1" allowOverlap="1">
            <wp:simplePos x="0" y="0"/>
            <wp:positionH relativeFrom="column">
              <wp:posOffset>0</wp:posOffset>
            </wp:positionH>
            <wp:positionV relativeFrom="paragraph">
              <wp:posOffset>0</wp:posOffset>
            </wp:positionV>
            <wp:extent cx="5482590" cy="7327900"/>
            <wp:effectExtent l="0" t="0" r="3810" b="635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grayscl/>
                    </a:blip>
                    <a:stretch>
                      <a:fillRect/>
                    </a:stretch>
                  </pic:blipFill>
                  <pic:spPr>
                    <a:xfrm>
                      <a:off x="0" y="0"/>
                      <a:ext cx="5482590" cy="732790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66432" behindDoc="0" locked="0" layoutInCell="1" allowOverlap="1">
            <wp:simplePos x="0" y="0"/>
            <wp:positionH relativeFrom="column">
              <wp:posOffset>0</wp:posOffset>
            </wp:positionH>
            <wp:positionV relativeFrom="paragraph">
              <wp:posOffset>0</wp:posOffset>
            </wp:positionV>
            <wp:extent cx="5483225" cy="8090535"/>
            <wp:effectExtent l="0" t="0" r="3175" b="5715"/>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83225" cy="809053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65408" behindDoc="0" locked="0" layoutInCell="1" allowOverlap="1">
            <wp:simplePos x="0" y="0"/>
            <wp:positionH relativeFrom="column">
              <wp:posOffset>0</wp:posOffset>
            </wp:positionH>
            <wp:positionV relativeFrom="paragraph">
              <wp:posOffset>0</wp:posOffset>
            </wp:positionV>
            <wp:extent cx="5483860" cy="3977005"/>
            <wp:effectExtent l="0" t="0" r="2540" b="4445"/>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483860" cy="397700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64384" behindDoc="0" locked="0" layoutInCell="1" allowOverlap="1">
            <wp:simplePos x="0" y="0"/>
            <wp:positionH relativeFrom="column">
              <wp:posOffset>0</wp:posOffset>
            </wp:positionH>
            <wp:positionV relativeFrom="paragraph">
              <wp:posOffset>0</wp:posOffset>
            </wp:positionV>
            <wp:extent cx="5482590" cy="4268470"/>
            <wp:effectExtent l="0" t="0" r="3810" b="1778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grayscl/>
                    </a:blip>
                    <a:stretch>
                      <a:fillRect/>
                    </a:stretch>
                  </pic:blipFill>
                  <pic:spPr>
                    <a:xfrm>
                      <a:off x="0" y="0"/>
                      <a:ext cx="5482590" cy="426847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pPr>
      <w:r>
        <w:drawing>
          <wp:anchor distT="0" distB="0" distL="114935" distR="114935" simplePos="0" relativeHeight="251663360" behindDoc="0" locked="0" layoutInCell="1" allowOverlap="1">
            <wp:simplePos x="0" y="0"/>
            <wp:positionH relativeFrom="column">
              <wp:posOffset>0</wp:posOffset>
            </wp:positionH>
            <wp:positionV relativeFrom="paragraph">
              <wp:posOffset>0</wp:posOffset>
            </wp:positionV>
            <wp:extent cx="5476240" cy="2482215"/>
            <wp:effectExtent l="0" t="0" r="10160" b="13335"/>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76240" cy="2482215"/>
                    </a:xfrm>
                    <a:prstGeom prst="rect">
                      <a:avLst/>
                    </a:prstGeom>
                    <a:noFill/>
                    <a:ln>
                      <a:noFill/>
                    </a:ln>
                  </pic:spPr>
                </pic:pic>
              </a:graphicData>
            </a:graphic>
          </wp:anchor>
        </w:drawing>
      </w: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B0237"/>
    <w:multiLevelType w:val="singleLevel"/>
    <w:tmpl w:val="0A4B023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splitPgBreakAndParaMark/>
    <w:compatSetting w:name="compatibilityMode" w:uri="http://schemas.microsoft.com/office/word" w:val="12"/>
  </w:compat>
  <w:rsids>
    <w:rsidRoot w:val="00000000"/>
    <w:rsid w:val="18AE35E1"/>
    <w:rsid w:val="1BF4003C"/>
    <w:rsid w:val="21600FE7"/>
    <w:rsid w:val="296743F3"/>
    <w:rsid w:val="383E551E"/>
    <w:rsid w:val="3C7C2898"/>
    <w:rsid w:val="56031257"/>
    <w:rsid w:val="5CC52928"/>
    <w:rsid w:val="61BB052F"/>
    <w:rsid w:val="6D3B3052"/>
    <w:rsid w:val="7A273D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Office_11.1.0.9584_F1E327BC-269C-435d-A152-05C5408002CA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2025-08-13T11:16:00Z</dcterms:created>
  <dc:creator>Administrator</dc:creator>
  <cp:lastModifiedBy>Administrator</cp:lastModifiedBy>
  <dcterms:modified xsi:type="dcterms:W3CDTF">2025-08-19T12:25:05Z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