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A4B85E">
      <w:pPr>
        <w:spacing w:line="540" w:lineRule="exact"/>
        <w:jc w:val="center"/>
        <w:rPr>
          <w:rFonts w:hint="default" w:ascii="Times New Roman" w:hAnsi="Times New Roman" w:eastAsia="华文中宋" w:cs="Times New Roman"/>
          <w:b/>
          <w:kern w:val="0"/>
          <w:sz w:val="52"/>
          <w:szCs w:val="52"/>
          <w:highlight w:val="none"/>
        </w:rPr>
      </w:pPr>
    </w:p>
    <w:p w14:paraId="4AA13A90">
      <w:pPr>
        <w:spacing w:line="540" w:lineRule="exact"/>
        <w:rPr>
          <w:rFonts w:hint="default" w:ascii="Times New Roman" w:hAnsi="Times New Roman" w:eastAsia="华文中宋" w:cs="Times New Roman"/>
          <w:b/>
          <w:kern w:val="0"/>
          <w:sz w:val="52"/>
          <w:szCs w:val="52"/>
          <w:highlight w:val="none"/>
        </w:rPr>
      </w:pPr>
    </w:p>
    <w:p w14:paraId="5685B29F">
      <w:pPr>
        <w:spacing w:line="540" w:lineRule="exact"/>
        <w:jc w:val="center"/>
        <w:rPr>
          <w:rFonts w:hint="default" w:ascii="Times New Roman" w:hAnsi="Times New Roman" w:eastAsia="华文中宋" w:cs="Times New Roman"/>
          <w:b/>
          <w:kern w:val="0"/>
          <w:sz w:val="52"/>
          <w:szCs w:val="52"/>
          <w:highlight w:val="none"/>
        </w:rPr>
      </w:pPr>
    </w:p>
    <w:p w14:paraId="5ABD511A">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default" w:ascii="Times New Roman" w:hAnsi="Times New Roman" w:eastAsia="华文中宋" w:cs="Times New Roman"/>
          <w:b/>
          <w:kern w:val="0"/>
          <w:sz w:val="52"/>
          <w:szCs w:val="52"/>
          <w:highlight w:val="none"/>
        </w:rPr>
      </w:pPr>
    </w:p>
    <w:p w14:paraId="40BF93F1">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_GBK" w:hAnsi="方正小标宋_GBK" w:eastAsia="方正小标宋_GBK" w:cs="方正小标宋_GBK"/>
          <w:kern w:val="0"/>
          <w:sz w:val="48"/>
          <w:szCs w:val="48"/>
          <w:highlight w:val="none"/>
        </w:rPr>
      </w:pPr>
      <w:r>
        <w:rPr>
          <w:rFonts w:hint="eastAsia" w:ascii="方正小标宋_GBK" w:hAnsi="方正小标宋_GBK" w:eastAsia="方正小标宋_GBK" w:cs="方正小标宋_GBK"/>
          <w:kern w:val="0"/>
          <w:sz w:val="48"/>
          <w:szCs w:val="48"/>
          <w:highlight w:val="none"/>
        </w:rPr>
        <w:t>部门专项-档案事业费项目支出绩效评价</w:t>
      </w:r>
    </w:p>
    <w:p w14:paraId="106D80F3">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_GBK" w:hAnsi="方正小标宋_GBK" w:eastAsia="方正小标宋_GBK" w:cs="方正小标宋_GBK"/>
          <w:kern w:val="0"/>
          <w:sz w:val="48"/>
          <w:szCs w:val="48"/>
          <w:highlight w:val="none"/>
        </w:rPr>
      </w:pPr>
      <w:r>
        <w:rPr>
          <w:rFonts w:hint="eastAsia" w:ascii="方正小标宋_GBK" w:hAnsi="方正小标宋_GBK" w:eastAsia="方正小标宋_GBK" w:cs="方正小标宋_GBK"/>
          <w:kern w:val="0"/>
          <w:sz w:val="48"/>
          <w:szCs w:val="48"/>
          <w:highlight w:val="none"/>
        </w:rPr>
        <w:t>报告</w:t>
      </w:r>
    </w:p>
    <w:p w14:paraId="5C2A34D8">
      <w:pPr>
        <w:spacing w:line="540" w:lineRule="exact"/>
        <w:jc w:val="center"/>
        <w:rPr>
          <w:rFonts w:hint="default" w:ascii="Times New Roman" w:hAnsi="Times New Roman" w:eastAsia="华文中宋" w:cs="Times New Roman"/>
          <w:b/>
          <w:kern w:val="0"/>
          <w:sz w:val="52"/>
          <w:szCs w:val="52"/>
          <w:highlight w:val="none"/>
        </w:rPr>
      </w:pPr>
    </w:p>
    <w:p w14:paraId="53822F77">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14:paraId="35DAB358">
      <w:pPr>
        <w:spacing w:line="540" w:lineRule="exact"/>
        <w:jc w:val="center"/>
        <w:rPr>
          <w:rFonts w:hint="default" w:ascii="Times New Roman" w:hAnsi="Times New Roman" w:eastAsia="仿宋_GB2312" w:cs="Times New Roman"/>
          <w:kern w:val="0"/>
          <w:sz w:val="30"/>
          <w:szCs w:val="30"/>
          <w:highlight w:val="none"/>
        </w:rPr>
      </w:pPr>
    </w:p>
    <w:p w14:paraId="5C3A8E83">
      <w:pPr>
        <w:spacing w:line="540" w:lineRule="exact"/>
        <w:jc w:val="center"/>
        <w:rPr>
          <w:rFonts w:hint="default" w:ascii="Times New Roman" w:hAnsi="Times New Roman" w:eastAsia="仿宋_GB2312" w:cs="Times New Roman"/>
          <w:kern w:val="0"/>
          <w:sz w:val="30"/>
          <w:szCs w:val="30"/>
          <w:highlight w:val="none"/>
        </w:rPr>
      </w:pPr>
    </w:p>
    <w:p w14:paraId="69603593">
      <w:pPr>
        <w:spacing w:line="540" w:lineRule="exact"/>
        <w:jc w:val="center"/>
        <w:rPr>
          <w:rFonts w:hint="default" w:ascii="Times New Roman" w:hAnsi="Times New Roman" w:eastAsia="仿宋_GB2312" w:cs="Times New Roman"/>
          <w:kern w:val="0"/>
          <w:sz w:val="30"/>
          <w:szCs w:val="30"/>
          <w:highlight w:val="none"/>
        </w:rPr>
      </w:pPr>
    </w:p>
    <w:p w14:paraId="1D1FC282">
      <w:pPr>
        <w:pStyle w:val="10"/>
        <w:rPr>
          <w:rFonts w:hint="default" w:ascii="Times New Roman" w:hAnsi="Times New Roman" w:cs="Times New Roman"/>
          <w:highlight w:val="none"/>
        </w:rPr>
      </w:pPr>
    </w:p>
    <w:p w14:paraId="3FCEE4C1">
      <w:pPr>
        <w:spacing w:line="540" w:lineRule="exact"/>
        <w:jc w:val="center"/>
        <w:rPr>
          <w:rFonts w:hint="default" w:ascii="Times New Roman" w:hAnsi="Times New Roman" w:eastAsia="仿宋_GB2312" w:cs="Times New Roman"/>
          <w:kern w:val="0"/>
          <w:sz w:val="30"/>
          <w:szCs w:val="30"/>
          <w:highlight w:val="none"/>
        </w:rPr>
      </w:pPr>
    </w:p>
    <w:p w14:paraId="3CF0AE56">
      <w:pPr>
        <w:spacing w:line="540" w:lineRule="exact"/>
        <w:rPr>
          <w:rFonts w:hint="default" w:ascii="Times New Roman" w:hAnsi="Times New Roman" w:eastAsia="仿宋_GB2312" w:cs="Times New Roman"/>
          <w:kern w:val="0"/>
          <w:sz w:val="30"/>
          <w:szCs w:val="30"/>
          <w:highlight w:val="none"/>
        </w:rPr>
      </w:pPr>
    </w:p>
    <w:p w14:paraId="7DBFF5E6">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项目名称：部门专项-档案事业费</w:t>
      </w:r>
    </w:p>
    <w:p w14:paraId="10841DD3">
      <w:pPr>
        <w:spacing w:line="700" w:lineRule="exact"/>
        <w:ind w:firstLine="1440" w:firstLineChars="400"/>
        <w:jc w:val="left"/>
        <w:rPr>
          <w:rFonts w:hint="default"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实施单位（公章）：</w:t>
      </w:r>
      <w:r>
        <w:rPr>
          <w:rFonts w:hint="default" w:ascii="Times New Roman" w:hAnsi="Times New Roman" w:eastAsia="仿宋_GB2312" w:cs="Times New Roman"/>
          <w:kern w:val="0"/>
          <w:sz w:val="36"/>
          <w:szCs w:val="36"/>
          <w:highlight w:val="none"/>
          <w:lang w:eastAsia="zh-CN"/>
        </w:rPr>
        <w:t>库尔勒市档案馆</w:t>
      </w:r>
    </w:p>
    <w:p w14:paraId="5D0C2922">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主管部门（公章）：</w:t>
      </w:r>
      <w:r>
        <w:rPr>
          <w:rFonts w:hint="default" w:ascii="Times New Roman" w:hAnsi="Times New Roman" w:eastAsia="仿宋_GB2312" w:cs="Times New Roman"/>
          <w:kern w:val="0"/>
          <w:sz w:val="36"/>
          <w:szCs w:val="36"/>
          <w:highlight w:val="none"/>
          <w:lang w:eastAsia="zh-CN"/>
        </w:rPr>
        <w:t>库尔勒市档案馆</w:t>
      </w:r>
    </w:p>
    <w:p w14:paraId="4E5F5CA7">
      <w:pPr>
        <w:spacing w:line="700" w:lineRule="exact"/>
        <w:ind w:firstLine="1440" w:firstLineChars="400"/>
        <w:jc w:val="left"/>
        <w:rPr>
          <w:rFonts w:hint="default"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项目负责人（签章）：</w:t>
      </w:r>
      <w:r>
        <w:rPr>
          <w:rFonts w:hint="default" w:ascii="Times New Roman" w:hAnsi="Times New Roman" w:eastAsia="仿宋_GB2312" w:cs="Times New Roman"/>
          <w:kern w:val="0"/>
          <w:sz w:val="36"/>
          <w:szCs w:val="36"/>
          <w:highlight w:val="none"/>
          <w:lang w:eastAsia="zh-CN"/>
        </w:rPr>
        <w:t>于凤梅</w:t>
      </w:r>
    </w:p>
    <w:p w14:paraId="20A6C0A6">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default" w:ascii="Times New Roman" w:hAnsi="Times New Roman" w:eastAsia="仿宋_GB2312" w:cs="Times New Roman"/>
          <w:kern w:val="0"/>
          <w:sz w:val="36"/>
          <w:szCs w:val="36"/>
          <w:highlight w:val="none"/>
          <w:lang w:val="en-US" w:eastAsia="zh-CN"/>
        </w:rPr>
        <w:t>2025年</w:t>
      </w:r>
      <w:r>
        <w:rPr>
          <w:rFonts w:hint="eastAsia"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lang w:val="en-US" w:eastAsia="zh-CN"/>
        </w:rPr>
        <w:t>月26日</w:t>
      </w:r>
    </w:p>
    <w:p w14:paraId="43D9743E">
      <w:pPr>
        <w:spacing w:line="540" w:lineRule="exact"/>
        <w:jc w:val="center"/>
        <w:rPr>
          <w:rFonts w:hint="default" w:ascii="Times New Roman" w:hAnsi="Times New Roman" w:eastAsia="仿宋_GB2312" w:cs="Times New Roman"/>
          <w:kern w:val="0"/>
          <w:sz w:val="30"/>
          <w:szCs w:val="30"/>
          <w:highlight w:val="none"/>
        </w:rPr>
      </w:pPr>
    </w:p>
    <w:p w14:paraId="07925DC8">
      <w:pPr>
        <w:spacing w:line="540" w:lineRule="exact"/>
        <w:rPr>
          <w:rFonts w:hint="default" w:ascii="Times New Roman" w:hAnsi="Times New Roman" w:eastAsia="黑体" w:cs="Times New Roman"/>
          <w:b w:val="0"/>
          <w:spacing w:val="-4"/>
          <w:sz w:val="32"/>
          <w:szCs w:val="32"/>
          <w:highlight w:val="none"/>
        </w:rPr>
      </w:pPr>
    </w:p>
    <w:p w14:paraId="003E7830">
      <w:pPr>
        <w:spacing w:line="540" w:lineRule="exact"/>
        <w:rPr>
          <w:rFonts w:hint="default" w:ascii="Times New Roman" w:hAnsi="Times New Roman" w:eastAsia="黑体" w:cs="Times New Roman"/>
          <w:b w:val="0"/>
          <w:spacing w:val="-4"/>
          <w:sz w:val="32"/>
          <w:szCs w:val="32"/>
          <w:highlight w:val="none"/>
        </w:rPr>
      </w:pPr>
    </w:p>
    <w:p w14:paraId="770D41C1">
      <w:pPr>
        <w:spacing w:line="560" w:lineRule="exact"/>
        <w:ind w:firstLine="640" w:firstLineChars="200"/>
        <w:rPr>
          <w:rFonts w:hint="default" w:ascii="Times New Roman" w:hAnsi="Times New Roman" w:eastAsia="黑体" w:cs="Times New Roman"/>
          <w:bCs/>
          <w:sz w:val="32"/>
          <w:szCs w:val="32"/>
          <w:highlight w:val="none"/>
        </w:rPr>
        <w:sectPr>
          <w:pgSz w:w="11906" w:h="16838"/>
          <w:pgMar w:top="1440" w:right="1558" w:bottom="1440" w:left="1800" w:header="851" w:footer="992" w:gutter="0"/>
          <w:pgNumType w:fmt="decimal"/>
          <w:cols w:space="425" w:num="1"/>
          <w:docGrid w:type="lines" w:linePitch="312" w:charSpace="0"/>
        </w:sectPr>
      </w:pPr>
    </w:p>
    <w:p w14:paraId="11244CDA">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14:paraId="3EC5BBFF">
      <w:pPr>
        <w:spacing w:line="560" w:lineRule="exact"/>
        <w:ind w:firstLine="643" w:firstLineChars="200"/>
        <w:rPr>
          <w:rFonts w:hint="eastAsia" w:ascii="方正楷体_GBK" w:hAnsi="方正楷体_GBK" w:eastAsia="方正楷体_GBK" w:cs="方正楷体_GBK"/>
          <w:b/>
          <w:bCs/>
          <w:sz w:val="32"/>
          <w:szCs w:val="32"/>
          <w:highlight w:val="none"/>
        </w:rPr>
      </w:pPr>
      <w:r>
        <w:rPr>
          <w:rFonts w:hint="eastAsia" w:ascii="方正楷体_GBK" w:hAnsi="方正楷体_GBK" w:eastAsia="方正楷体_GBK" w:cs="方正楷体_GBK"/>
          <w:b/>
          <w:bCs/>
          <w:sz w:val="32"/>
          <w:szCs w:val="32"/>
          <w:highlight w:val="none"/>
        </w:rPr>
        <w:t>（一）项目概况</w:t>
      </w:r>
    </w:p>
    <w:p w14:paraId="573CD49C">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eastAsia" w:ascii="方正仿宋_GBK" w:hAnsi="方正仿宋_GBK" w:eastAsia="方正仿宋_GBK" w:cs="方正仿宋_GBK"/>
          <w:b/>
          <w:bCs/>
          <w:sz w:val="32"/>
          <w:szCs w:val="32"/>
          <w:highlight w:val="none"/>
        </w:rPr>
        <w:t>项目背景</w:t>
      </w:r>
    </w:p>
    <w:p w14:paraId="65471C00">
      <w:pPr>
        <w:spacing w:line="560" w:lineRule="exact"/>
        <w:ind w:firstLine="640" w:firstLineChars="200"/>
        <w:rPr>
          <w:rFonts w:hint="default" w:ascii="Times New Roman" w:hAnsi="Times New Roman" w:eastAsia="黑体" w:cs="Times New Roman"/>
          <w:b w:val="0"/>
          <w:bCs/>
          <w:spacing w:val="-4"/>
          <w:sz w:val="32"/>
          <w:szCs w:val="32"/>
          <w:highlight w:val="none"/>
          <w:lang w:eastAsia="zh-CN"/>
        </w:rPr>
      </w:pPr>
      <w:r>
        <w:rPr>
          <w:rFonts w:hint="eastAsia" w:ascii="方正仿宋_GBK" w:hAnsi="方正仿宋_GBK" w:eastAsia="方正仿宋_GBK" w:cs="方正仿宋_GBK"/>
          <w:color w:val="auto"/>
          <w:sz w:val="32"/>
          <w:szCs w:val="32"/>
          <w:highlight w:val="none"/>
        </w:rPr>
        <w:t>对馆藏档案进行安全、保密、保护、宣传利用等工作，同时对档案馆所有馆藏档案进行梳理和规整，保障日常工作有序进行。对全市立档单位的业务指导、和到期移交档案的集中保管;做好档案编研出版、档案员培训工作</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负责宣传库尔勒市的历史变迁与发展成就</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引导各族干部群众正确认识新疆历史、民族发展史、宗教演变史</w:t>
      </w:r>
      <w:r>
        <w:rPr>
          <w:rFonts w:hint="eastAsia" w:ascii="方正仿宋_GBK" w:hAnsi="方正仿宋_GBK" w:eastAsia="方正仿宋_GBK" w:cs="方正仿宋_GBK"/>
          <w:b w:val="0"/>
          <w:bCs/>
          <w:spacing w:val="-4"/>
          <w:sz w:val="32"/>
          <w:szCs w:val="32"/>
          <w:highlight w:val="none"/>
          <w:lang w:eastAsia="zh-CN"/>
        </w:rPr>
        <w:t>。</w:t>
      </w:r>
    </w:p>
    <w:p w14:paraId="15F273D9">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lang w:val="en-US" w:eastAsia="zh-CN"/>
        </w:rPr>
        <w:t>2.</w:t>
      </w:r>
      <w:r>
        <w:rPr>
          <w:rFonts w:hint="default" w:ascii="Times New Roman" w:hAnsi="Times New Roman" w:eastAsia="仿宋_GB2312" w:cs="Times New Roman"/>
          <w:kern w:val="2"/>
          <w:sz w:val="32"/>
          <w:szCs w:val="32"/>
          <w:highlight w:val="none"/>
        </w:rPr>
        <w:t>项目主要内容：</w:t>
      </w:r>
    </w:p>
    <w:p w14:paraId="42D4B10F">
      <w:pPr>
        <w:spacing w:line="560" w:lineRule="exact"/>
        <w:ind w:firstLine="640" w:firstLineChars="200"/>
        <w:rPr>
          <w:rFonts w:hint="default" w:ascii="Times New Roman" w:hAnsi="Times New Roman" w:eastAsia="方正仿宋_GBK" w:cs="Times New Roman"/>
          <w:sz w:val="32"/>
          <w:szCs w:val="32"/>
          <w:highlight w:val="none"/>
          <w:lang w:eastAsia="zh-CN"/>
        </w:rPr>
      </w:pPr>
      <w:r>
        <w:rPr>
          <w:rFonts w:hint="default" w:ascii="Times New Roman" w:hAnsi="Times New Roman" w:eastAsia="方正仿宋_GBK" w:cs="Times New Roman"/>
          <w:sz w:val="32"/>
          <w:szCs w:val="32"/>
          <w:highlight w:val="none"/>
          <w:lang w:val="en-US" w:eastAsia="zh-CN"/>
        </w:rPr>
        <w:t>项目主要内容：对馆藏38000到40000卷档案进行安全、保密、保护、宣传利用等工作，</w:t>
      </w:r>
      <w:r>
        <w:rPr>
          <w:rFonts w:hint="default" w:ascii="Times New Roman" w:hAnsi="Times New Roman" w:eastAsia="方正仿宋_GBK" w:cs="Times New Roman"/>
          <w:color w:val="auto"/>
          <w:sz w:val="32"/>
          <w:szCs w:val="32"/>
          <w:highlight w:val="none"/>
        </w:rPr>
        <w:t>同时对档案馆所有馆藏档案进行梳理和规整，保障日常工作有序进行</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sz w:val="32"/>
          <w:szCs w:val="32"/>
          <w:highlight w:val="none"/>
          <w:lang w:val="en-US" w:eastAsia="zh-CN"/>
        </w:rPr>
        <w:t>保障查阅档案人员不少于200人</w:t>
      </w:r>
      <w:r>
        <w:rPr>
          <w:rFonts w:hint="default" w:ascii="Times New Roman" w:hAnsi="Times New Roman" w:eastAsia="方正仿宋_GBK" w:cs="Times New Roman"/>
          <w:b w:val="0"/>
          <w:bCs/>
          <w:spacing w:val="-4"/>
          <w:sz w:val="32"/>
          <w:szCs w:val="32"/>
          <w:highlight w:val="none"/>
          <w:lang w:eastAsia="zh-CN"/>
        </w:rPr>
        <w:t>。</w:t>
      </w:r>
    </w:p>
    <w:p w14:paraId="464A144C">
      <w:pPr>
        <w:spacing w:line="560" w:lineRule="exact"/>
        <w:ind w:firstLine="640" w:firstLineChars="20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项目实施情况：</w:t>
      </w:r>
      <w:r>
        <w:rPr>
          <w:rFonts w:hint="default" w:ascii="Times New Roman" w:hAnsi="Times New Roman" w:eastAsia="方正仿宋_GBK" w:cs="Times New Roman"/>
          <w:color w:val="auto"/>
          <w:sz w:val="32"/>
          <w:szCs w:val="32"/>
          <w:highlight w:val="none"/>
          <w:lang w:val="en-US" w:eastAsia="zh-CN"/>
        </w:rPr>
        <w:t>2024年</w:t>
      </w:r>
      <w:r>
        <w:rPr>
          <w:rFonts w:hint="default" w:ascii="Times New Roman" w:hAnsi="Times New Roman" w:eastAsia="方正仿宋_GBK" w:cs="Times New Roman"/>
          <w:color w:val="auto"/>
          <w:sz w:val="32"/>
          <w:szCs w:val="32"/>
          <w:highlight w:val="none"/>
        </w:rPr>
        <w:t>完成</w:t>
      </w:r>
      <w:r>
        <w:rPr>
          <w:rFonts w:hint="default" w:ascii="Times New Roman" w:hAnsi="Times New Roman" w:eastAsia="方正仿宋_GBK" w:cs="Times New Roman"/>
          <w:sz w:val="32"/>
          <w:szCs w:val="32"/>
          <w:highlight w:val="none"/>
          <w:lang w:val="en-US" w:eastAsia="zh-CN"/>
        </w:rPr>
        <w:t>对馆藏38000卷档案进行安全、保密、保护、宣传利用等工作；对档案馆所有馆藏档案进行梳理和规整，保障日常工作有序进行</w:t>
      </w:r>
      <w:r>
        <w:rPr>
          <w:rFonts w:hint="default" w:ascii="Times New Roman" w:hAnsi="Times New Roman" w:eastAsia="方正仿宋_GBK" w:cs="Times New Roman"/>
          <w:b w:val="0"/>
          <w:bCs/>
          <w:spacing w:val="-4"/>
          <w:sz w:val="32"/>
          <w:szCs w:val="32"/>
          <w:highlight w:val="none"/>
          <w:lang w:eastAsia="zh-CN"/>
        </w:rPr>
        <w:t>。</w:t>
      </w:r>
    </w:p>
    <w:p w14:paraId="385D8315">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14:paraId="3A76E6B5">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（1）资金投入情况</w:t>
      </w:r>
    </w:p>
    <w:p w14:paraId="378EC786">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该项目年初预算数20.00万元，全年预算数20.00万元，该项目资金已全部落实到位，资金来源为财政拨款。</w:t>
      </w:r>
    </w:p>
    <w:p w14:paraId="554347C0">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（2）资金使用情况</w:t>
      </w:r>
    </w:p>
    <w:p w14:paraId="0BDE6A62">
      <w:pPr>
        <w:shd w:val="clear"/>
        <w:spacing w:line="600" w:lineRule="exact"/>
        <w:ind w:firstLine="616" w:firstLineChars="200"/>
        <w:outlineLvl w:val="0"/>
        <w:rPr>
          <w:rFonts w:hint="default" w:ascii="Times New Roman" w:hAnsi="Times New Roman" w:eastAsia="方正仿宋_GBK" w:cs="Times New Roman"/>
          <w:spacing w:val="-6"/>
          <w:sz w:val="32"/>
          <w:szCs w:val="32"/>
          <w:highlight w:val="none"/>
          <w:lang w:val="en-US" w:eastAsia="zh-CN"/>
        </w:rPr>
      </w:pPr>
      <w:r>
        <w:rPr>
          <w:rFonts w:hint="default" w:ascii="Times New Roman" w:hAnsi="Times New Roman" w:eastAsia="方正仿宋_GBK" w:cs="Times New Roman"/>
          <w:spacing w:val="-6"/>
          <w:sz w:val="32"/>
          <w:szCs w:val="32"/>
          <w:highlight w:val="none"/>
          <w:lang w:val="en-US" w:eastAsia="zh-CN"/>
        </w:rPr>
        <w:t>该项目年初预算数20.00万元，全年预算数20.00万元，全年执行数4.43万元，预算执行率为22.15%，主要用于：保管支出减少，平均每卷档案保管成本1.17元/卷，共计4.43万元。</w:t>
      </w:r>
    </w:p>
    <w:p w14:paraId="3A2DCD99">
      <w:pPr>
        <w:spacing w:line="560" w:lineRule="exact"/>
        <w:ind w:firstLine="643" w:firstLineChars="200"/>
        <w:rPr>
          <w:rFonts w:hint="default" w:ascii="方正楷体_GBK" w:hAnsi="方正楷体_GBK" w:eastAsia="方正楷体_GBK" w:cs="方正楷体_GBK"/>
          <w:b/>
          <w:bCs/>
          <w:sz w:val="32"/>
          <w:szCs w:val="32"/>
          <w:highlight w:val="none"/>
        </w:rPr>
      </w:pPr>
      <w:r>
        <w:rPr>
          <w:rFonts w:hint="default" w:ascii="方正楷体_GBK" w:hAnsi="方正楷体_GBK" w:eastAsia="方正楷体_GBK" w:cs="方正楷体_GBK"/>
          <w:b/>
          <w:bCs/>
          <w:sz w:val="32"/>
          <w:szCs w:val="32"/>
          <w:highlight w:val="none"/>
        </w:rPr>
        <w:t>（二）项目绩效目标</w:t>
      </w:r>
    </w:p>
    <w:p w14:paraId="0AD5AEAA">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1.总体目标：</w:t>
      </w:r>
    </w:p>
    <w:p w14:paraId="78724E84">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目标1</w:t>
      </w:r>
      <w:r>
        <w:rPr>
          <w:rFonts w:hint="eastAsia" w:ascii="Times New Roman" w:hAnsi="Times New Roman" w:eastAsia="方正仿宋_GBK" w:cs="Times New Roman"/>
          <w:sz w:val="32"/>
          <w:szCs w:val="32"/>
          <w:highlight w:val="none"/>
          <w:lang w:val="en-US" w:eastAsia="zh-CN"/>
        </w:rPr>
        <w:t>：</w:t>
      </w:r>
      <w:r>
        <w:rPr>
          <w:rFonts w:hint="default" w:ascii="Times New Roman" w:hAnsi="Times New Roman" w:eastAsia="方正仿宋_GBK" w:cs="Times New Roman"/>
          <w:sz w:val="32"/>
          <w:szCs w:val="32"/>
          <w:highlight w:val="none"/>
          <w:lang w:val="en-US" w:eastAsia="zh-CN"/>
        </w:rPr>
        <w:t>对馆藏38000到40000卷档案进行安全、保密、保护、宣传利用等工作，保障查阅档案人员不少于200人。</w:t>
      </w:r>
    </w:p>
    <w:p w14:paraId="51C7833F">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目标2</w:t>
      </w:r>
      <w:r>
        <w:rPr>
          <w:rFonts w:hint="eastAsia" w:ascii="Times New Roman" w:hAnsi="Times New Roman" w:eastAsia="方正仿宋_GBK" w:cs="Times New Roman"/>
          <w:sz w:val="32"/>
          <w:szCs w:val="32"/>
          <w:highlight w:val="none"/>
          <w:lang w:val="en-US" w:eastAsia="zh-CN"/>
        </w:rPr>
        <w:t>：</w:t>
      </w:r>
      <w:r>
        <w:rPr>
          <w:rFonts w:hint="default" w:ascii="Times New Roman" w:hAnsi="Times New Roman" w:eastAsia="方正仿宋_GBK" w:cs="Times New Roman"/>
          <w:sz w:val="32"/>
          <w:szCs w:val="32"/>
          <w:highlight w:val="none"/>
          <w:lang w:val="en-US" w:eastAsia="zh-CN"/>
        </w:rPr>
        <w:t>通过项目实施，有效提高档案社会利用率。</w:t>
      </w:r>
    </w:p>
    <w:p w14:paraId="1AEC2B66">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2.阶段性目标：</w:t>
      </w:r>
      <w:r>
        <w:rPr>
          <w:rFonts w:hint="eastAsia" w:ascii="Times New Roman" w:hAnsi="Times New Roman" w:eastAsia="方正仿宋_GBK" w:cs="Times New Roman"/>
          <w:sz w:val="32"/>
          <w:szCs w:val="32"/>
          <w:highlight w:val="none"/>
          <w:lang w:val="en-US" w:eastAsia="zh-CN"/>
        </w:rPr>
        <w:t>上半年</w:t>
      </w:r>
      <w:r>
        <w:rPr>
          <w:rFonts w:hint="default" w:ascii="Times New Roman" w:hAnsi="Times New Roman" w:eastAsia="方正仿宋_GBK" w:cs="Times New Roman"/>
          <w:sz w:val="32"/>
          <w:szCs w:val="32"/>
          <w:highlight w:val="none"/>
          <w:lang w:val="en-US" w:eastAsia="zh-CN"/>
        </w:rPr>
        <w:t>根据计划做好全年对38000卷馆藏档案进行安全、保密、保护工作</w:t>
      </w:r>
      <w:r>
        <w:rPr>
          <w:rFonts w:hint="eastAsia" w:ascii="Times New Roman" w:hAnsi="Times New Roman" w:eastAsia="方正仿宋_GBK" w:cs="Times New Roman"/>
          <w:sz w:val="32"/>
          <w:szCs w:val="32"/>
          <w:highlight w:val="none"/>
          <w:lang w:val="en-US" w:eastAsia="zh-CN"/>
        </w:rPr>
        <w:t>，对档案库房环境检查与维护。梳理积压档案，建立待整理清单，启动分类归档工作，完成率不低于30%。下半年</w:t>
      </w:r>
      <w:r>
        <w:rPr>
          <w:rFonts w:hint="default" w:ascii="Times New Roman" w:hAnsi="Times New Roman" w:eastAsia="方正仿宋_GBK" w:cs="Times New Roman"/>
          <w:sz w:val="32"/>
          <w:szCs w:val="32"/>
          <w:highlight w:val="none"/>
          <w:lang w:val="en-US" w:eastAsia="zh-CN"/>
        </w:rPr>
        <w:t>对档案馆所有馆藏修订档案管理制度，明确分类、保管、销毁等操作标准，形成标准化手册</w:t>
      </w:r>
      <w:r>
        <w:rPr>
          <w:rFonts w:hint="eastAsia" w:ascii="Times New Roman" w:hAnsi="Times New Roman" w:eastAsia="方正仿宋_GBK" w:cs="Times New Roman"/>
          <w:sz w:val="32"/>
          <w:szCs w:val="32"/>
          <w:highlight w:val="none"/>
          <w:lang w:val="en-US" w:eastAsia="zh-CN"/>
        </w:rPr>
        <w:t>，挖掘特色档案资源，支持研究与宣传。</w:t>
      </w:r>
    </w:p>
    <w:p w14:paraId="514E7D7C">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14:paraId="5AB7E463">
      <w:pPr>
        <w:spacing w:line="560" w:lineRule="exact"/>
        <w:ind w:firstLine="643" w:firstLineChars="200"/>
        <w:rPr>
          <w:rFonts w:hint="default" w:ascii="方正楷体_GBK" w:hAnsi="方正楷体_GBK" w:eastAsia="方正楷体_GBK" w:cs="方正楷体_GBK"/>
          <w:b/>
          <w:bCs/>
          <w:sz w:val="32"/>
          <w:szCs w:val="32"/>
          <w:highlight w:val="none"/>
        </w:rPr>
      </w:pPr>
      <w:r>
        <w:rPr>
          <w:rFonts w:hint="default" w:ascii="方正楷体_GBK" w:hAnsi="方正楷体_GBK" w:eastAsia="方正楷体_GBK" w:cs="方正楷体_GBK"/>
          <w:b/>
          <w:bCs/>
          <w:sz w:val="32"/>
          <w:szCs w:val="32"/>
          <w:highlight w:val="none"/>
        </w:rPr>
        <w:t>（一）绩效评价目的、对象和范围</w:t>
      </w:r>
    </w:p>
    <w:p w14:paraId="11E08C0A">
      <w:pPr>
        <w:pStyle w:val="10"/>
        <w:widowControl w:val="0"/>
        <w:spacing w:before="0" w:after="0" w:line="560" w:lineRule="exact"/>
        <w:ind w:firstLine="640" w:firstLineChars="200"/>
        <w:jc w:val="both"/>
        <w:outlineLvl w:val="9"/>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sz w:val="32"/>
          <w:szCs w:val="32"/>
          <w:highlight w:val="none"/>
          <w:lang w:val="en-US" w:eastAsia="zh-CN"/>
        </w:rPr>
        <w:t>1</w:t>
      </w:r>
      <w:r>
        <w:rPr>
          <w:rFonts w:hint="default" w:ascii="Times New Roman" w:hAnsi="Times New Roman" w:eastAsia="方正仿宋_GBK" w:cs="Times New Roman"/>
          <w:b w:val="0"/>
          <w:bCs w:val="0"/>
          <w:kern w:val="2"/>
          <w:sz w:val="32"/>
          <w:szCs w:val="32"/>
          <w:highlight w:val="none"/>
          <w:lang w:val="en-US" w:eastAsia="zh-CN" w:bidi="ar-SA"/>
        </w:rPr>
        <w:t>.绩效评价完整性</w:t>
      </w:r>
    </w:p>
    <w:p w14:paraId="187C06AE">
      <w:pPr>
        <w:spacing w:line="560" w:lineRule="exact"/>
        <w:ind w:firstLine="640" w:firstLineChars="200"/>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本项目预算绩效评价报告在编制过程中，严格遵循《中华人民共和国档案法》</w:t>
      </w:r>
      <w:r>
        <w:rPr>
          <w:rFonts w:hint="eastAsia" w:ascii="Times New Roman" w:hAnsi="Times New Roman" w:eastAsia="方正仿宋_GBK" w:cs="Times New Roman"/>
          <w:b w:val="0"/>
          <w:bCs w:val="0"/>
          <w:kern w:val="2"/>
          <w:sz w:val="32"/>
          <w:szCs w:val="32"/>
          <w:highlight w:val="none"/>
          <w:lang w:val="en-US" w:eastAsia="zh-CN" w:bidi="ar-SA"/>
        </w:rPr>
        <w:t>、《中华人民共和国档案法实施条例》</w:t>
      </w:r>
      <w:r>
        <w:rPr>
          <w:rFonts w:hint="default" w:ascii="Times New Roman" w:hAnsi="Times New Roman" w:eastAsia="方正仿宋_GBK" w:cs="Times New Roman"/>
          <w:b w:val="0"/>
          <w:bCs w:val="0"/>
          <w:kern w:val="2"/>
          <w:sz w:val="32"/>
          <w:szCs w:val="32"/>
          <w:highlight w:val="none"/>
          <w:lang w:val="en-US" w:eastAsia="zh-CN" w:bidi="ar-SA"/>
        </w:rPr>
        <w:t>法规与标准，确保评价内容的全面性与准确性。报告涵盖了项目从预算编制、执行到完成的全过程，对项目的各项绩效指标进行了细致的梳理与评估。</w:t>
      </w:r>
    </w:p>
    <w:p w14:paraId="6BE63C51">
      <w:pPr>
        <w:spacing w:line="560" w:lineRule="exact"/>
        <w:ind w:firstLine="640" w:firstLineChars="200"/>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在评价指标体系的构建上，充分考虑了项目的性质、目标以及预期成果，选取了具有代表性和可衡量性的关键指标，涵盖了社会效益等多个维度，力求全方位反映项目的绩效状况。考查档案馆在档案收集、整理、保管、利用等环节的工作成效，确保档案资源得到科学管理，如是否按照规定的标准和流程对档案进行分类、编目，档案的保存环境是否符合要求，以保障档案的完整性和安全性</w:t>
      </w:r>
      <w:r>
        <w:rPr>
          <w:rFonts w:hint="eastAsia" w:ascii="Times New Roman" w:hAnsi="Times New Roman" w:eastAsia="方正仿宋_GBK" w:cs="Times New Roman"/>
          <w:b w:val="0"/>
          <w:bCs w:val="0"/>
          <w:kern w:val="2"/>
          <w:sz w:val="32"/>
          <w:szCs w:val="32"/>
          <w:highlight w:val="none"/>
          <w:lang w:val="en-US" w:eastAsia="zh-CN" w:bidi="ar-SA"/>
        </w:rPr>
        <w:t>。</w:t>
      </w:r>
    </w:p>
    <w:p w14:paraId="3019F3AB">
      <w:pPr>
        <w:spacing w:line="560" w:lineRule="exact"/>
        <w:ind w:firstLine="640" w:firstLineChars="200"/>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2.绩效评价的目的</w:t>
      </w:r>
    </w:p>
    <w:p w14:paraId="0F68FFFD">
      <w:pPr>
        <w:spacing w:line="560" w:lineRule="exact"/>
        <w:ind w:firstLine="640" w:firstLineChars="200"/>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（1）评估项目实施效果</w:t>
      </w:r>
    </w:p>
    <w:p w14:paraId="6A7DAB1D">
      <w:pPr>
        <w:spacing w:line="560" w:lineRule="exact"/>
        <w:ind w:firstLine="640" w:firstLineChars="200"/>
        <w:rPr>
          <w:rFonts w:hint="eastAsia" w:ascii="Times New Roman" w:hAnsi="Times New Roman" w:eastAsia="方正仿宋_GBK" w:cs="Times New Roman"/>
          <w:b w:val="0"/>
          <w:bCs w:val="0"/>
          <w:kern w:val="2"/>
          <w:sz w:val="32"/>
          <w:szCs w:val="32"/>
          <w:highlight w:val="none"/>
          <w:lang w:val="en-US" w:eastAsia="zh-CN" w:bidi="ar-SA"/>
        </w:rPr>
      </w:pPr>
      <w:r>
        <w:rPr>
          <w:rFonts w:hint="eastAsia" w:ascii="Times New Roman" w:hAnsi="Times New Roman" w:eastAsia="方正仿宋_GBK" w:cs="Times New Roman"/>
          <w:b w:val="0"/>
          <w:bCs w:val="0"/>
          <w:kern w:val="2"/>
          <w:sz w:val="32"/>
          <w:szCs w:val="32"/>
          <w:highlight w:val="none"/>
          <w:lang w:val="en-US" w:eastAsia="zh-CN" w:bidi="ar-SA"/>
        </w:rPr>
        <w:t>通过绩效评价，客观地评判项目的管理绩效，了解和掌握部门专项—档案事业费经费的具体情况，评价该项目资金安排的科学性、合理性、规范性和资金的使用成效，及时总结项目管理经验，完善项目管理办法，提高项目管理水平和资金使用效益。</w:t>
      </w:r>
    </w:p>
    <w:p w14:paraId="2A01E2BB">
      <w:pPr>
        <w:spacing w:line="560" w:lineRule="exact"/>
        <w:ind w:firstLine="640" w:firstLineChars="200"/>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（2）提升资源利用效率</w:t>
      </w:r>
    </w:p>
    <w:p w14:paraId="78758E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向社会公开项目绩效情况，增加档案馆工作的透明度，让公众了解档案馆项目的资金使用效果、服务质量等，增强公众对档案馆的信任和满意度，争取更多的社会支持和资源投入。</w:t>
      </w:r>
    </w:p>
    <w:p w14:paraId="241056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w:t>
      </w:r>
      <w:r>
        <w:rPr>
          <w:rFonts w:hint="eastAsia" w:ascii="Times New Roman" w:hAnsi="Times New Roman" w:eastAsia="方正仿宋_GBK" w:cs="Times New Roman"/>
          <w:b w:val="0"/>
          <w:bCs w:val="0"/>
          <w:kern w:val="2"/>
          <w:sz w:val="32"/>
          <w:szCs w:val="32"/>
          <w:highlight w:val="none"/>
          <w:lang w:val="en-US" w:eastAsia="zh-CN" w:bidi="ar-SA"/>
        </w:rPr>
        <w:t>3</w:t>
      </w:r>
      <w:r>
        <w:rPr>
          <w:rFonts w:hint="default" w:ascii="Times New Roman" w:hAnsi="Times New Roman" w:eastAsia="方正仿宋_GBK" w:cs="Times New Roman"/>
          <w:b w:val="0"/>
          <w:bCs w:val="0"/>
          <w:kern w:val="2"/>
          <w:sz w:val="32"/>
          <w:szCs w:val="32"/>
          <w:highlight w:val="none"/>
          <w:lang w:val="en-US" w:eastAsia="zh-CN" w:bidi="ar-SA"/>
        </w:rPr>
        <w:t>）为决策提供支持</w:t>
      </w:r>
    </w:p>
    <w:p w14:paraId="128A1C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根据绩效评价结果，决策部门可以及时了解档案馆项目的实施情况，判断项目是否需要进行调整，如调整项目的发展方向、工作重点，或对项目的预算进行重新分配，以更好地实现项目目标。</w:t>
      </w:r>
      <w:r>
        <w:rPr>
          <w:rFonts w:hint="eastAsia" w:ascii="Times New Roman" w:hAnsi="Times New Roman" w:eastAsia="方正仿宋_GBK" w:cs="Times New Roman"/>
          <w:b w:val="0"/>
          <w:bCs w:val="0"/>
          <w:kern w:val="2"/>
          <w:sz w:val="32"/>
          <w:szCs w:val="32"/>
          <w:highlight w:val="none"/>
          <w:lang w:val="en-US" w:eastAsia="zh-CN" w:bidi="ar-SA"/>
        </w:rPr>
        <w:t>促使我单位根据绩效评价中发现的问题，认真加以整改，及时调整和完善单位的工作计划和绩效目标并加强项目管理，提高管理水平，同时为项目后续资金投入、分配和管理提供决策依据。</w:t>
      </w:r>
    </w:p>
    <w:p w14:paraId="3B44D6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（5）促进项目持续改进</w:t>
      </w:r>
    </w:p>
    <w:p w14:paraId="416069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基于绩效评价发现的问题与不足，提出针对性的改进建议与措施</w:t>
      </w:r>
      <w:r>
        <w:rPr>
          <w:rFonts w:hint="eastAsia" w:ascii="Times New Roman" w:hAnsi="Times New Roman" w:eastAsia="方正仿宋_GBK" w:cs="Times New Roman"/>
          <w:b w:val="0"/>
          <w:bCs w:val="0"/>
          <w:kern w:val="2"/>
          <w:sz w:val="32"/>
          <w:szCs w:val="32"/>
          <w:highlight w:val="none"/>
          <w:lang w:val="en-US" w:eastAsia="zh-CN" w:bidi="ar-SA"/>
        </w:rPr>
        <w:t>，为今后类似档案馆项目的规划、设计和实施提供经验教训和参考依据，使未来项目在目标设定、资源配置、管理模式等方面更加科学合理，提高项目的整体质量和效益。</w:t>
      </w:r>
    </w:p>
    <w:p w14:paraId="35102EEB">
      <w:pPr>
        <w:pStyle w:val="10"/>
        <w:widowControl w:val="0"/>
        <w:spacing w:before="0" w:after="0" w:line="560" w:lineRule="exact"/>
        <w:ind w:firstLine="640" w:firstLineChars="200"/>
        <w:jc w:val="both"/>
        <w:outlineLvl w:val="9"/>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3.绩效评价的对象</w:t>
      </w:r>
    </w:p>
    <w:p w14:paraId="52044DC9">
      <w:pPr>
        <w:pStyle w:val="10"/>
        <w:widowControl w:val="0"/>
        <w:spacing w:before="0" w:after="0" w:line="560" w:lineRule="exact"/>
        <w:ind w:firstLine="640" w:firstLineChars="200"/>
        <w:jc w:val="both"/>
        <w:outlineLvl w:val="9"/>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本项目预算绩效评价报告的评价对象是部门专项-档案事业费及其预算执行情况。该项目由库尔勒市档案馆负责实施，旨在对</w:t>
      </w:r>
      <w:r>
        <w:rPr>
          <w:rFonts w:hint="eastAsia" w:ascii="Times New Roman" w:hAnsi="Times New Roman" w:eastAsia="方正仿宋_GBK" w:cs="Times New Roman"/>
          <w:b w:val="0"/>
          <w:bCs w:val="0"/>
          <w:kern w:val="2"/>
          <w:sz w:val="32"/>
          <w:szCs w:val="32"/>
          <w:highlight w:val="none"/>
          <w:lang w:val="en-US" w:eastAsia="zh-CN" w:bidi="ar-SA"/>
        </w:rPr>
        <w:t>38000</w:t>
      </w:r>
      <w:r>
        <w:rPr>
          <w:rFonts w:hint="default" w:ascii="Times New Roman" w:hAnsi="Times New Roman" w:eastAsia="方正仿宋_GBK" w:cs="Times New Roman"/>
          <w:b w:val="0"/>
          <w:bCs w:val="0"/>
          <w:kern w:val="2"/>
          <w:sz w:val="32"/>
          <w:szCs w:val="32"/>
          <w:highlight w:val="none"/>
          <w:lang w:val="en-US" w:eastAsia="zh-CN" w:bidi="ar-SA"/>
        </w:rPr>
        <w:t>卷馆藏档案进行安全、保密、保护工作；对档案馆所有馆藏档案进行梳理和规整，保障日常工作有序进行具有相关性。项目预算涵盖从2024年1月1日至2024年12月31日的全部资金投入与支出，涉及资金总额为4.43万元。</w:t>
      </w:r>
    </w:p>
    <w:p w14:paraId="28433EA0">
      <w:pPr>
        <w:pStyle w:val="10"/>
        <w:widowControl w:val="0"/>
        <w:spacing w:before="0" w:after="0" w:line="560" w:lineRule="exact"/>
        <w:ind w:firstLine="640" w:firstLineChars="200"/>
        <w:jc w:val="both"/>
        <w:outlineLvl w:val="9"/>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4.绩效评价的范围</w:t>
      </w:r>
    </w:p>
    <w:p w14:paraId="596B5DAB">
      <w:pPr>
        <w:pStyle w:val="10"/>
        <w:widowControl w:val="0"/>
        <w:spacing w:before="0" w:after="0" w:line="560" w:lineRule="exact"/>
        <w:ind w:firstLine="640" w:firstLineChars="200"/>
        <w:jc w:val="both"/>
        <w:outlineLvl w:val="9"/>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本项目预算绩效评价报告的评价范围广泛而全面，涵盖了从项目立项至评价时点期间的所有关键预算活动和财务流程。具体而言，评价范围包括但不限于以下几个方面：</w:t>
      </w:r>
    </w:p>
    <w:p w14:paraId="2DDBD954">
      <w:pPr>
        <w:pStyle w:val="10"/>
        <w:widowControl w:val="0"/>
        <w:numPr>
          <w:ilvl w:val="0"/>
          <w:numId w:val="1"/>
        </w:numPr>
        <w:spacing w:before="0" w:after="0" w:line="560" w:lineRule="exact"/>
        <w:ind w:firstLine="640" w:firstLineChars="200"/>
        <w:jc w:val="both"/>
        <w:outlineLvl w:val="9"/>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项目预算编制与执行：全面审视项目预算的编制依据、合理性、科学性以及实际执行情况，包括预算调整的原因和效果。</w:t>
      </w:r>
    </w:p>
    <w:p w14:paraId="5A9E373E">
      <w:pPr>
        <w:pStyle w:val="10"/>
        <w:widowControl w:val="0"/>
        <w:numPr>
          <w:ilvl w:val="0"/>
          <w:numId w:val="1"/>
        </w:numPr>
        <w:spacing w:before="0" w:after="0" w:line="560" w:lineRule="exact"/>
        <w:ind w:firstLine="640" w:firstLineChars="200"/>
        <w:jc w:val="both"/>
        <w:outlineLvl w:val="9"/>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资金管理：深入分析项目资金的分配、使用和监管情况，确保资金使用的合规性、高效性和透明度。在预算执行过程中的实际表现，包括预算执行的进度是否与计划相符，是否存在超预算支出或预算执行缓慢的问题。例如，是否按照预算安排及时采购档案管理所需的设备和物资，是否严格控制各项费用的支出，确保不超出预算额度。同时，分析预算调整的合理性和规范性，是否因特殊情况需要调整预算，调整的程序是否符合规定。</w:t>
      </w:r>
    </w:p>
    <w:p w14:paraId="09CF81A8">
      <w:pPr>
        <w:pStyle w:val="10"/>
        <w:widowControl w:val="0"/>
        <w:numPr>
          <w:ilvl w:val="0"/>
          <w:numId w:val="1"/>
        </w:numPr>
        <w:spacing w:before="0" w:after="0" w:line="560" w:lineRule="exact"/>
        <w:ind w:firstLine="640" w:firstLineChars="200"/>
        <w:jc w:val="both"/>
        <w:outlineLvl w:val="9"/>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项目实施进度与产出：评估项目是否按照既定计划顺利推进，各项任务是否按时完成，以及项目产出的数量、质量和时效性是否符合预期。</w:t>
      </w:r>
    </w:p>
    <w:p w14:paraId="7DAF2852">
      <w:pPr>
        <w:pStyle w:val="10"/>
        <w:widowControl w:val="0"/>
        <w:numPr>
          <w:ilvl w:val="0"/>
          <w:numId w:val="1"/>
        </w:numPr>
        <w:spacing w:before="0" w:after="0" w:line="560" w:lineRule="exact"/>
        <w:ind w:firstLine="640" w:firstLineChars="200"/>
        <w:jc w:val="both"/>
        <w:outlineLvl w:val="9"/>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社会等影响：评估档案利用服务对社会、经济、文化等方面产生的实际影响，如为政府决策、学术研究、企业发展、文化传承等提供了多少有价值的信息，是否促进了相关工作的开展。</w:t>
      </w:r>
    </w:p>
    <w:p w14:paraId="33EEF02F">
      <w:pPr>
        <w:spacing w:line="560" w:lineRule="exact"/>
        <w:ind w:firstLine="643" w:firstLineChars="200"/>
        <w:rPr>
          <w:rFonts w:hint="default" w:ascii="方正楷体_GBK" w:hAnsi="方正楷体_GBK" w:eastAsia="方正楷体_GBK" w:cs="方正楷体_GBK"/>
          <w:b/>
          <w:bCs/>
          <w:sz w:val="32"/>
          <w:szCs w:val="32"/>
          <w:highlight w:val="none"/>
        </w:rPr>
      </w:pPr>
      <w:r>
        <w:rPr>
          <w:rFonts w:hint="default" w:ascii="方正楷体_GBK" w:hAnsi="方正楷体_GBK" w:eastAsia="方正楷体_GBK" w:cs="方正楷体_GBK"/>
          <w:b/>
          <w:bCs/>
          <w:sz w:val="32"/>
          <w:szCs w:val="32"/>
          <w:highlight w:val="none"/>
        </w:rPr>
        <w:t>（二）绩效评价原则、评价指标体系（详情见表1）、评价方法、评价标准。</w:t>
      </w:r>
    </w:p>
    <w:p w14:paraId="773981A2">
      <w:pPr>
        <w:pStyle w:val="10"/>
        <w:widowControl w:val="0"/>
        <w:spacing w:before="0" w:after="0" w:line="560" w:lineRule="exact"/>
        <w:ind w:firstLine="640" w:firstLineChars="200"/>
        <w:jc w:val="both"/>
        <w:outlineLvl w:val="9"/>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1.绩效评价原则</w:t>
      </w:r>
    </w:p>
    <w:p w14:paraId="3416745E">
      <w:pPr>
        <w:spacing w:line="560" w:lineRule="exact"/>
        <w:ind w:firstLine="640" w:firstLineChars="200"/>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本次项目绩效评价遵循以下基本原则：</w:t>
      </w:r>
    </w:p>
    <w:p w14:paraId="058EA0AE">
      <w:pPr>
        <w:pStyle w:val="10"/>
        <w:spacing w:before="0" w:after="0" w:line="560" w:lineRule="exact"/>
        <w:ind w:firstLine="640" w:firstLineChars="200"/>
        <w:jc w:val="both"/>
        <w:outlineLvl w:val="9"/>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（1）科学公正。绩效评价应当运用科学合理的方法，按照规范的程序，对项目绩效进行客观、公正的反映。</w:t>
      </w:r>
    </w:p>
    <w:p w14:paraId="5D8C190A">
      <w:pPr>
        <w:pStyle w:val="10"/>
        <w:spacing w:before="0" w:after="0" w:line="560" w:lineRule="exact"/>
        <w:ind w:firstLine="640" w:firstLineChars="200"/>
        <w:jc w:val="both"/>
        <w:outlineLvl w:val="9"/>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（2）统筹兼顾。单位自评、部门评价和财政评价应职责明确，各有侧重，相互衔接。单位自评应由项目单位自主实施，即</w:t>
      </w:r>
      <w:r>
        <w:rPr>
          <w:rFonts w:hint="eastAsia" w:ascii="Times New Roman" w:hAnsi="Times New Roman" w:eastAsia="方正仿宋_GBK" w:cs="Times New Roman"/>
          <w:b w:val="0"/>
          <w:bCs w:val="0"/>
          <w:kern w:val="2"/>
          <w:sz w:val="32"/>
          <w:szCs w:val="32"/>
          <w:highlight w:val="none"/>
          <w:lang w:val="en-US" w:eastAsia="zh-CN" w:bidi="ar-SA"/>
        </w:rPr>
        <w:t>“</w:t>
      </w:r>
      <w:r>
        <w:rPr>
          <w:rFonts w:hint="default" w:ascii="Times New Roman" w:hAnsi="Times New Roman" w:eastAsia="方正仿宋_GBK" w:cs="Times New Roman"/>
          <w:b w:val="0"/>
          <w:bCs w:val="0"/>
          <w:kern w:val="2"/>
          <w:sz w:val="32"/>
          <w:szCs w:val="32"/>
          <w:highlight w:val="none"/>
          <w:lang w:val="en-US" w:eastAsia="zh-CN" w:bidi="ar-SA"/>
        </w:rPr>
        <w:t>谁支出、谁自评</w:t>
      </w:r>
      <w:r>
        <w:rPr>
          <w:rFonts w:hint="eastAsia" w:ascii="Times New Roman" w:hAnsi="Times New Roman" w:eastAsia="方正仿宋_GBK" w:cs="Times New Roman"/>
          <w:b w:val="0"/>
          <w:bCs w:val="0"/>
          <w:kern w:val="2"/>
          <w:sz w:val="32"/>
          <w:szCs w:val="32"/>
          <w:highlight w:val="none"/>
          <w:lang w:val="en-US" w:eastAsia="zh-CN" w:bidi="ar-SA"/>
        </w:rPr>
        <w:t>”</w:t>
      </w:r>
      <w:r>
        <w:rPr>
          <w:rFonts w:hint="default" w:ascii="Times New Roman" w:hAnsi="Times New Roman" w:eastAsia="方正仿宋_GBK" w:cs="Times New Roman"/>
          <w:b w:val="0"/>
          <w:bCs w:val="0"/>
          <w:kern w:val="2"/>
          <w:sz w:val="32"/>
          <w:szCs w:val="32"/>
          <w:highlight w:val="none"/>
          <w:lang w:val="en-US" w:eastAsia="zh-CN" w:bidi="ar-SA"/>
        </w:rPr>
        <w:t>。部门评价和财政评价应在单位自评的基础上开展。</w:t>
      </w:r>
    </w:p>
    <w:p w14:paraId="2F5AA784">
      <w:pPr>
        <w:pStyle w:val="10"/>
        <w:spacing w:before="0" w:after="0" w:line="560" w:lineRule="exact"/>
        <w:ind w:firstLine="640" w:firstLineChars="200"/>
        <w:jc w:val="both"/>
        <w:outlineLvl w:val="9"/>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（3）激励约束。绩效评价结果应与预算安排、政策调整、改进管理实质性挂钩，体现奖优罚劣和激励相容导向，有效要安排、低效要压减、无效要问责。</w:t>
      </w:r>
    </w:p>
    <w:p w14:paraId="70FD4175">
      <w:pPr>
        <w:pStyle w:val="10"/>
        <w:spacing w:before="0" w:after="0" w:line="560" w:lineRule="exact"/>
        <w:ind w:firstLine="640" w:firstLineChars="200"/>
        <w:jc w:val="both"/>
        <w:outlineLvl w:val="9"/>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（4）公开透明。绩效评价结果应依法依规公开，并自觉接受社会监督。</w:t>
      </w:r>
    </w:p>
    <w:p w14:paraId="64DD298D">
      <w:pPr>
        <w:pStyle w:val="10"/>
        <w:widowControl w:val="0"/>
        <w:spacing w:before="0" w:after="0" w:line="560" w:lineRule="exact"/>
        <w:ind w:firstLine="640" w:firstLineChars="200"/>
        <w:jc w:val="both"/>
        <w:outlineLvl w:val="9"/>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2.评价指标体系</w:t>
      </w:r>
    </w:p>
    <w:p w14:paraId="02447709">
      <w:pPr>
        <w:spacing w:line="560" w:lineRule="exact"/>
        <w:ind w:firstLine="640" w:firstLineChars="200"/>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绩效评价框架是开展绩效评价的核心。绩效评价框架包括评价准则、关键评价问题、评价指标、数据来源、数据收集方法等。指标体系建立过程如下：</w:t>
      </w:r>
    </w:p>
    <w:p w14:paraId="4E8B20C3">
      <w:pPr>
        <w:spacing w:line="560" w:lineRule="exact"/>
        <w:ind w:firstLine="640" w:firstLineChars="200"/>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（1）确定评价指标</w:t>
      </w:r>
    </w:p>
    <w:p w14:paraId="6947F9C8">
      <w:pPr>
        <w:spacing w:line="560" w:lineRule="exact"/>
        <w:ind w:firstLine="640" w:firstLineChars="200"/>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采用层次分析法，建立评价指标体系。绩效评价将指标分为项目决策指标、项目过程指标、项目产出指标、项目效益指标四个维度，最终形成一个由多个相互联系的指标组成的多层次指标体系。</w:t>
      </w:r>
    </w:p>
    <w:p w14:paraId="536B2621">
      <w:pPr>
        <w:spacing w:line="560" w:lineRule="exact"/>
        <w:ind w:firstLine="640" w:firstLineChars="200"/>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（2）确定权重</w:t>
      </w:r>
    </w:p>
    <w:p w14:paraId="207EA515">
      <w:pPr>
        <w:bidi w:val="0"/>
        <w:ind w:firstLine="640" w:firstLineChars="200"/>
        <w:rPr>
          <w:rFonts w:hint="default" w:ascii="Times New Roman" w:hAnsi="Times New Roman" w:eastAsia="方正仿宋_GBK" w:cs="Times New Roman"/>
          <w:b w:val="0"/>
          <w:bCs w:val="0"/>
          <w:color w:val="FFFF00"/>
          <w:kern w:val="2"/>
          <w:sz w:val="32"/>
          <w:szCs w:val="32"/>
          <w:highlight w:val="none"/>
          <w:shd w:val="clear" w:color="auto" w:fill="auto"/>
          <w:lang w:val="en-US" w:eastAsia="zh-CN" w:bidi="ar-SA"/>
        </w:rPr>
      </w:pPr>
      <w:r>
        <w:rPr>
          <w:rFonts w:hint="default" w:ascii="Times New Roman" w:hAnsi="Times New Roman" w:eastAsia="方正仿宋_GBK" w:cs="Times New Roman"/>
          <w:b w:val="0"/>
          <w:bCs w:val="0"/>
          <w:color w:val="auto"/>
          <w:kern w:val="2"/>
          <w:sz w:val="32"/>
          <w:szCs w:val="32"/>
          <w:highlight w:val="none"/>
          <w:shd w:val="clear" w:color="auto" w:fill="auto"/>
          <w:lang w:val="en-US" w:eastAsia="zh-CN" w:bidi="ar-SA"/>
        </w:rPr>
        <w:t>确定各个指标相对于项目总体绩效的权重分值。在绩效评价指标体系中，项目决策权重为20分，项目过程权重为20分，项目产出权重为40分，项目效益权重为20分。</w:t>
      </w:r>
    </w:p>
    <w:p w14:paraId="1A7A9BF8">
      <w:pPr>
        <w:spacing w:line="560" w:lineRule="exact"/>
        <w:ind w:firstLine="640" w:firstLineChars="200"/>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（3）确定指标标准值</w:t>
      </w:r>
    </w:p>
    <w:p w14:paraId="16966322">
      <w:pPr>
        <w:spacing w:line="560" w:lineRule="exact"/>
        <w:ind w:firstLine="640" w:firstLineChars="200"/>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指标标准值是绩效评价指标的尺度，既要反映同类项目的先进水平，又要符合项目的实际绩效水平。具体采用计划标准等确定此次绩效评价指标标准值。</w:t>
      </w:r>
    </w:p>
    <w:p w14:paraId="51BB4A99">
      <w:pPr>
        <w:pStyle w:val="10"/>
        <w:spacing w:before="0" w:after="0" w:line="560" w:lineRule="exact"/>
        <w:ind w:firstLine="640" w:firstLineChars="200"/>
        <w:jc w:val="both"/>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绩效评价总分值100分，根据综合评分结果，90（含）-100分为优、80（含）-90分为良、60（含）-80分为中、60分以下为差。</w:t>
      </w:r>
    </w:p>
    <w:p w14:paraId="74AF60F1">
      <w:pPr>
        <w:pStyle w:val="10"/>
        <w:widowControl w:val="0"/>
        <w:spacing w:before="0" w:after="0" w:line="560" w:lineRule="exact"/>
        <w:ind w:firstLine="640" w:firstLineChars="200"/>
        <w:jc w:val="both"/>
        <w:outlineLvl w:val="9"/>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具体评价指标体系详情见附件1</w:t>
      </w:r>
    </w:p>
    <w:p w14:paraId="3E6DB877">
      <w:pPr>
        <w:pStyle w:val="10"/>
        <w:widowControl w:val="0"/>
        <w:spacing w:before="0" w:after="0" w:line="560" w:lineRule="exact"/>
        <w:ind w:firstLine="640" w:firstLineChars="200"/>
        <w:jc w:val="both"/>
        <w:outlineLvl w:val="9"/>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3.绩效评价方法</w:t>
      </w:r>
    </w:p>
    <w:p w14:paraId="3A3764BE">
      <w:pPr>
        <w:spacing w:line="560" w:lineRule="exact"/>
        <w:ind w:firstLine="640" w:firstLineChars="200"/>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绩效评价从项目决策、项目过程、项目产出、项目效益四个维度进行评价。评价对象为项目目标实施情况，评价核心为资金的支出完成情况和项目的产出效益。</w:t>
      </w:r>
    </w:p>
    <w:p w14:paraId="580DBA01">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本次评价指标中，既有定性指标又有定量指标，各类指标因考核内容不同和客观标准不同存在较大差异，因此核定具体指标时采用了不同方法，具体评价方法如下：</w:t>
      </w:r>
    </w:p>
    <w:p w14:paraId="7DAA7CC9">
      <w:pPr>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b w:val="0"/>
          <w:bCs w:val="0"/>
          <w:kern w:val="2"/>
          <w:sz w:val="32"/>
          <w:szCs w:val="32"/>
          <w:highlight w:val="none"/>
          <w:lang w:val="en-US" w:eastAsia="zh-CN" w:bidi="ar-SA"/>
        </w:rPr>
      </w:pPr>
      <w:r>
        <w:rPr>
          <w:rFonts w:hint="eastAsia" w:ascii="Times New Roman" w:hAnsi="Times New Roman" w:eastAsia="方正仿宋_GBK" w:cs="Times New Roman"/>
          <w:b w:val="0"/>
          <w:bCs w:val="0"/>
          <w:kern w:val="2"/>
          <w:sz w:val="32"/>
          <w:szCs w:val="32"/>
          <w:highlight w:val="none"/>
          <w:lang w:val="en-US" w:eastAsia="zh-CN" w:bidi="ar-SA"/>
        </w:rPr>
        <w:t>本次项目支出绩效自评采用最低成本法方法。最低成本法是指在绩效目标确定的前提下，成本最小者为优的方法。其原因为该方法相对简单，不需要复杂的计算和大量的数据支持。只需确定各方案的成本，然后进行比较即可。对于档案馆来说，无需投入过多的人力、物力和时间进行复杂的绩效评价分析，降低了评价成本和难度。</w:t>
      </w:r>
    </w:p>
    <w:p w14:paraId="4AB02A6A">
      <w:pPr>
        <w:pStyle w:val="10"/>
        <w:widowControl w:val="0"/>
        <w:spacing w:before="0" w:after="0" w:line="560" w:lineRule="exact"/>
        <w:ind w:firstLine="640" w:firstLineChars="200"/>
        <w:jc w:val="both"/>
        <w:outlineLvl w:val="9"/>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4.评价标准</w:t>
      </w:r>
    </w:p>
    <w:p w14:paraId="033265D9">
      <w:pPr>
        <w:pStyle w:val="10"/>
        <w:widowControl w:val="0"/>
        <w:spacing w:before="0" w:after="0" w:line="560" w:lineRule="exact"/>
        <w:ind w:firstLine="640" w:firstLineChars="200"/>
        <w:jc w:val="both"/>
        <w:outlineLvl w:val="9"/>
        <w:rPr>
          <w:rFonts w:hint="eastAsia"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绩效评价标准通常包括计划标准、行业标准、历史标准等，用于对绩效指标完成情况进行比较、分析、评价。本次评价主要采用了计划标准</w:t>
      </w:r>
      <w:r>
        <w:rPr>
          <w:rFonts w:hint="eastAsia" w:ascii="Times New Roman" w:hAnsi="Times New Roman" w:eastAsia="方正仿宋_GBK" w:cs="Times New Roman"/>
          <w:b w:val="0"/>
          <w:bCs w:val="0"/>
          <w:kern w:val="2"/>
          <w:sz w:val="32"/>
          <w:szCs w:val="32"/>
          <w:highlight w:val="none"/>
          <w:lang w:val="en-US" w:eastAsia="zh-CN" w:bidi="ar-SA"/>
        </w:rPr>
        <w:t>。</w:t>
      </w:r>
      <w:r>
        <w:rPr>
          <w:rFonts w:hint="default" w:ascii="Times New Roman" w:hAnsi="Times New Roman" w:eastAsia="方正仿宋_GBK" w:cs="Times New Roman"/>
          <w:b w:val="0"/>
          <w:bCs w:val="0"/>
          <w:kern w:val="2"/>
          <w:sz w:val="32"/>
          <w:szCs w:val="32"/>
          <w:highlight w:val="none"/>
          <w:lang w:val="en-US" w:eastAsia="zh-CN" w:bidi="ar-SA"/>
        </w:rPr>
        <w:t>计划标准指以预先制定的目标、计划、预算、定额等作为评价标准。</w:t>
      </w:r>
      <w:r>
        <w:rPr>
          <w:rFonts w:hint="eastAsia" w:ascii="Times New Roman" w:hAnsi="Times New Roman" w:eastAsia="方正仿宋_GBK" w:cs="Times New Roman"/>
          <w:b w:val="0"/>
          <w:bCs w:val="0"/>
          <w:kern w:val="2"/>
          <w:sz w:val="32"/>
          <w:szCs w:val="32"/>
          <w:highlight w:val="none"/>
          <w:lang w:val="en-US" w:eastAsia="zh-CN" w:bidi="ar-SA"/>
        </w:rPr>
        <w:t>采用</w:t>
      </w:r>
      <w:r>
        <w:rPr>
          <w:rFonts w:hint="default" w:ascii="Times New Roman" w:hAnsi="Times New Roman" w:eastAsia="方正仿宋_GBK" w:cs="Times New Roman"/>
          <w:b w:val="0"/>
          <w:bCs w:val="0"/>
          <w:kern w:val="2"/>
          <w:sz w:val="32"/>
          <w:szCs w:val="32"/>
          <w:highlight w:val="none"/>
          <w:lang w:val="en-US" w:eastAsia="zh-CN" w:bidi="ar-SA"/>
        </w:rPr>
        <w:t>计划标准</w:t>
      </w:r>
      <w:r>
        <w:rPr>
          <w:rFonts w:hint="eastAsia" w:ascii="Times New Roman" w:hAnsi="Times New Roman" w:eastAsia="方正仿宋_GBK" w:cs="Times New Roman"/>
          <w:b w:val="0"/>
          <w:bCs w:val="0"/>
          <w:kern w:val="2"/>
          <w:sz w:val="32"/>
          <w:szCs w:val="32"/>
          <w:highlight w:val="none"/>
          <w:lang w:val="en-US" w:eastAsia="zh-CN" w:bidi="ar-SA"/>
        </w:rPr>
        <w:t>是因为其通过将实际工作成果与计划标准进行对比，可以直接考查档案馆是否按照预定的目标和方向开展工作，以及在多大程度上实现了这些目标，有助于引导档案馆各项工作朝着预期的方向发展。</w:t>
      </w:r>
    </w:p>
    <w:p w14:paraId="39D47355">
      <w:pPr>
        <w:pStyle w:val="10"/>
        <w:numPr>
          <w:ilvl w:val="0"/>
          <w:numId w:val="2"/>
        </w:numPr>
        <w:spacing w:before="0" w:after="0" w:line="560" w:lineRule="exact"/>
        <w:ind w:firstLine="711" w:firstLineChars="200"/>
        <w:jc w:val="both"/>
        <w:rPr>
          <w:rFonts w:hint="eastAsia" w:ascii="方正楷体_GBK" w:hAnsi="方正楷体_GBK" w:eastAsia="方正楷体_GBK" w:cs="方正楷体_GBK"/>
          <w:color w:val="000000"/>
          <w:spacing w:val="17"/>
          <w:highlight w:val="none"/>
        </w:rPr>
      </w:pPr>
      <w:r>
        <w:rPr>
          <w:rFonts w:hint="eastAsia" w:ascii="方正楷体_GBK" w:hAnsi="方正楷体_GBK" w:eastAsia="方正楷体_GBK" w:cs="方正楷体_GBK"/>
          <w:color w:val="000000"/>
          <w:spacing w:val="17"/>
          <w:highlight w:val="none"/>
        </w:rPr>
        <w:t>绩效评价工作过程</w:t>
      </w:r>
    </w:p>
    <w:p w14:paraId="7D6CB440">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（1）前期准备与规划</w:t>
      </w:r>
    </w:p>
    <w:p w14:paraId="0C793AAC">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在项目绩效评价工作启动之初，成立了专门的评价工作小组，工作小组</w:t>
      </w:r>
      <w:r>
        <w:rPr>
          <w:rFonts w:hint="eastAsia" w:ascii="Times New Roman" w:hAnsi="Times New Roman" w:eastAsia="方正仿宋_GBK" w:cs="Times New Roman"/>
          <w:sz w:val="32"/>
          <w:szCs w:val="32"/>
          <w:highlight w:val="none"/>
          <w:lang w:val="en-US" w:eastAsia="zh-CN"/>
        </w:rPr>
        <w:t>由单位主要领导于凤梅、财务人员曹馨月、管理人员顾文丹组成</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单位主要领导</w:t>
      </w:r>
      <w:r>
        <w:rPr>
          <w:rFonts w:hint="default" w:ascii="Times New Roman" w:hAnsi="Times New Roman" w:eastAsia="方正仿宋_GBK" w:cs="Times New Roman"/>
          <w:sz w:val="32"/>
          <w:szCs w:val="32"/>
          <w:highlight w:val="none"/>
          <w:lang w:val="en-US" w:eastAsia="zh-CN"/>
        </w:rPr>
        <w:t>熟悉档案业务流程和行业标准，能确保业务评价的专业性</w:t>
      </w:r>
      <w:r>
        <w:rPr>
          <w:rFonts w:hint="eastAsia" w:ascii="Times New Roman" w:hAnsi="Times New Roman" w:eastAsia="方正仿宋_GBK" w:cs="Times New Roman"/>
          <w:sz w:val="32"/>
          <w:szCs w:val="32"/>
          <w:highlight w:val="none"/>
          <w:lang w:val="en-US" w:eastAsia="zh-CN"/>
        </w:rPr>
        <w:t>；</w:t>
      </w:r>
      <w:r>
        <w:rPr>
          <w:rFonts w:hint="default" w:ascii="Times New Roman" w:hAnsi="Times New Roman" w:eastAsia="方正仿宋_GBK" w:cs="Times New Roman"/>
          <w:sz w:val="32"/>
          <w:szCs w:val="32"/>
          <w:highlight w:val="none"/>
          <w:lang w:val="en-US" w:eastAsia="zh-CN"/>
        </w:rPr>
        <w:t>财务人员可从资金管理角度把控评价；管理人员了解档案馆整体运营</w:t>
      </w:r>
      <w:r>
        <w:rPr>
          <w:rFonts w:hint="eastAsia" w:ascii="Times New Roman" w:hAnsi="Times New Roman" w:eastAsia="方正仿宋_GBK" w:cs="Times New Roman"/>
          <w:sz w:val="32"/>
          <w:szCs w:val="32"/>
          <w:highlight w:val="none"/>
          <w:lang w:val="en-US" w:eastAsia="zh-CN"/>
        </w:rPr>
        <w:t>。</w:t>
      </w:r>
    </w:p>
    <w:p w14:paraId="7B6E1D7A">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（2）指标体系构建</w:t>
      </w:r>
    </w:p>
    <w:p w14:paraId="14551231">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依据项目的性质、目标以及预期成果，构建了科学合理的绩效评价指标体系。明确此次绩效评价旨在衡量档案资源管理、利用服务、信息化建设等方面的成效，提高管理效率与服务质量。根据评价目标，界定评价范围，涵盖档案收集、整理、保管、利用、信息化建设、资金管理、人员管理等全流程工作，以及档案馆各部门、各业务环节。</w:t>
      </w:r>
    </w:p>
    <w:p w14:paraId="3CE9EECE">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（3）数据收集与整理</w:t>
      </w:r>
    </w:p>
    <w:p w14:paraId="0A20E31A">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工作</w:t>
      </w:r>
      <w:r>
        <w:rPr>
          <w:rFonts w:hint="default" w:ascii="Times New Roman" w:hAnsi="Times New Roman" w:eastAsia="方正仿宋_GBK" w:cs="Times New Roman"/>
          <w:sz w:val="32"/>
          <w:szCs w:val="32"/>
          <w:highlight w:val="none"/>
          <w:lang w:val="en-US" w:eastAsia="zh-CN"/>
        </w:rPr>
        <w:t>小组通过查阅档案馆的文件资料、业务记录、财务报表等，收集与绩效评价相关的信息；同时，向工作人员、档案利用者发放调查问卷，开展访谈，了解实际工作情况和服务对象的满意度，对收集到的资料进行分类整理和核实，确保数据真实可靠。</w:t>
      </w:r>
    </w:p>
    <w:p w14:paraId="1306C83F">
      <w:pPr>
        <w:numPr>
          <w:numId w:val="0"/>
        </w:numPr>
        <w:shd w:val="clear"/>
        <w:spacing w:line="600" w:lineRule="exact"/>
        <w:ind w:firstLine="640" w:firstLineChars="200"/>
        <w:outlineLvl w:val="0"/>
        <w:rPr>
          <w:rFonts w:hint="default" w:ascii="Times New Roman" w:hAnsi="Times New Roman" w:eastAsia="方正仿宋_GBK" w:cs="Times New Roman"/>
          <w:b w:val="0"/>
          <w:bCs w:val="0"/>
          <w:kern w:val="2"/>
          <w:sz w:val="32"/>
          <w:szCs w:val="32"/>
          <w:highlight w:val="none"/>
          <w:lang w:val="en-US" w:eastAsia="zh-CN" w:bidi="ar-SA"/>
        </w:rPr>
      </w:pPr>
      <w:r>
        <w:rPr>
          <w:rFonts w:hint="eastAsia" w:eastAsia="方正仿宋_GBK" w:cs="Times New Roman"/>
          <w:b w:val="0"/>
          <w:bCs w:val="0"/>
          <w:kern w:val="2"/>
          <w:sz w:val="32"/>
          <w:szCs w:val="32"/>
          <w:highlight w:val="none"/>
          <w:lang w:val="en-US" w:eastAsia="zh-CN" w:bidi="ar-SA"/>
        </w:rPr>
        <w:t>（4）</w:t>
      </w:r>
      <w:r>
        <w:rPr>
          <w:rFonts w:hint="default" w:ascii="Times New Roman" w:hAnsi="Times New Roman" w:eastAsia="方正仿宋_GBK" w:cs="Times New Roman"/>
          <w:b w:val="0"/>
          <w:bCs w:val="0"/>
          <w:kern w:val="2"/>
          <w:sz w:val="32"/>
          <w:szCs w:val="32"/>
          <w:highlight w:val="none"/>
          <w:lang w:val="en-US" w:eastAsia="zh-CN" w:bidi="ar-SA"/>
        </w:rPr>
        <w:t>数据分析与评估</w:t>
      </w:r>
    </w:p>
    <w:p w14:paraId="65B0CFCF">
      <w:pPr>
        <w:numPr>
          <w:numId w:val="0"/>
        </w:numPr>
        <w:shd w:val="clear"/>
        <w:spacing w:line="600" w:lineRule="exact"/>
        <w:ind w:firstLine="640" w:firstLineChars="200"/>
        <w:outlineLvl w:val="0"/>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通过对馆藏档案内容进行分类、主题分析等，了解不同时期、不同领域的信息分布情况，评估档案馆在反映社会历史发展、特定行业变迁等方面的完整性和代表性。例如，分析不同历史时期的政策文件，可评估档案馆对政策演变的记录是否全面。统计各类文件资料的查阅频率、利用者类型、利用目的等数据。通过分析这些数据，可以了解哪些档案资源更受关注，不同用户群体的需求特点，从而评估档案资源的社会价值和利用效益，为优化馆藏结构和服务提供依据。</w:t>
      </w:r>
    </w:p>
    <w:p w14:paraId="3DD951B0">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p>
    <w:p w14:paraId="623E7690">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w:t>
      </w:r>
      <w:r>
        <w:rPr>
          <w:rFonts w:hint="eastAsia"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lang w:val="en-US" w:eastAsia="zh-CN"/>
        </w:rPr>
        <w:t>）报告撰写与反馈</w:t>
      </w:r>
    </w:p>
    <w:p w14:paraId="5613ED19">
      <w:pPr>
        <w:shd w:val="clear"/>
        <w:spacing w:line="600" w:lineRule="exact"/>
        <w:ind w:firstLine="616" w:firstLineChars="200"/>
        <w:outlineLvl w:val="0"/>
        <w:rPr>
          <w:rFonts w:hint="default" w:ascii="Times New Roman" w:hAnsi="Times New Roman" w:eastAsia="方正仿宋_GBK" w:cs="Times New Roman"/>
          <w:spacing w:val="-6"/>
          <w:sz w:val="32"/>
          <w:szCs w:val="32"/>
          <w:highlight w:val="none"/>
          <w:lang w:val="en-US" w:eastAsia="zh-CN"/>
        </w:rPr>
      </w:pPr>
      <w:r>
        <w:rPr>
          <w:rFonts w:hint="eastAsia" w:ascii="Times New Roman" w:hAnsi="Times New Roman" w:eastAsia="方正仿宋_GBK" w:cs="Times New Roman"/>
          <w:spacing w:val="-6"/>
          <w:sz w:val="32"/>
          <w:szCs w:val="32"/>
          <w:highlight w:val="none"/>
          <w:lang w:val="en-US" w:eastAsia="zh-CN"/>
        </w:rPr>
        <w:t>工作</w:t>
      </w:r>
      <w:r>
        <w:rPr>
          <w:rFonts w:hint="default" w:ascii="Times New Roman" w:hAnsi="Times New Roman" w:eastAsia="方正仿宋_GBK" w:cs="Times New Roman"/>
          <w:spacing w:val="-6"/>
          <w:sz w:val="32"/>
          <w:szCs w:val="32"/>
          <w:highlight w:val="none"/>
          <w:lang w:val="en-US" w:eastAsia="zh-CN"/>
        </w:rPr>
        <w:t>小组根据评价结果，撰写详细的绩效评价报告。报告内容包括评价工作概述、评价结果、存在的问题分析、改进建议等，客观准确地反映档案馆的绩效状况，为后续决策提供依据</w:t>
      </w:r>
      <w:r>
        <w:rPr>
          <w:rFonts w:hint="eastAsia" w:ascii="Times New Roman" w:hAnsi="Times New Roman" w:eastAsia="方正仿宋_GBK" w:cs="Times New Roman"/>
          <w:spacing w:val="-6"/>
          <w:sz w:val="32"/>
          <w:szCs w:val="32"/>
          <w:highlight w:val="none"/>
          <w:lang w:val="en-US" w:eastAsia="zh-CN"/>
        </w:rPr>
        <w:t>。</w:t>
      </w:r>
    </w:p>
    <w:p w14:paraId="13CAC9E0">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w:t>
      </w:r>
      <w:r>
        <w:rPr>
          <w:rFonts w:hint="eastAsia" w:eastAsia="方正仿宋_GBK" w:cs="Times New Roman"/>
          <w:sz w:val="32"/>
          <w:szCs w:val="32"/>
          <w:highlight w:val="none"/>
          <w:lang w:val="en-US" w:eastAsia="zh-CN"/>
        </w:rPr>
        <w:t>6</w:t>
      </w:r>
      <w:r>
        <w:rPr>
          <w:rFonts w:hint="default" w:ascii="Times New Roman" w:hAnsi="Times New Roman" w:eastAsia="方正仿宋_GBK" w:cs="Times New Roman"/>
          <w:sz w:val="32"/>
          <w:szCs w:val="32"/>
          <w:highlight w:val="none"/>
          <w:lang w:val="en-US" w:eastAsia="zh-CN"/>
        </w:rPr>
        <w:t>）后续跟踪与改进</w:t>
      </w:r>
    </w:p>
    <w:p w14:paraId="142AE187">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在评价报告提交后，我们将持续跟踪项目的改进措施落实情况。详细解读评价报告，说明评价过程和结果，听取被评价方的意见和解释，共同探讨存在问题的原因和改进措施。</w:t>
      </w:r>
    </w:p>
    <w:p w14:paraId="7E4B79AB">
      <w:pPr>
        <w:numPr>
          <w:ilvl w:val="0"/>
          <w:numId w:val="3"/>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14:paraId="2B5020F4">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14:paraId="55A1D378">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方正仿宋_GBK" w:cs="Times New Roman"/>
          <w:kern w:val="2"/>
          <w:sz w:val="32"/>
          <w:szCs w:val="32"/>
          <w:highlight w:val="none"/>
          <w:lang w:val="en-US" w:eastAsia="zh-CN" w:bidi="ar-SA"/>
        </w:rPr>
        <w:t>本项目的综合评价基于对项目各方面绩效的深入分析与评估。从项目目标的达成情况来看，部门专项-档案事业费在对馆藏38000到40000卷档案进行安全、保密、保护、宣传利用等工作，保障查阅档案人员不少于200人、通过项目实施，有效提高档案社会利用率等方面表现出色，达到了预期的标准与要求。同时，项目也在</w:t>
      </w:r>
      <w:r>
        <w:rPr>
          <w:rFonts w:hint="eastAsia" w:ascii="Times New Roman" w:hAnsi="Times New Roman" w:eastAsia="方正仿宋_GBK" w:cs="Times New Roman"/>
          <w:kern w:val="2"/>
          <w:sz w:val="32"/>
          <w:szCs w:val="32"/>
          <w:highlight w:val="none"/>
          <w:lang w:val="en-US" w:eastAsia="zh-CN" w:bidi="ar-SA"/>
        </w:rPr>
        <w:t>档案资源体系建设完善工作</w:t>
      </w:r>
      <w:r>
        <w:rPr>
          <w:rFonts w:hint="default" w:ascii="Times New Roman" w:hAnsi="Times New Roman" w:eastAsia="方正仿宋_GBK" w:cs="Times New Roman"/>
          <w:kern w:val="2"/>
          <w:sz w:val="32"/>
          <w:szCs w:val="32"/>
          <w:highlight w:val="none"/>
          <w:lang w:val="en-US" w:eastAsia="zh-CN" w:bidi="ar-SA"/>
        </w:rPr>
        <w:t>取得了显著的成效，如</w:t>
      </w:r>
      <w:r>
        <w:rPr>
          <w:rFonts w:hint="eastAsia" w:ascii="Times New Roman" w:hAnsi="Times New Roman" w:eastAsia="方正仿宋_GBK" w:cs="Times New Roman"/>
          <w:kern w:val="2"/>
          <w:sz w:val="32"/>
          <w:szCs w:val="32"/>
          <w:highlight w:val="none"/>
          <w:lang w:val="en-US" w:eastAsia="zh-CN" w:bidi="ar-SA"/>
        </w:rPr>
        <w:t>1、扩大档案征集范围，加强对重大活动、民生、地方特色档案的收集，确保档案资源多样化、系统化。</w:t>
      </w:r>
      <w:r>
        <w:rPr>
          <w:rFonts w:hint="default" w:ascii="Times New Roman" w:hAnsi="Times New Roman" w:eastAsia="方正仿宋_GBK" w:cs="Times New Roman"/>
          <w:kern w:val="2"/>
          <w:sz w:val="32"/>
          <w:szCs w:val="32"/>
          <w:highlight w:val="none"/>
          <w:lang w:val="en-US" w:eastAsia="zh-CN" w:bidi="ar-SA"/>
        </w:rPr>
        <w:t>2</w:t>
      </w:r>
      <w:r>
        <w:rPr>
          <w:rFonts w:hint="eastAsia" w:ascii="Times New Roman" w:hAnsi="Times New Roman" w:eastAsia="方正仿宋_GBK" w:cs="Times New Roman"/>
          <w:kern w:val="2"/>
          <w:sz w:val="32"/>
          <w:szCs w:val="32"/>
          <w:highlight w:val="none"/>
          <w:lang w:val="en-US" w:eastAsia="zh-CN" w:bidi="ar-SA"/>
        </w:rPr>
        <w:t>、继续推进传统载体档案数字化，完成存量档案数字化转换，实现高效检索于共享</w:t>
      </w:r>
      <w:r>
        <w:rPr>
          <w:rFonts w:hint="default" w:ascii="Times New Roman" w:hAnsi="Times New Roman" w:eastAsia="方正仿宋_GBK" w:cs="Times New Roman"/>
          <w:kern w:val="2"/>
          <w:sz w:val="32"/>
          <w:szCs w:val="32"/>
          <w:highlight w:val="none"/>
          <w:lang w:val="en-US" w:eastAsia="zh-CN" w:bidi="ar-SA"/>
        </w:rPr>
        <w:t>等。</w:t>
      </w:r>
    </w:p>
    <w:p w14:paraId="7F68C221">
      <w:pPr>
        <w:shd w:val="clear"/>
        <w:spacing w:line="600" w:lineRule="exact"/>
        <w:ind w:firstLine="616" w:firstLineChars="200"/>
        <w:outlineLvl w:val="0"/>
        <w:rPr>
          <w:rFonts w:hint="default" w:ascii="Times New Roman" w:hAnsi="Times New Roman" w:eastAsia="方正仿宋_GBK" w:cs="Times New Roman"/>
          <w:spacing w:val="-6"/>
          <w:sz w:val="32"/>
          <w:szCs w:val="32"/>
          <w:highlight w:val="none"/>
          <w:lang w:val="en-US" w:eastAsia="zh-CN"/>
        </w:rPr>
      </w:pPr>
      <w:r>
        <w:rPr>
          <w:rFonts w:hint="default" w:ascii="Times New Roman" w:hAnsi="Times New Roman" w:eastAsia="方正仿宋_GBK" w:cs="Times New Roman"/>
          <w:spacing w:val="-6"/>
          <w:sz w:val="32"/>
          <w:szCs w:val="32"/>
          <w:highlight w:val="none"/>
          <w:lang w:val="en-US" w:eastAsia="zh-CN"/>
        </w:rPr>
        <w:t>在项目管理方面，库尔勒市档案馆通过有效的规划、组织与协调，项目得以顺利实施，并在预算与时间上保持了良好的控制。</w:t>
      </w:r>
    </w:p>
    <w:p w14:paraId="599A12FC">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方正仿宋_GBK" w:cs="Times New Roman"/>
          <w:kern w:val="2"/>
          <w:sz w:val="32"/>
          <w:szCs w:val="32"/>
          <w:highlight w:val="none"/>
          <w:lang w:val="en-US" w:eastAsia="zh-CN" w:bidi="ar-SA"/>
        </w:rPr>
        <w:t>从项目效益的角度来看，本项目不仅实现了预期的社会效益等方面产生了积极的影响。具体而言，</w:t>
      </w:r>
      <w:r>
        <w:rPr>
          <w:rFonts w:hint="eastAsia" w:ascii="Times New Roman" w:hAnsi="Times New Roman" w:eastAsia="方正仿宋_GBK" w:cs="Times New Roman"/>
          <w:kern w:val="2"/>
          <w:sz w:val="32"/>
          <w:szCs w:val="32"/>
          <w:highlight w:val="none"/>
          <w:lang w:val="en-US" w:eastAsia="zh-CN" w:bidi="ar-SA"/>
        </w:rPr>
        <w:t>在</w:t>
      </w:r>
      <w:r>
        <w:rPr>
          <w:rFonts w:hint="default" w:ascii="Times New Roman" w:hAnsi="Times New Roman" w:eastAsia="方正仿宋_GBK" w:cs="Times New Roman"/>
          <w:kern w:val="2"/>
          <w:sz w:val="32"/>
          <w:szCs w:val="32"/>
          <w:highlight w:val="none"/>
          <w:lang w:val="en-US" w:eastAsia="zh-CN" w:bidi="ar-SA"/>
        </w:rPr>
        <w:t>档案社会利用率等方面的提升，为</w:t>
      </w:r>
      <w:r>
        <w:rPr>
          <w:rFonts w:hint="eastAsia" w:ascii="Times New Roman" w:hAnsi="Times New Roman" w:eastAsia="方正仿宋_GBK" w:cs="Times New Roman"/>
          <w:kern w:val="2"/>
          <w:sz w:val="32"/>
          <w:szCs w:val="32"/>
          <w:highlight w:val="none"/>
          <w:lang w:val="en-US" w:eastAsia="zh-CN" w:bidi="ar-SA"/>
        </w:rPr>
        <w:t>查阅档案人员</w:t>
      </w:r>
      <w:r>
        <w:rPr>
          <w:rFonts w:hint="default" w:ascii="Times New Roman" w:hAnsi="Times New Roman" w:eastAsia="方正仿宋_GBK" w:cs="Times New Roman"/>
          <w:kern w:val="2"/>
          <w:sz w:val="32"/>
          <w:szCs w:val="32"/>
          <w:highlight w:val="none"/>
          <w:lang w:val="en-US" w:eastAsia="zh-CN" w:bidi="ar-SA"/>
        </w:rPr>
        <w:t>带来了实实在在的利益。</w:t>
      </w:r>
    </w:p>
    <w:p w14:paraId="2D278FFD">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方正仿宋_GBK" w:cs="Times New Roman"/>
          <w:kern w:val="2"/>
          <w:sz w:val="32"/>
          <w:szCs w:val="32"/>
          <w:highlight w:val="none"/>
          <w:lang w:val="en-US" w:eastAsia="zh-CN" w:bidi="ar-SA"/>
        </w:rPr>
        <w:t>综上所述，部门专项-档案事业费在绩效评价中表现出色，达到了项目的预期目标，并在多个方面取得了显著的成效。</w:t>
      </w:r>
    </w:p>
    <w:p w14:paraId="75EAF2A1">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14:paraId="616B99EF">
      <w:pPr>
        <w:pStyle w:val="10"/>
        <w:widowControl w:val="0"/>
        <w:spacing w:before="0" w:after="0" w:line="560" w:lineRule="exact"/>
        <w:ind w:firstLine="640" w:firstLineChars="200"/>
        <w:jc w:val="both"/>
        <w:outlineLvl w:val="9"/>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运用绩效评价组制定的评价指标体系以及财政部《项目支出绩效评价管理办法》（财预〔2020〕10号）文件的评分标准，通过数据采集、问卷调查及访谈等方式，对本项目进行客观评价，最终评分结果：总得分为 94.5</w:t>
      </w:r>
      <w:r>
        <w:rPr>
          <w:rFonts w:hint="eastAsia" w:ascii="Times New Roman" w:hAnsi="Times New Roman" w:eastAsia="方正仿宋_GBK" w:cs="Times New Roman"/>
          <w:b w:val="0"/>
          <w:bCs w:val="0"/>
          <w:kern w:val="2"/>
          <w:sz w:val="32"/>
          <w:szCs w:val="32"/>
          <w:highlight w:val="none"/>
          <w:lang w:val="en-US" w:eastAsia="zh-CN" w:bidi="ar-SA"/>
        </w:rPr>
        <w:t>5</w:t>
      </w:r>
      <w:r>
        <w:rPr>
          <w:rFonts w:hint="default" w:ascii="Times New Roman" w:hAnsi="Times New Roman" w:eastAsia="方正仿宋_GBK" w:cs="Times New Roman"/>
          <w:b w:val="0"/>
          <w:bCs w:val="0"/>
          <w:kern w:val="2"/>
          <w:sz w:val="32"/>
          <w:szCs w:val="32"/>
          <w:highlight w:val="none"/>
          <w:lang w:val="en-US" w:eastAsia="zh-CN" w:bidi="ar-SA"/>
        </w:rPr>
        <w:t>分，属于</w:t>
      </w:r>
      <w:r>
        <w:rPr>
          <w:rFonts w:hint="eastAsia" w:ascii="Times New Roman" w:hAnsi="Times New Roman" w:eastAsia="方正仿宋_GBK" w:cs="Times New Roman"/>
          <w:b w:val="0"/>
          <w:bCs w:val="0"/>
          <w:kern w:val="2"/>
          <w:sz w:val="32"/>
          <w:szCs w:val="32"/>
          <w:highlight w:val="none"/>
          <w:lang w:val="en-US" w:eastAsia="zh-CN" w:bidi="ar-SA"/>
        </w:rPr>
        <w:t>“</w:t>
      </w:r>
      <w:r>
        <w:rPr>
          <w:rFonts w:hint="default" w:ascii="Times New Roman" w:hAnsi="Times New Roman" w:eastAsia="方正仿宋_GBK" w:cs="Times New Roman"/>
          <w:b w:val="0"/>
          <w:bCs w:val="0"/>
          <w:kern w:val="2"/>
          <w:sz w:val="32"/>
          <w:szCs w:val="32"/>
          <w:highlight w:val="none"/>
          <w:lang w:val="en-US" w:eastAsia="zh-CN" w:bidi="ar-SA"/>
        </w:rPr>
        <w:t>优</w:t>
      </w:r>
      <w:r>
        <w:rPr>
          <w:rFonts w:hint="eastAsia" w:ascii="Times New Roman" w:hAnsi="Times New Roman" w:eastAsia="方正仿宋_GBK" w:cs="Times New Roman"/>
          <w:b w:val="0"/>
          <w:bCs w:val="0"/>
          <w:kern w:val="2"/>
          <w:sz w:val="32"/>
          <w:szCs w:val="32"/>
          <w:highlight w:val="none"/>
          <w:lang w:val="en-US" w:eastAsia="zh-CN" w:bidi="ar-SA"/>
        </w:rPr>
        <w:t>”</w:t>
      </w:r>
      <w:r>
        <w:rPr>
          <w:rFonts w:hint="default" w:ascii="Times New Roman" w:hAnsi="Times New Roman" w:eastAsia="方正仿宋_GBK" w:cs="Times New Roman"/>
          <w:b w:val="0"/>
          <w:bCs w:val="0"/>
          <w:kern w:val="2"/>
          <w:sz w:val="32"/>
          <w:szCs w:val="32"/>
          <w:highlight w:val="none"/>
          <w:lang w:val="en-US" w:eastAsia="zh-CN" w:bidi="ar-SA"/>
        </w:rPr>
        <w:t>。其中，项目决策类指标权重为20分，得分为 20分，得分率为 100%。项目过程类指标权重为20分，得分为16.</w:t>
      </w:r>
      <w:r>
        <w:rPr>
          <w:rFonts w:hint="eastAsia" w:ascii="Times New Roman" w:hAnsi="Times New Roman" w:eastAsia="方正仿宋_GBK" w:cs="Times New Roman"/>
          <w:b w:val="0"/>
          <w:bCs w:val="0"/>
          <w:kern w:val="2"/>
          <w:sz w:val="32"/>
          <w:szCs w:val="32"/>
          <w:highlight w:val="none"/>
          <w:lang w:val="en-US" w:eastAsia="zh-CN" w:bidi="ar-SA"/>
        </w:rPr>
        <w:t>8</w:t>
      </w:r>
      <w:r>
        <w:rPr>
          <w:rFonts w:hint="default" w:ascii="Times New Roman" w:hAnsi="Times New Roman" w:eastAsia="方正仿宋_GBK" w:cs="Times New Roman"/>
          <w:b w:val="0"/>
          <w:bCs w:val="0"/>
          <w:kern w:val="2"/>
          <w:sz w:val="32"/>
          <w:szCs w:val="32"/>
          <w:highlight w:val="none"/>
          <w:lang w:val="en-US" w:eastAsia="zh-CN" w:bidi="ar-SA"/>
        </w:rPr>
        <w:t>9分，得分率为 84.</w:t>
      </w:r>
      <w:r>
        <w:rPr>
          <w:rFonts w:hint="eastAsia" w:ascii="Times New Roman" w:hAnsi="Times New Roman" w:eastAsia="方正仿宋_GBK" w:cs="Times New Roman"/>
          <w:b w:val="0"/>
          <w:bCs w:val="0"/>
          <w:kern w:val="2"/>
          <w:sz w:val="32"/>
          <w:szCs w:val="32"/>
          <w:highlight w:val="none"/>
          <w:lang w:val="en-US" w:eastAsia="zh-CN" w:bidi="ar-SA"/>
        </w:rPr>
        <w:t>4</w:t>
      </w:r>
      <w:r>
        <w:rPr>
          <w:rFonts w:hint="default" w:ascii="Times New Roman" w:hAnsi="Times New Roman" w:eastAsia="方正仿宋_GBK" w:cs="Times New Roman"/>
          <w:b w:val="0"/>
          <w:bCs w:val="0"/>
          <w:kern w:val="2"/>
          <w:sz w:val="32"/>
          <w:szCs w:val="32"/>
          <w:highlight w:val="none"/>
          <w:lang w:val="en-US" w:eastAsia="zh-CN" w:bidi="ar-SA"/>
        </w:rPr>
        <w:t>5%。项目产出类指标权重为40分，得分为37.6</w:t>
      </w:r>
      <w:r>
        <w:rPr>
          <w:rFonts w:hint="eastAsia" w:ascii="Times New Roman" w:hAnsi="Times New Roman" w:eastAsia="方正仿宋_GBK" w:cs="Times New Roman"/>
          <w:b w:val="0"/>
          <w:bCs w:val="0"/>
          <w:kern w:val="2"/>
          <w:sz w:val="32"/>
          <w:szCs w:val="32"/>
          <w:highlight w:val="none"/>
          <w:lang w:val="en-US" w:eastAsia="zh-CN" w:bidi="ar-SA"/>
        </w:rPr>
        <w:t>6</w:t>
      </w:r>
      <w:r>
        <w:rPr>
          <w:rFonts w:hint="default" w:ascii="Times New Roman" w:hAnsi="Times New Roman" w:eastAsia="方正仿宋_GBK" w:cs="Times New Roman"/>
          <w:b w:val="0"/>
          <w:bCs w:val="0"/>
          <w:kern w:val="2"/>
          <w:sz w:val="32"/>
          <w:szCs w:val="32"/>
          <w:highlight w:val="none"/>
          <w:lang w:val="en-US" w:eastAsia="zh-CN" w:bidi="ar-SA"/>
        </w:rPr>
        <w:t>分，得分率为 94</w:t>
      </w:r>
      <w:r>
        <w:rPr>
          <w:rFonts w:hint="eastAsia" w:ascii="Times New Roman" w:hAnsi="Times New Roman" w:eastAsia="方正仿宋_GBK" w:cs="Times New Roman"/>
          <w:b w:val="0"/>
          <w:bCs w:val="0"/>
          <w:kern w:val="2"/>
          <w:sz w:val="32"/>
          <w:szCs w:val="32"/>
          <w:highlight w:val="none"/>
          <w:lang w:val="en-US" w:eastAsia="zh-CN" w:bidi="ar-SA"/>
        </w:rPr>
        <w:t>.15</w:t>
      </w:r>
      <w:r>
        <w:rPr>
          <w:rFonts w:hint="default" w:ascii="Times New Roman" w:hAnsi="Times New Roman" w:eastAsia="方正仿宋_GBK" w:cs="Times New Roman"/>
          <w:b w:val="0"/>
          <w:bCs w:val="0"/>
          <w:kern w:val="2"/>
          <w:sz w:val="32"/>
          <w:szCs w:val="32"/>
          <w:highlight w:val="none"/>
          <w:lang w:val="en-US" w:eastAsia="zh-CN" w:bidi="ar-SA"/>
        </w:rPr>
        <w:t>%。项目效益类指标权重为20分，得分为20分，得分率为100%。具体打分情况详见：附件1综合评分表。</w:t>
      </w:r>
    </w:p>
    <w:p w14:paraId="2404C791">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3"/>
        <w:tblW w:w="7583" w:type="dxa"/>
        <w:jc w:val="center"/>
        <w:tblLayout w:type="fixed"/>
        <w:tblCellMar>
          <w:top w:w="0" w:type="dxa"/>
          <w:left w:w="108" w:type="dxa"/>
          <w:bottom w:w="0" w:type="dxa"/>
          <w:right w:w="108" w:type="dxa"/>
        </w:tblCellMar>
      </w:tblPr>
      <w:tblGrid>
        <w:gridCol w:w="3137"/>
        <w:gridCol w:w="2168"/>
        <w:gridCol w:w="2278"/>
      </w:tblGrid>
      <w:tr w14:paraId="440EF666">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6C98F963">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8F05FB3">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F0E139B">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r>
      <w:tr w14:paraId="5627306E">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495E96E">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14:paraId="19ED762A">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2100BE2">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r>
      <w:tr w14:paraId="01355E3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98AC549">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14:paraId="039B73BB">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2194C2FF">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16.89</w:t>
            </w:r>
          </w:p>
        </w:tc>
      </w:tr>
      <w:tr w14:paraId="7DB31ACE">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B51C31F">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14:paraId="78D9E08B">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1926DC5C">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37.6</w:t>
            </w:r>
            <w:r>
              <w:rPr>
                <w:rFonts w:hint="eastAsia" w:eastAsia="仿宋_GB2312" w:cs="Times New Roman"/>
                <w:color w:val="000000"/>
                <w:sz w:val="21"/>
                <w:szCs w:val="21"/>
                <w:highlight w:val="none"/>
                <w:lang w:val="en-US" w:eastAsia="zh-CN"/>
              </w:rPr>
              <w:t>6</w:t>
            </w:r>
          </w:p>
        </w:tc>
      </w:tr>
      <w:tr w14:paraId="67B047B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940627F">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14:paraId="7143C7F4">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F9A173A">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r>
      <w:tr w14:paraId="72E11A7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20DD042">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14:paraId="40F0C6DB">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3D793611">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94.</w:t>
            </w:r>
            <w:r>
              <w:rPr>
                <w:rFonts w:hint="eastAsia" w:eastAsia="仿宋_GB2312" w:cs="Times New Roman"/>
                <w:b/>
                <w:bCs/>
                <w:color w:val="000000"/>
                <w:sz w:val="21"/>
                <w:szCs w:val="21"/>
                <w:highlight w:val="none"/>
                <w:lang w:val="en-US" w:eastAsia="zh-CN"/>
              </w:rPr>
              <w:t>55</w:t>
            </w:r>
          </w:p>
        </w:tc>
      </w:tr>
    </w:tbl>
    <w:p w14:paraId="38FB4A2D">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14:paraId="17CB5EEA">
      <w:pPr>
        <w:pStyle w:val="10"/>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14:paraId="2BAC334B">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项目决策类指标包括项目立项、绩效目标和资金投入三方面的内容，由6个三级指标构成，权重分值为20分，实际得分20分，得分率为100%。</w:t>
      </w:r>
    </w:p>
    <w:p w14:paraId="6B90B3F7">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08C90D21">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（1）立项依据充分性</w:t>
      </w:r>
    </w:p>
    <w:p w14:paraId="6BC0323D">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该项目立项符合《中华人民共和国档案法》</w:t>
      </w:r>
      <w:r>
        <w:rPr>
          <w:rFonts w:hint="eastAsia" w:ascii="Times New Roman" w:hAnsi="Times New Roman" w:eastAsia="方正仿宋_GBK" w:cs="Times New Roman"/>
          <w:sz w:val="32"/>
          <w:szCs w:val="32"/>
          <w:highlight w:val="none"/>
          <w:lang w:val="en-US" w:eastAsia="zh-CN"/>
        </w:rPr>
        <w:t>、《中华人民共和国档案法实施条例》</w:t>
      </w:r>
      <w:r>
        <w:rPr>
          <w:rFonts w:hint="default" w:ascii="Times New Roman" w:hAnsi="Times New Roman" w:eastAsia="方正仿宋_GBK" w:cs="Times New Roman"/>
          <w:sz w:val="32"/>
          <w:szCs w:val="32"/>
          <w:highlight w:val="none"/>
          <w:lang w:val="en-US" w:eastAsia="zh-CN"/>
        </w:rPr>
        <w:t>要求，围绕本年度工作重点和工作计划制定经费预算，属于公共财政支持范围。本项目与部门内部其他相关项目不重复。部门发展规划及职能文件等归档完整。</w:t>
      </w:r>
    </w:p>
    <w:p w14:paraId="79AF5189">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此项权重分值为3分，得分为3分。</w:t>
      </w:r>
    </w:p>
    <w:p w14:paraId="0F60A44F">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（2）立项程序规范性</w:t>
      </w:r>
    </w:p>
    <w:p w14:paraId="1A2BEF2D">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项目申请、设立过程符合相关要求，</w:t>
      </w:r>
      <w:r>
        <w:rPr>
          <w:rFonts w:hint="default" w:ascii="Times New Roman" w:hAnsi="Times New Roman" w:eastAsia="方正仿宋_GBK" w:cs="Times New Roman"/>
          <w:sz w:val="32"/>
          <w:szCs w:val="32"/>
          <w:highlight w:val="none"/>
          <w:lang w:val="en-US" w:eastAsia="zh-Hans"/>
        </w:rPr>
        <w:t>严格按照审批流程准备符合《中华人民共和国档案法》</w:t>
      </w:r>
      <w:r>
        <w:rPr>
          <w:rFonts w:hint="eastAsia" w:ascii="Times New Roman" w:hAnsi="Times New Roman" w:eastAsia="方正仿宋_GBK" w:cs="Times New Roman"/>
          <w:sz w:val="32"/>
          <w:szCs w:val="32"/>
          <w:highlight w:val="none"/>
          <w:lang w:val="en-US" w:eastAsia="zh-CN"/>
        </w:rPr>
        <w:t>、</w:t>
      </w:r>
      <w:r>
        <w:rPr>
          <w:rFonts w:hint="default" w:ascii="Times New Roman" w:hAnsi="Times New Roman" w:eastAsia="方正仿宋_GBK" w:cs="Times New Roman"/>
          <w:sz w:val="32"/>
          <w:szCs w:val="32"/>
          <w:highlight w:val="none"/>
          <w:lang w:val="en-US" w:eastAsia="zh-Hans"/>
        </w:rPr>
        <w:t>《中华人民共和国预算法》</w:t>
      </w:r>
      <w:r>
        <w:rPr>
          <w:rFonts w:hint="eastAsia" w:ascii="Times New Roman" w:hAnsi="Times New Roman" w:eastAsia="方正仿宋_GBK" w:cs="Times New Roman"/>
          <w:sz w:val="32"/>
          <w:szCs w:val="32"/>
          <w:highlight w:val="none"/>
          <w:lang w:val="en-US" w:eastAsia="zh-CN"/>
        </w:rPr>
        <w:t>、《国务院关于进一步深化预算管理制度改革的意见》文件</w:t>
      </w:r>
      <w:r>
        <w:rPr>
          <w:rFonts w:hint="default" w:ascii="Times New Roman" w:hAnsi="Times New Roman" w:eastAsia="方正仿宋_GBK" w:cs="Times New Roman"/>
          <w:sz w:val="32"/>
          <w:szCs w:val="32"/>
          <w:highlight w:val="none"/>
          <w:lang w:val="en-US" w:eastAsia="zh-Hans"/>
        </w:rPr>
        <w:t>要求；</w:t>
      </w:r>
      <w:r>
        <w:rPr>
          <w:rFonts w:hint="default" w:ascii="Times New Roman" w:hAnsi="Times New Roman" w:eastAsia="方正仿宋_GBK" w:cs="Times New Roman"/>
          <w:sz w:val="32"/>
          <w:szCs w:val="32"/>
          <w:highlight w:val="none"/>
          <w:lang w:val="en-US" w:eastAsia="zh-CN"/>
        </w:rPr>
        <w:t>根据决算依据编制工作计划和经费预算，经过与部门项目分管领导沟通、筛选确定经费预算计划，确定最终预算方案。</w:t>
      </w:r>
    </w:p>
    <w:p w14:paraId="54560796">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此项权重分值为3分，得分为3分。</w:t>
      </w:r>
    </w:p>
    <w:p w14:paraId="7B0469C3">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0D9D61FE">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（1）绩效目标合理性</w:t>
      </w:r>
    </w:p>
    <w:p w14:paraId="6A513FD7">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Hans"/>
        </w:rPr>
        <w:t>绩效目标应紧密围绕档案事业发展规划的总体目标和任务来设定。结合实际工作内容</w:t>
      </w:r>
      <w:r>
        <w:rPr>
          <w:rFonts w:hint="default" w:ascii="Times New Roman" w:hAnsi="Times New Roman" w:eastAsia="方正仿宋_GBK" w:cs="Times New Roman"/>
          <w:sz w:val="32"/>
          <w:szCs w:val="32"/>
          <w:highlight w:val="none"/>
          <w:lang w:val="en-US" w:eastAsia="zh-CN"/>
        </w:rPr>
        <w:t>设定绩效目标</w:t>
      </w:r>
      <w:r>
        <w:rPr>
          <w:rFonts w:hint="default" w:ascii="Times New Roman" w:hAnsi="Times New Roman" w:eastAsia="方正仿宋_GBK" w:cs="Times New Roman"/>
          <w:sz w:val="32"/>
          <w:szCs w:val="32"/>
          <w:highlight w:val="none"/>
          <w:lang w:val="en-US" w:eastAsia="zh-Hans"/>
        </w:rPr>
        <w:t>，绩效目标</w:t>
      </w:r>
      <w:r>
        <w:rPr>
          <w:rFonts w:hint="default" w:ascii="Times New Roman" w:hAnsi="Times New Roman" w:eastAsia="方正仿宋_GBK" w:cs="Times New Roman"/>
          <w:sz w:val="32"/>
          <w:szCs w:val="32"/>
          <w:highlight w:val="none"/>
          <w:lang w:val="en-US" w:eastAsia="zh-CN"/>
        </w:rPr>
        <w:t>依据充分，符合客观实际，能反映和考核项目绩效目标与项目实施的相符情况，在充分考虑档案部门的人力、物力、财力等资源条件以及项目实施的技术难度、时间跨度等因素的基础上设定，确保目标具有现实可行性。绩效目标表经过审核，绩效目标与实际工作内容具有相关性，预算与确定的项目投资额相匹配，对项目任务进行了详细分解。项目预期产出效益及效果符合正常的业绩水平。</w:t>
      </w:r>
    </w:p>
    <w:p w14:paraId="0A577B1F">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此项权重分值为3分，得分为3分。</w:t>
      </w:r>
    </w:p>
    <w:p w14:paraId="4008EA9E">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（2）绩效指标明确性</w:t>
      </w:r>
    </w:p>
    <w:p w14:paraId="532818DF">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5346EEC4">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此项权重分值为3分，得分为3分。</w:t>
      </w:r>
    </w:p>
    <w:p w14:paraId="38B883FF">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14:paraId="413240A7">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（1）预算编制科学性</w:t>
      </w:r>
    </w:p>
    <w:p w14:paraId="0AE01480">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本项目的预算编制过程严谨、科学，充分体现了精细化管理的要求</w:t>
      </w:r>
      <w:r>
        <w:rPr>
          <w:rFonts w:hint="eastAsia" w:ascii="Times New Roman" w:hAnsi="Times New Roman" w:eastAsia="方正仿宋_GBK" w:cs="Times New Roman"/>
          <w:sz w:val="32"/>
          <w:szCs w:val="32"/>
          <w:highlight w:val="none"/>
          <w:lang w:val="en-US" w:eastAsia="zh-CN"/>
        </w:rPr>
        <w:t>充分考虑档案收集、整理、保管、利用等各个环节的实际工作需要</w:t>
      </w:r>
      <w:r>
        <w:rPr>
          <w:rFonts w:hint="default" w:ascii="Times New Roman" w:hAnsi="Times New Roman" w:eastAsia="方正仿宋_GBK" w:cs="Times New Roman"/>
          <w:sz w:val="32"/>
          <w:szCs w:val="32"/>
          <w:highlight w:val="none"/>
          <w:lang w:val="en-US" w:eastAsia="zh-CN"/>
        </w:rPr>
        <w:t>。预算编制之初，进行了全面的成本估算，确保项目所需的各项资源得到合理的预估与分配。同时，</w:t>
      </w:r>
      <w:r>
        <w:rPr>
          <w:rFonts w:hint="eastAsia" w:ascii="Times New Roman" w:hAnsi="Times New Roman" w:eastAsia="方正仿宋_GBK" w:cs="Times New Roman"/>
          <w:sz w:val="32"/>
          <w:szCs w:val="32"/>
          <w:highlight w:val="none"/>
          <w:lang w:val="en-US" w:eastAsia="zh-CN"/>
        </w:rPr>
        <w:t>预算额度测算依据充分，按照标准编制</w:t>
      </w:r>
      <w:r>
        <w:rPr>
          <w:rFonts w:hint="default" w:ascii="Times New Roman" w:hAnsi="Times New Roman" w:eastAsia="方正仿宋_GBK" w:cs="Times New Roman"/>
          <w:sz w:val="32"/>
          <w:szCs w:val="32"/>
          <w:highlight w:val="none"/>
          <w:lang w:val="en-US" w:eastAsia="zh-CN"/>
        </w:rPr>
        <w:t>。</w:t>
      </w:r>
    </w:p>
    <w:p w14:paraId="0778A867">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054677F1">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此项权重分值为4分，得分为4分。</w:t>
      </w:r>
    </w:p>
    <w:p w14:paraId="1861E7B8">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（2）资金分配合理性</w:t>
      </w:r>
    </w:p>
    <w:p w14:paraId="1574AB90">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本项目的资金分配遵循了公平、公正、透明的原则，确保了项目资源的合理配置与高效利用在保障重点项目的基础上，兼顾其他一般性项目的资金需求，维持档案事业各项工作的均衡发展此外，资金分配还充分考虑了风险因素，对可能出现的超支情况进行了预留与调整。</w:t>
      </w:r>
    </w:p>
    <w:p w14:paraId="0961A8F0">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此项权重分值为4分，得分为4分。</w:t>
      </w:r>
    </w:p>
    <w:p w14:paraId="4EAFD910">
      <w:pPr>
        <w:pStyle w:val="10"/>
        <w:numPr>
          <w:ilvl w:val="0"/>
          <w:numId w:val="4"/>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14:paraId="279ECED3">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项目过程类指标包括资金管理和组织实施两方面的内容，由5个三级指标构成，权重分值为20分，实际得分16.89分，得分率为84.</w:t>
      </w:r>
      <w:r>
        <w:rPr>
          <w:rFonts w:hint="eastAsia"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lang w:val="en-US" w:eastAsia="zh-CN"/>
        </w:rPr>
        <w:t>5%。</w:t>
      </w:r>
    </w:p>
    <w:p w14:paraId="730FED9C">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2191407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1E1B1CF2">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本项目总投资20万元，财政资金及时足额到位，到位率100%，预算资金按计划进度执行。</w:t>
      </w:r>
    </w:p>
    <w:p w14:paraId="0B4C7B33">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此项权重分值为4分，得分为4分。</w:t>
      </w:r>
    </w:p>
    <w:p w14:paraId="4DC06A56">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（2）预算执行率</w:t>
      </w:r>
    </w:p>
    <w:p w14:paraId="6CC9F72B">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预算编制较为详细，项目资金支出总体能够按照预算执行，预算资金支出4.43万元，预算执行率为22.15%。</w:t>
      </w:r>
    </w:p>
    <w:p w14:paraId="113DCADD">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此项权重分值为4分，得分为0.89分。</w:t>
      </w:r>
    </w:p>
    <w:p w14:paraId="2EC03822">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（3）资金使用合规性</w:t>
      </w:r>
    </w:p>
    <w:p w14:paraId="3AD71466">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本项目的资金使用严格遵循了国家相关法律法规与财务制度，确保了资金的合规性与安全性。档案事业费的使用需严格按照批准的预算执行，确保各项支出在预算范围内。</w:t>
      </w:r>
    </w:p>
    <w:p w14:paraId="7E896FE8">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严格按照国家统一的会计准则和财务制度进行会计核算，确保财务信息真实、准确、完整。对档案事业费进行单独核算，设置专门的会计科目和账目，清晰反映资金的收支情况。</w:t>
      </w:r>
    </w:p>
    <w:p w14:paraId="00FBCB5B">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此项权重分值为</w:t>
      </w:r>
      <w:r>
        <w:rPr>
          <w:rFonts w:hint="eastAsia"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lang w:val="en-US" w:eastAsia="zh-CN"/>
        </w:rPr>
        <w:t>分，得分为</w:t>
      </w:r>
      <w:r>
        <w:rPr>
          <w:rFonts w:hint="eastAsia"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lang w:val="en-US" w:eastAsia="zh-CN"/>
        </w:rPr>
        <w:t>分。</w:t>
      </w:r>
    </w:p>
    <w:p w14:paraId="038C6F44">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189DCC69">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（1）管理制度健全性</w:t>
      </w:r>
    </w:p>
    <w:p w14:paraId="666CC6D6">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本项目拥有一套完善、健全的管理制度体系，管理制度应覆盖档案事业费涉及的所有业务领域，包括预算编制、资金审批、支出管理、资产管理、绩效评价等。</w:t>
      </w:r>
    </w:p>
    <w:p w14:paraId="27A399C0">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此项权重分值为</w:t>
      </w:r>
      <w:r>
        <w:rPr>
          <w:rFonts w:hint="eastAsia"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lang w:val="en-US" w:eastAsia="zh-CN"/>
        </w:rPr>
        <w:t>分，得分为</w:t>
      </w:r>
      <w:r>
        <w:rPr>
          <w:rFonts w:hint="eastAsia"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lang w:val="en-US" w:eastAsia="zh-CN"/>
        </w:rPr>
        <w:t>分。</w:t>
      </w:r>
    </w:p>
    <w:p w14:paraId="54AE2778">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（2）制度执行有效性</w:t>
      </w:r>
    </w:p>
    <w:p w14:paraId="7D7D5B79">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本项目在执行过程中，管理制度得到了全面、有效的落实，为确保项目的顺利实施与目标实现提供了坚实的保障。单位管理层对制度执行的重视程度至关重要。管理层不仅要以身作则，严格遵守制度，还要积极推动制度在单位内部的执行。如在单位内部会议上，管理层反复强调制度执行的重要性，对严格执行制度的部门和个人给予表扬，对违反制度的行为进行严肃处理，形成良好的制度执行氛围。</w:t>
      </w:r>
    </w:p>
    <w:p w14:paraId="6C52B403">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在具体执行过程中，项目团队成员严格按照制度要求进行操作。同时资金使用过程中的审批、报销等流程规范透明。每笔资金支出都需经过经办人申请、部门负责人审核、财务人员复核、单位领导审批等环节。</w:t>
      </w:r>
    </w:p>
    <w:p w14:paraId="7D140BCA">
      <w:pPr>
        <w:shd w:val="clear"/>
        <w:spacing w:line="600" w:lineRule="exact"/>
        <w:ind w:firstLine="596" w:firstLineChars="200"/>
        <w:outlineLvl w:val="0"/>
        <w:rPr>
          <w:rFonts w:hint="default" w:ascii="Times New Roman" w:hAnsi="Times New Roman" w:eastAsia="方正仿宋_GBK" w:cs="Times New Roman"/>
          <w:spacing w:val="-11"/>
          <w:sz w:val="32"/>
          <w:szCs w:val="32"/>
          <w:highlight w:val="none"/>
          <w:lang w:val="en-US" w:eastAsia="zh-CN"/>
        </w:rPr>
      </w:pPr>
      <w:r>
        <w:rPr>
          <w:rFonts w:hint="default" w:ascii="Times New Roman" w:hAnsi="Times New Roman" w:eastAsia="方正仿宋_GBK" w:cs="Times New Roman"/>
          <w:spacing w:val="-11"/>
          <w:sz w:val="32"/>
          <w:szCs w:val="32"/>
          <w:highlight w:val="none"/>
          <w:lang w:val="en-US" w:eastAsia="zh-CN"/>
        </w:rPr>
        <w:t>综上所述，本项目的管理制度在执行过程中表现出了高度的有效性，既确保了项目的顺利进行，又实现了项目目标的有效达成。</w:t>
      </w:r>
    </w:p>
    <w:p w14:paraId="3B0E2476">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此项权重分值为</w:t>
      </w:r>
      <w:r>
        <w:rPr>
          <w:rFonts w:hint="eastAsia"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lang w:val="en-US" w:eastAsia="zh-CN"/>
        </w:rPr>
        <w:t>分，得分为</w:t>
      </w:r>
      <w:r>
        <w:rPr>
          <w:rFonts w:hint="eastAsia"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lang w:val="en-US" w:eastAsia="zh-CN"/>
        </w:rPr>
        <w:t>分。</w:t>
      </w:r>
    </w:p>
    <w:p w14:paraId="1C52055A">
      <w:pPr>
        <w:pStyle w:val="11"/>
        <w:numPr>
          <w:ilvl w:val="0"/>
          <w:numId w:val="4"/>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项目产出情况</w:t>
      </w:r>
    </w:p>
    <w:p w14:paraId="0E4D1566">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项目产出类</w:t>
      </w:r>
      <w:r>
        <w:rPr>
          <w:rFonts w:hint="default" w:ascii="Times New Roman" w:hAnsi="Times New Roman" w:eastAsia="楷体_GB2312" w:cs="Times New Roman"/>
          <w:b/>
          <w:bCs/>
          <w:kern w:val="2"/>
          <w:sz w:val="32"/>
          <w:szCs w:val="32"/>
          <w:highlight w:val="none"/>
          <w:lang w:val="en-US" w:eastAsia="zh-CN" w:bidi="ar-SA"/>
        </w:rPr>
        <w:t>指标</w:t>
      </w:r>
      <w:r>
        <w:rPr>
          <w:rFonts w:hint="default" w:ascii="Times New Roman" w:hAnsi="Times New Roman" w:eastAsia="方正仿宋_GBK" w:cs="Times New Roman"/>
          <w:sz w:val="32"/>
          <w:szCs w:val="32"/>
          <w:highlight w:val="none"/>
          <w:lang w:val="en-US" w:eastAsia="zh-CN"/>
        </w:rPr>
        <w:t>包括产出数量、产出质量、产出时效、产出成本四方面的内容，由</w:t>
      </w:r>
      <w:r>
        <w:rPr>
          <w:rFonts w:hint="eastAsia"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lang w:val="en-US" w:eastAsia="zh-CN"/>
        </w:rPr>
        <w:t>个三级指标构成，权重分为40分，实际得分</w:t>
      </w:r>
      <w:r>
        <w:rPr>
          <w:rFonts w:hint="eastAsia" w:ascii="Times New Roman" w:hAnsi="Times New Roman" w:eastAsia="方正仿宋_GBK" w:cs="Times New Roman"/>
          <w:sz w:val="32"/>
          <w:szCs w:val="32"/>
          <w:highlight w:val="none"/>
          <w:lang w:val="en-US" w:eastAsia="zh-CN"/>
        </w:rPr>
        <w:t>37.66</w:t>
      </w:r>
      <w:r>
        <w:rPr>
          <w:rFonts w:hint="default" w:ascii="Times New Roman" w:hAnsi="Times New Roman" w:eastAsia="方正仿宋_GBK" w:cs="Times New Roman"/>
          <w:sz w:val="32"/>
          <w:szCs w:val="32"/>
          <w:highlight w:val="none"/>
          <w:lang w:val="en-US" w:eastAsia="zh-CN"/>
        </w:rPr>
        <w:t>分，得分率为</w:t>
      </w:r>
      <w:r>
        <w:rPr>
          <w:rFonts w:hint="eastAsia" w:ascii="Times New Roman" w:hAnsi="Times New Roman" w:eastAsia="方正仿宋_GBK" w:cs="Times New Roman"/>
          <w:sz w:val="32"/>
          <w:szCs w:val="32"/>
          <w:highlight w:val="none"/>
          <w:lang w:val="en-US" w:eastAsia="zh-CN"/>
        </w:rPr>
        <w:t>94.15</w:t>
      </w:r>
      <w:r>
        <w:rPr>
          <w:rFonts w:hint="default" w:ascii="Times New Roman" w:hAnsi="Times New Roman" w:eastAsia="方正仿宋_GBK" w:cs="Times New Roman"/>
          <w:sz w:val="32"/>
          <w:szCs w:val="32"/>
          <w:highlight w:val="none"/>
          <w:lang w:val="en-US" w:eastAsia="zh-CN"/>
        </w:rPr>
        <w:t>%。具体产出指标完成情况如下：</w:t>
      </w:r>
    </w:p>
    <w:p w14:paraId="13AC4B4B">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fldChar w:fldCharType="begin"/>
      </w:r>
      <w:r>
        <w:rPr>
          <w:rFonts w:hint="default" w:ascii="Times New Roman" w:hAnsi="Times New Roman" w:eastAsia="方正仿宋_GBK" w:cs="Times New Roman"/>
          <w:sz w:val="32"/>
          <w:szCs w:val="32"/>
          <w:highlight w:val="none"/>
          <w:lang w:val="en-US" w:eastAsia="zh-CN"/>
        </w:rPr>
        <w:instrText xml:space="preserve"> = 1 \* GB3 </w:instrText>
      </w:r>
      <w:r>
        <w:rPr>
          <w:rFonts w:hint="default" w:ascii="Times New Roman" w:hAnsi="Times New Roman" w:eastAsia="方正仿宋_GBK" w:cs="Times New Roman"/>
          <w:sz w:val="32"/>
          <w:szCs w:val="32"/>
          <w:highlight w:val="none"/>
          <w:lang w:val="en-US" w:eastAsia="zh-CN"/>
        </w:rPr>
        <w:fldChar w:fldCharType="separate"/>
      </w:r>
      <w:r>
        <w:rPr>
          <w:rFonts w:hint="default" w:ascii="Times New Roman" w:hAnsi="Times New Roman" w:eastAsia="方正仿宋_GBK" w:cs="Times New Roman"/>
          <w:sz w:val="32"/>
          <w:szCs w:val="32"/>
          <w:highlight w:val="none"/>
          <w:lang w:val="en-US" w:eastAsia="zh-CN"/>
        </w:rPr>
        <w:t>①</w:t>
      </w:r>
      <w:r>
        <w:rPr>
          <w:rFonts w:hint="default" w:ascii="Times New Roman" w:hAnsi="Times New Roman" w:eastAsia="方正仿宋_GBK" w:cs="Times New Roman"/>
          <w:sz w:val="32"/>
          <w:szCs w:val="32"/>
          <w:highlight w:val="none"/>
          <w:lang w:val="en-US" w:eastAsia="zh-CN"/>
        </w:rPr>
        <w:fldChar w:fldCharType="end"/>
      </w:r>
      <w:r>
        <w:rPr>
          <w:rFonts w:hint="default" w:ascii="Times New Roman" w:hAnsi="Times New Roman" w:eastAsia="方正仿宋_GBK" w:cs="Times New Roman"/>
          <w:sz w:val="32"/>
          <w:szCs w:val="32"/>
          <w:highlight w:val="none"/>
          <w:lang w:val="en-US" w:eastAsia="zh-CN"/>
        </w:rPr>
        <w:t>数量指标：</w:t>
      </w:r>
    </w:p>
    <w:p w14:paraId="62DFF456">
      <w:pPr>
        <w:shd w:val="clear"/>
        <w:spacing w:line="600" w:lineRule="exact"/>
        <w:ind w:firstLine="640" w:firstLineChars="200"/>
        <w:outlineLvl w:val="0"/>
        <w:rPr>
          <w:rFonts w:hint="eastAsia"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指标1</w:t>
      </w:r>
      <w:r>
        <w:rPr>
          <w:rFonts w:hint="eastAsia" w:ascii="Times New Roman" w:hAnsi="Times New Roman" w:eastAsia="方正仿宋_GBK" w:cs="Times New Roman"/>
          <w:sz w:val="32"/>
          <w:szCs w:val="32"/>
          <w:highlight w:val="none"/>
          <w:lang w:val="en-US" w:eastAsia="zh-CN"/>
        </w:rPr>
        <w:t>：档案保管卷数</w:t>
      </w:r>
      <w:r>
        <w:rPr>
          <w:rFonts w:hint="default" w:ascii="Times New Roman" w:hAnsi="Times New Roman" w:eastAsia="方正仿宋_GBK" w:cs="Times New Roman"/>
          <w:sz w:val="32"/>
          <w:szCs w:val="32"/>
          <w:highlight w:val="none"/>
          <w:lang w:val="en-US" w:eastAsia="zh-CN"/>
        </w:rPr>
        <w:t>，指标值：&gt;=38000卷，实际完成值：38000卷，指标完成率</w:t>
      </w:r>
      <w:r>
        <w:rPr>
          <w:rFonts w:hint="eastAsia" w:ascii="Times New Roman" w:hAnsi="Times New Roman"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w:t>
      </w:r>
    </w:p>
    <w:p w14:paraId="5B155436">
      <w:pPr>
        <w:shd w:val="clear"/>
        <w:spacing w:line="600" w:lineRule="exact"/>
        <w:ind w:firstLine="640" w:firstLineChars="200"/>
        <w:outlineLvl w:val="0"/>
        <w:rPr>
          <w:rFonts w:hint="eastAsia"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指标</w:t>
      </w:r>
      <w:r>
        <w:rPr>
          <w:rFonts w:hint="eastAsia" w:ascii="Times New Roman" w:hAnsi="Times New Roman" w:eastAsia="方正仿宋_GBK" w:cs="Times New Roman"/>
          <w:sz w:val="32"/>
          <w:szCs w:val="32"/>
          <w:highlight w:val="none"/>
          <w:lang w:val="en-US" w:eastAsia="zh-CN"/>
        </w:rPr>
        <w:t>2：查阅档案人数</w:t>
      </w:r>
      <w:r>
        <w:rPr>
          <w:rFonts w:hint="default" w:ascii="Times New Roman" w:hAnsi="Times New Roman" w:eastAsia="方正仿宋_GBK" w:cs="Times New Roman"/>
          <w:sz w:val="32"/>
          <w:szCs w:val="32"/>
          <w:highlight w:val="none"/>
          <w:lang w:val="en-US" w:eastAsia="zh-CN"/>
        </w:rPr>
        <w:t>，指标值：&gt;=</w:t>
      </w:r>
      <w:r>
        <w:rPr>
          <w:rFonts w:hint="eastAsia" w:ascii="Times New Roman" w:hAnsi="Times New Roman" w:eastAsia="方正仿宋_GBK" w:cs="Times New Roman"/>
          <w:sz w:val="32"/>
          <w:szCs w:val="32"/>
          <w:highlight w:val="none"/>
          <w:lang w:val="en-US" w:eastAsia="zh-CN"/>
        </w:rPr>
        <w:t>2</w:t>
      </w:r>
      <w:r>
        <w:rPr>
          <w:rFonts w:hint="default" w:ascii="Times New Roman" w:hAnsi="Times New Roman" w:eastAsia="方正仿宋_GBK" w:cs="Times New Roman"/>
          <w:sz w:val="32"/>
          <w:szCs w:val="32"/>
          <w:highlight w:val="none"/>
          <w:lang w:val="en-US" w:eastAsia="zh-CN"/>
        </w:rPr>
        <w:t>00</w:t>
      </w:r>
      <w:r>
        <w:rPr>
          <w:rFonts w:hint="eastAsia" w:ascii="Times New Roman" w:hAnsi="Times New Roman" w:eastAsia="方正仿宋_GBK" w:cs="Times New Roman"/>
          <w:sz w:val="32"/>
          <w:szCs w:val="32"/>
          <w:highlight w:val="none"/>
          <w:lang w:val="en-US" w:eastAsia="zh-CN"/>
        </w:rPr>
        <w:t>人</w:t>
      </w:r>
      <w:r>
        <w:rPr>
          <w:rFonts w:hint="default" w:ascii="Times New Roman" w:hAnsi="Times New Roman" w:eastAsia="方正仿宋_GBK" w:cs="Times New Roman"/>
          <w:sz w:val="32"/>
          <w:szCs w:val="32"/>
          <w:highlight w:val="none"/>
          <w:lang w:val="en-US" w:eastAsia="zh-CN"/>
        </w:rPr>
        <w:t>，实际完成值：</w:t>
      </w:r>
      <w:r>
        <w:rPr>
          <w:rFonts w:hint="eastAsia" w:ascii="Times New Roman" w:hAnsi="Times New Roman" w:eastAsia="方正仿宋_GBK" w:cs="Times New Roman"/>
          <w:sz w:val="32"/>
          <w:szCs w:val="32"/>
          <w:highlight w:val="none"/>
          <w:lang w:val="en-US" w:eastAsia="zh-CN"/>
        </w:rPr>
        <w:t>354人</w:t>
      </w:r>
      <w:r>
        <w:rPr>
          <w:rFonts w:hint="default" w:ascii="Times New Roman" w:hAnsi="Times New Roman" w:eastAsia="方正仿宋_GBK" w:cs="Times New Roman"/>
          <w:sz w:val="32"/>
          <w:szCs w:val="32"/>
          <w:highlight w:val="none"/>
          <w:lang w:val="en-US" w:eastAsia="zh-CN"/>
        </w:rPr>
        <w:t>，指标完成率</w:t>
      </w:r>
      <w:r>
        <w:rPr>
          <w:rFonts w:hint="eastAsia" w:ascii="Times New Roman" w:hAnsi="Times New Roman" w:eastAsia="方正仿宋_GBK" w:cs="Times New Roman"/>
          <w:sz w:val="32"/>
          <w:szCs w:val="32"/>
          <w:highlight w:val="none"/>
          <w:lang w:val="en-US" w:eastAsia="zh-CN"/>
        </w:rPr>
        <w:t>177</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w:t>
      </w:r>
      <w:r>
        <w:rPr>
          <w:rFonts w:hint="default" w:ascii="Times New Roman" w:hAnsi="Times New Roman" w:eastAsia="方正仿宋_GBK" w:cs="Times New Roman"/>
          <w:sz w:val="32"/>
          <w:szCs w:val="32"/>
          <w:highlight w:val="none"/>
          <w:lang w:val="en-US" w:eastAsia="zh-CN"/>
        </w:rPr>
        <w:t>偏差原因：</w:t>
      </w:r>
      <w:r>
        <w:rPr>
          <w:rFonts w:hint="eastAsia" w:ascii="Times New Roman" w:hAnsi="Times New Roman" w:eastAsia="方正仿宋_GBK" w:cs="Times New Roman"/>
          <w:sz w:val="32"/>
          <w:szCs w:val="32"/>
          <w:highlight w:val="none"/>
          <w:lang w:val="en-US" w:eastAsia="zh-CN"/>
        </w:rPr>
        <w:t>年初目标值设置过低，</w:t>
      </w:r>
      <w:r>
        <w:rPr>
          <w:rFonts w:hint="default" w:ascii="Times New Roman" w:hAnsi="Times New Roman" w:eastAsia="方正仿宋_GBK" w:cs="Times New Roman"/>
          <w:sz w:val="32"/>
          <w:szCs w:val="32"/>
          <w:highlight w:val="none"/>
          <w:lang w:val="en-US" w:eastAsia="zh-CN"/>
        </w:rPr>
        <w:t>全年实际查阅档案人数为</w:t>
      </w:r>
      <w:r>
        <w:rPr>
          <w:rFonts w:hint="eastAsia" w:ascii="Times New Roman" w:hAnsi="Times New Roman" w:eastAsia="方正仿宋_GBK" w:cs="Times New Roman"/>
          <w:sz w:val="32"/>
          <w:szCs w:val="32"/>
          <w:highlight w:val="none"/>
          <w:lang w:val="en-US" w:eastAsia="zh-CN"/>
        </w:rPr>
        <w:t>354</w:t>
      </w:r>
      <w:r>
        <w:rPr>
          <w:rFonts w:hint="default" w:ascii="Times New Roman" w:hAnsi="Times New Roman" w:eastAsia="方正仿宋_GBK" w:cs="Times New Roman"/>
          <w:sz w:val="32"/>
          <w:szCs w:val="32"/>
          <w:highlight w:val="none"/>
          <w:lang w:val="en-US" w:eastAsia="zh-CN"/>
        </w:rPr>
        <w:t>人</w:t>
      </w:r>
      <w:r>
        <w:rPr>
          <w:rFonts w:hint="eastAsia" w:ascii="Times New Roman" w:hAnsi="Times New Roman" w:eastAsia="方正仿宋_GBK" w:cs="Times New Roman"/>
          <w:sz w:val="32"/>
          <w:szCs w:val="32"/>
          <w:highlight w:val="none"/>
          <w:lang w:val="en-US" w:eastAsia="zh-CN"/>
        </w:rPr>
        <w:t>。</w:t>
      </w:r>
    </w:p>
    <w:p w14:paraId="388467DF">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此项权重分值为</w:t>
      </w:r>
      <w:r>
        <w:rPr>
          <w:rFonts w:hint="eastAsia" w:ascii="Times New Roman" w:hAnsi="Times New Roman" w:eastAsia="方正仿宋_GBK" w:cs="Times New Roman"/>
          <w:sz w:val="32"/>
          <w:szCs w:val="32"/>
          <w:highlight w:val="none"/>
          <w:lang w:val="en-US" w:eastAsia="zh-CN"/>
        </w:rPr>
        <w:t>10</w:t>
      </w:r>
      <w:r>
        <w:rPr>
          <w:rFonts w:hint="default" w:ascii="Times New Roman" w:hAnsi="Times New Roman" w:eastAsia="方正仿宋_GBK" w:cs="Times New Roman"/>
          <w:sz w:val="32"/>
          <w:szCs w:val="32"/>
          <w:highlight w:val="none"/>
          <w:lang w:val="en-US" w:eastAsia="zh-CN"/>
        </w:rPr>
        <w:t>分，得分为</w:t>
      </w:r>
      <w:r>
        <w:rPr>
          <w:rFonts w:hint="eastAsia" w:ascii="Times New Roman" w:hAnsi="Times New Roman" w:eastAsia="方正仿宋_GBK" w:cs="Times New Roman"/>
          <w:sz w:val="32"/>
          <w:szCs w:val="32"/>
          <w:highlight w:val="none"/>
          <w:lang w:val="en-US" w:eastAsia="zh-CN"/>
        </w:rPr>
        <w:t>10</w:t>
      </w:r>
      <w:r>
        <w:rPr>
          <w:rFonts w:hint="default" w:ascii="Times New Roman" w:hAnsi="Times New Roman" w:eastAsia="方正仿宋_GBK" w:cs="Times New Roman"/>
          <w:sz w:val="32"/>
          <w:szCs w:val="32"/>
          <w:highlight w:val="none"/>
          <w:lang w:val="en-US" w:eastAsia="zh-CN"/>
        </w:rPr>
        <w:t>分。</w:t>
      </w:r>
    </w:p>
    <w:p w14:paraId="41630A50">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fldChar w:fldCharType="begin"/>
      </w:r>
      <w:r>
        <w:rPr>
          <w:rFonts w:hint="default" w:ascii="Times New Roman" w:hAnsi="Times New Roman" w:eastAsia="方正仿宋_GBK" w:cs="Times New Roman"/>
          <w:sz w:val="32"/>
          <w:szCs w:val="32"/>
          <w:highlight w:val="none"/>
          <w:lang w:val="en-US" w:eastAsia="zh-CN"/>
        </w:rPr>
        <w:instrText xml:space="preserve"> = 2 \* GB3 </w:instrText>
      </w:r>
      <w:r>
        <w:rPr>
          <w:rFonts w:hint="default" w:ascii="Times New Roman" w:hAnsi="Times New Roman" w:eastAsia="方正仿宋_GBK" w:cs="Times New Roman"/>
          <w:sz w:val="32"/>
          <w:szCs w:val="32"/>
          <w:highlight w:val="none"/>
          <w:lang w:val="en-US" w:eastAsia="zh-CN"/>
        </w:rPr>
        <w:fldChar w:fldCharType="separate"/>
      </w:r>
      <w:r>
        <w:rPr>
          <w:rFonts w:hint="default" w:ascii="Times New Roman" w:hAnsi="Times New Roman" w:eastAsia="方正仿宋_GBK" w:cs="Times New Roman"/>
          <w:sz w:val="32"/>
          <w:szCs w:val="32"/>
          <w:highlight w:val="none"/>
          <w:lang w:val="en-US" w:eastAsia="zh-CN"/>
        </w:rPr>
        <w:t>②</w:t>
      </w:r>
      <w:r>
        <w:rPr>
          <w:rFonts w:hint="default" w:ascii="Times New Roman" w:hAnsi="Times New Roman" w:eastAsia="方正仿宋_GBK" w:cs="Times New Roman"/>
          <w:sz w:val="32"/>
          <w:szCs w:val="32"/>
          <w:highlight w:val="none"/>
          <w:lang w:val="en-US" w:eastAsia="zh-CN"/>
        </w:rPr>
        <w:fldChar w:fldCharType="end"/>
      </w:r>
      <w:r>
        <w:rPr>
          <w:rFonts w:hint="default" w:ascii="Times New Roman" w:hAnsi="Times New Roman" w:eastAsia="方正仿宋_GBK" w:cs="Times New Roman"/>
          <w:sz w:val="32"/>
          <w:szCs w:val="32"/>
          <w:highlight w:val="none"/>
          <w:lang w:val="en-US" w:eastAsia="zh-CN"/>
        </w:rPr>
        <w:t>质量指标：</w:t>
      </w:r>
    </w:p>
    <w:p w14:paraId="2E5FC9CD">
      <w:pPr>
        <w:shd w:val="clear"/>
        <w:spacing w:line="600" w:lineRule="exact"/>
        <w:ind w:firstLine="640" w:firstLineChars="200"/>
        <w:outlineLvl w:val="0"/>
        <w:rPr>
          <w:rFonts w:hint="eastAsia"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指标1</w:t>
      </w:r>
      <w:r>
        <w:rPr>
          <w:rFonts w:hint="eastAsia" w:ascii="Times New Roman" w:hAnsi="Times New Roman" w:eastAsia="方正仿宋_GBK" w:cs="Times New Roman"/>
          <w:sz w:val="32"/>
          <w:szCs w:val="32"/>
          <w:highlight w:val="none"/>
          <w:lang w:val="en-US" w:eastAsia="zh-CN"/>
        </w:rPr>
        <w:t>：入档档案达标率</w:t>
      </w:r>
      <w:r>
        <w:rPr>
          <w:rFonts w:hint="default" w:ascii="Times New Roman" w:hAnsi="Times New Roman" w:eastAsia="方正仿宋_GBK" w:cs="Times New Roman"/>
          <w:sz w:val="32"/>
          <w:szCs w:val="32"/>
          <w:highlight w:val="none"/>
          <w:lang w:val="en-US" w:eastAsia="zh-CN"/>
        </w:rPr>
        <w:t>，指标值：&gt;=</w:t>
      </w:r>
      <w:r>
        <w:rPr>
          <w:rFonts w:hint="eastAsia" w:ascii="Times New Roman" w:hAnsi="Times New Roman" w:eastAsia="方正仿宋_GBK" w:cs="Times New Roman"/>
          <w:sz w:val="32"/>
          <w:szCs w:val="32"/>
          <w:highlight w:val="none"/>
          <w:lang w:val="en-US" w:eastAsia="zh-CN"/>
        </w:rPr>
        <w:t>95%</w:t>
      </w:r>
      <w:r>
        <w:rPr>
          <w:rFonts w:hint="default" w:ascii="Times New Roman" w:hAnsi="Times New Roman" w:eastAsia="方正仿宋_GBK" w:cs="Times New Roman"/>
          <w:sz w:val="32"/>
          <w:szCs w:val="32"/>
          <w:highlight w:val="none"/>
          <w:lang w:val="en-US" w:eastAsia="zh-CN"/>
        </w:rPr>
        <w:t>，实际完成值：</w:t>
      </w:r>
      <w:r>
        <w:rPr>
          <w:rFonts w:hint="eastAsia" w:ascii="Times New Roman" w:hAnsi="Times New Roman" w:eastAsia="方正仿宋_GBK" w:cs="Times New Roman"/>
          <w:sz w:val="32"/>
          <w:szCs w:val="32"/>
          <w:highlight w:val="none"/>
          <w:lang w:val="en-US" w:eastAsia="zh-CN"/>
        </w:rPr>
        <w:t>95%</w:t>
      </w:r>
      <w:r>
        <w:rPr>
          <w:rFonts w:hint="default" w:ascii="Times New Roman" w:hAnsi="Times New Roman" w:eastAsia="方正仿宋_GBK" w:cs="Times New Roman"/>
          <w:sz w:val="32"/>
          <w:szCs w:val="32"/>
          <w:highlight w:val="none"/>
          <w:lang w:val="en-US" w:eastAsia="zh-CN"/>
        </w:rPr>
        <w:t>，指标完成率</w:t>
      </w:r>
      <w:r>
        <w:rPr>
          <w:rFonts w:hint="eastAsia" w:ascii="Times New Roman" w:hAnsi="Times New Roman"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w:t>
      </w:r>
    </w:p>
    <w:p w14:paraId="6E7819CF">
      <w:pPr>
        <w:shd w:val="clear"/>
        <w:spacing w:line="600" w:lineRule="exact"/>
        <w:ind w:firstLine="640" w:firstLineChars="200"/>
        <w:outlineLvl w:val="0"/>
        <w:rPr>
          <w:rFonts w:hint="eastAsia"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此项权重分值为10分，得分为10分。</w:t>
      </w:r>
    </w:p>
    <w:p w14:paraId="12A9E6D4">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fldChar w:fldCharType="begin"/>
      </w:r>
      <w:r>
        <w:rPr>
          <w:rFonts w:hint="default" w:ascii="Times New Roman" w:hAnsi="Times New Roman" w:eastAsia="方正仿宋_GBK" w:cs="Times New Roman"/>
          <w:sz w:val="32"/>
          <w:szCs w:val="32"/>
          <w:highlight w:val="none"/>
          <w:lang w:val="en-US" w:eastAsia="zh-CN"/>
        </w:rPr>
        <w:instrText xml:space="preserve"> = 3 \* GB3 </w:instrText>
      </w:r>
      <w:r>
        <w:rPr>
          <w:rFonts w:hint="default" w:ascii="Times New Roman" w:hAnsi="Times New Roman" w:eastAsia="方正仿宋_GBK" w:cs="Times New Roman"/>
          <w:sz w:val="32"/>
          <w:szCs w:val="32"/>
          <w:highlight w:val="none"/>
          <w:lang w:val="en-US" w:eastAsia="zh-CN"/>
        </w:rPr>
        <w:fldChar w:fldCharType="separate"/>
      </w:r>
      <w:r>
        <w:rPr>
          <w:rFonts w:hint="default" w:ascii="Times New Roman" w:hAnsi="Times New Roman" w:eastAsia="方正仿宋_GBK" w:cs="Times New Roman"/>
          <w:sz w:val="32"/>
          <w:szCs w:val="32"/>
          <w:highlight w:val="none"/>
          <w:lang w:val="en-US" w:eastAsia="zh-CN"/>
        </w:rPr>
        <w:t>③</w:t>
      </w:r>
      <w:r>
        <w:rPr>
          <w:rFonts w:hint="default" w:ascii="Times New Roman" w:hAnsi="Times New Roman" w:eastAsia="方正仿宋_GBK" w:cs="Times New Roman"/>
          <w:sz w:val="32"/>
          <w:szCs w:val="32"/>
          <w:highlight w:val="none"/>
          <w:lang w:val="en-US" w:eastAsia="zh-CN"/>
        </w:rPr>
        <w:fldChar w:fldCharType="end"/>
      </w:r>
      <w:r>
        <w:rPr>
          <w:rFonts w:hint="default" w:ascii="Times New Roman" w:hAnsi="Times New Roman" w:eastAsia="方正仿宋_GBK" w:cs="Times New Roman"/>
          <w:sz w:val="32"/>
          <w:szCs w:val="32"/>
          <w:highlight w:val="none"/>
          <w:lang w:val="en-US" w:eastAsia="zh-CN"/>
        </w:rPr>
        <w:t>时效指标：</w:t>
      </w:r>
    </w:p>
    <w:p w14:paraId="15542E83">
      <w:pPr>
        <w:shd w:val="clear"/>
        <w:spacing w:line="600" w:lineRule="exact"/>
        <w:ind w:firstLine="640" w:firstLineChars="200"/>
        <w:outlineLvl w:val="0"/>
        <w:rPr>
          <w:rFonts w:hint="eastAsia"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指标1</w:t>
      </w:r>
      <w:r>
        <w:rPr>
          <w:rFonts w:hint="eastAsia" w:ascii="Times New Roman" w:hAnsi="Times New Roman" w:eastAsia="方正仿宋_GBK" w:cs="Times New Roman"/>
          <w:sz w:val="32"/>
          <w:szCs w:val="32"/>
          <w:highlight w:val="none"/>
          <w:lang w:val="en-US" w:eastAsia="zh-CN"/>
        </w:rPr>
        <w:t>：查阅档案及时率</w:t>
      </w:r>
      <w:r>
        <w:rPr>
          <w:rFonts w:hint="default" w:ascii="Times New Roman" w:hAnsi="Times New Roman" w:eastAsia="方正仿宋_GBK" w:cs="Times New Roman"/>
          <w:sz w:val="32"/>
          <w:szCs w:val="32"/>
          <w:highlight w:val="none"/>
          <w:lang w:val="en-US" w:eastAsia="zh-CN"/>
        </w:rPr>
        <w:t>，指标值：=</w:t>
      </w:r>
      <w:r>
        <w:rPr>
          <w:rFonts w:hint="eastAsia" w:ascii="Times New Roman" w:hAnsi="Times New Roman"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lang w:val="en-US" w:eastAsia="zh-CN"/>
        </w:rPr>
        <w:t>，实际完成值：</w:t>
      </w:r>
      <w:r>
        <w:rPr>
          <w:rFonts w:hint="eastAsia" w:ascii="Times New Roman" w:hAnsi="Times New Roman"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lang w:val="en-US" w:eastAsia="zh-CN"/>
        </w:rPr>
        <w:t>，指标完成率</w:t>
      </w:r>
      <w:r>
        <w:rPr>
          <w:rFonts w:hint="eastAsia" w:ascii="Times New Roman" w:hAnsi="Times New Roman"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w:t>
      </w:r>
    </w:p>
    <w:p w14:paraId="53F3DC83">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此项权重分值为</w:t>
      </w:r>
      <w:r>
        <w:rPr>
          <w:rFonts w:hint="eastAsia" w:ascii="Times New Roman" w:hAnsi="Times New Roman" w:eastAsia="方正仿宋_GBK" w:cs="Times New Roman"/>
          <w:sz w:val="32"/>
          <w:szCs w:val="32"/>
          <w:highlight w:val="none"/>
          <w:lang w:val="en-US" w:eastAsia="zh-CN"/>
        </w:rPr>
        <w:t>10</w:t>
      </w:r>
      <w:r>
        <w:rPr>
          <w:rFonts w:hint="default" w:ascii="Times New Roman" w:hAnsi="Times New Roman" w:eastAsia="方正仿宋_GBK" w:cs="Times New Roman"/>
          <w:sz w:val="32"/>
          <w:szCs w:val="32"/>
          <w:highlight w:val="none"/>
          <w:lang w:val="en-US" w:eastAsia="zh-CN"/>
        </w:rPr>
        <w:t>分，得分为</w:t>
      </w:r>
      <w:r>
        <w:rPr>
          <w:rFonts w:hint="eastAsia" w:ascii="Times New Roman" w:hAnsi="Times New Roman" w:eastAsia="方正仿宋_GBK" w:cs="Times New Roman"/>
          <w:sz w:val="32"/>
          <w:szCs w:val="32"/>
          <w:highlight w:val="none"/>
          <w:lang w:val="en-US" w:eastAsia="zh-CN"/>
        </w:rPr>
        <w:t>10</w:t>
      </w:r>
      <w:r>
        <w:rPr>
          <w:rFonts w:hint="default" w:ascii="Times New Roman" w:hAnsi="Times New Roman" w:eastAsia="方正仿宋_GBK" w:cs="Times New Roman"/>
          <w:sz w:val="32"/>
          <w:szCs w:val="32"/>
          <w:highlight w:val="none"/>
          <w:lang w:val="en-US" w:eastAsia="zh-CN"/>
        </w:rPr>
        <w:t>分。</w:t>
      </w:r>
    </w:p>
    <w:p w14:paraId="5979A5F7">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fldChar w:fldCharType="begin"/>
      </w:r>
      <w:r>
        <w:rPr>
          <w:rFonts w:hint="default" w:ascii="Times New Roman" w:hAnsi="Times New Roman" w:eastAsia="方正仿宋_GBK" w:cs="Times New Roman"/>
          <w:sz w:val="32"/>
          <w:szCs w:val="32"/>
          <w:highlight w:val="none"/>
          <w:lang w:val="en-US" w:eastAsia="zh-CN"/>
        </w:rPr>
        <w:instrText xml:space="preserve"> = 4 \* GB3 </w:instrText>
      </w:r>
      <w:r>
        <w:rPr>
          <w:rFonts w:hint="default" w:ascii="Times New Roman" w:hAnsi="Times New Roman" w:eastAsia="方正仿宋_GBK" w:cs="Times New Roman"/>
          <w:sz w:val="32"/>
          <w:szCs w:val="32"/>
          <w:highlight w:val="none"/>
          <w:lang w:val="en-US" w:eastAsia="zh-CN"/>
        </w:rPr>
        <w:fldChar w:fldCharType="separate"/>
      </w:r>
      <w:r>
        <w:rPr>
          <w:rFonts w:hint="default" w:ascii="Times New Roman" w:hAnsi="Times New Roman" w:eastAsia="方正仿宋_GBK" w:cs="Times New Roman"/>
          <w:sz w:val="32"/>
          <w:szCs w:val="32"/>
          <w:highlight w:val="none"/>
          <w:lang w:val="en-US" w:eastAsia="zh-CN"/>
        </w:rPr>
        <w:t>④</w:t>
      </w:r>
      <w:r>
        <w:rPr>
          <w:rFonts w:hint="default" w:ascii="Times New Roman" w:hAnsi="Times New Roman" w:eastAsia="方正仿宋_GBK" w:cs="Times New Roman"/>
          <w:sz w:val="32"/>
          <w:szCs w:val="32"/>
          <w:highlight w:val="none"/>
          <w:lang w:val="en-US" w:eastAsia="zh-CN"/>
        </w:rPr>
        <w:fldChar w:fldCharType="end"/>
      </w:r>
      <w:r>
        <w:rPr>
          <w:rFonts w:hint="default" w:ascii="Times New Roman" w:hAnsi="Times New Roman" w:eastAsia="方正仿宋_GBK" w:cs="Times New Roman"/>
          <w:sz w:val="32"/>
          <w:szCs w:val="32"/>
          <w:highlight w:val="none"/>
          <w:lang w:val="en-US" w:eastAsia="zh-CN"/>
        </w:rPr>
        <w:t>成本指标：</w:t>
      </w:r>
    </w:p>
    <w:p w14:paraId="280CBC96">
      <w:pPr>
        <w:shd w:val="clear"/>
        <w:spacing w:line="600" w:lineRule="exact"/>
        <w:ind w:firstLine="640" w:firstLineChars="200"/>
        <w:outlineLvl w:val="0"/>
        <w:rPr>
          <w:rFonts w:hint="eastAsia"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指标1</w:t>
      </w:r>
      <w:r>
        <w:rPr>
          <w:rFonts w:hint="eastAsia" w:ascii="Times New Roman" w:hAnsi="Times New Roman" w:eastAsia="方正仿宋_GBK" w:cs="Times New Roman"/>
          <w:sz w:val="32"/>
          <w:szCs w:val="32"/>
          <w:highlight w:val="none"/>
          <w:lang w:val="en-US" w:eastAsia="zh-CN"/>
        </w:rPr>
        <w:t>：平均每卷档案保管成本</w:t>
      </w:r>
      <w:r>
        <w:rPr>
          <w:rFonts w:hint="default" w:ascii="Times New Roman" w:hAnsi="Times New Roman" w:eastAsia="方正仿宋_GBK" w:cs="Times New Roman"/>
          <w:sz w:val="32"/>
          <w:szCs w:val="32"/>
          <w:highlight w:val="none"/>
          <w:lang w:val="en-US" w:eastAsia="zh-CN"/>
        </w:rPr>
        <w:t>，指标值：&lt;=5元/卷，实际完成值：</w:t>
      </w:r>
      <w:r>
        <w:rPr>
          <w:rFonts w:hint="eastAsia" w:ascii="Times New Roman" w:hAnsi="Times New Roman" w:eastAsia="方正仿宋_GBK" w:cs="Times New Roman"/>
          <w:sz w:val="32"/>
          <w:szCs w:val="32"/>
          <w:highlight w:val="none"/>
          <w:lang w:val="en-US" w:eastAsia="zh-CN"/>
        </w:rPr>
        <w:t>1.17</w:t>
      </w:r>
      <w:r>
        <w:rPr>
          <w:rFonts w:hint="default" w:ascii="Times New Roman" w:hAnsi="Times New Roman" w:eastAsia="方正仿宋_GBK" w:cs="Times New Roman"/>
          <w:sz w:val="32"/>
          <w:szCs w:val="32"/>
          <w:highlight w:val="none"/>
          <w:lang w:val="en-US" w:eastAsia="zh-CN"/>
        </w:rPr>
        <w:t>元/卷，指标完成率</w:t>
      </w:r>
      <w:r>
        <w:rPr>
          <w:rFonts w:hint="eastAsia" w:ascii="Times New Roman" w:hAnsi="Times New Roman" w:eastAsia="方正仿宋_GBK" w:cs="Times New Roman"/>
          <w:sz w:val="32"/>
          <w:szCs w:val="32"/>
          <w:highlight w:val="none"/>
          <w:lang w:val="en-US" w:eastAsia="zh-CN"/>
        </w:rPr>
        <w:t>23.4</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w:t>
      </w:r>
      <w:r>
        <w:rPr>
          <w:rFonts w:hint="default" w:ascii="Times New Roman" w:hAnsi="Times New Roman" w:eastAsia="方正仿宋_GBK" w:cs="Times New Roman"/>
          <w:sz w:val="32"/>
          <w:szCs w:val="32"/>
          <w:highlight w:val="none"/>
          <w:lang w:val="en-US" w:eastAsia="zh-CN"/>
        </w:rPr>
        <w:t>偏差原因：</w:t>
      </w:r>
      <w:r>
        <w:rPr>
          <w:rFonts w:hint="eastAsia" w:ascii="Times New Roman" w:hAnsi="Times New Roman" w:eastAsia="方正仿宋_GBK" w:cs="Times New Roman"/>
          <w:sz w:val="32"/>
          <w:szCs w:val="32"/>
          <w:highlight w:val="none"/>
          <w:lang w:val="en-US" w:eastAsia="zh-CN"/>
        </w:rPr>
        <w:t>全年实际支付4.43万元部分待支付项目正在走采购手续。</w:t>
      </w:r>
    </w:p>
    <w:p w14:paraId="6638AE6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此项权重分值为</w:t>
      </w:r>
      <w:r>
        <w:rPr>
          <w:rFonts w:hint="eastAsia" w:ascii="Times New Roman" w:hAnsi="Times New Roman" w:eastAsia="方正仿宋_GBK" w:cs="Times New Roman"/>
          <w:sz w:val="32"/>
          <w:szCs w:val="32"/>
          <w:highlight w:val="none"/>
          <w:lang w:val="en-US" w:eastAsia="zh-CN"/>
        </w:rPr>
        <w:t>10</w:t>
      </w:r>
      <w:r>
        <w:rPr>
          <w:rFonts w:hint="default" w:ascii="Times New Roman" w:hAnsi="Times New Roman" w:eastAsia="方正仿宋_GBK" w:cs="Times New Roman"/>
          <w:sz w:val="32"/>
          <w:szCs w:val="32"/>
          <w:highlight w:val="none"/>
          <w:lang w:val="en-US" w:eastAsia="zh-CN"/>
        </w:rPr>
        <w:t>分，得分为</w:t>
      </w:r>
      <w:r>
        <w:rPr>
          <w:rFonts w:hint="eastAsia" w:ascii="Times New Roman" w:hAnsi="Times New Roman" w:eastAsia="方正仿宋_GBK" w:cs="Times New Roman"/>
          <w:sz w:val="32"/>
          <w:szCs w:val="32"/>
          <w:highlight w:val="none"/>
          <w:lang w:val="en-US" w:eastAsia="zh-CN"/>
        </w:rPr>
        <w:t>7.66</w:t>
      </w:r>
      <w:r>
        <w:rPr>
          <w:rFonts w:hint="default" w:ascii="Times New Roman" w:hAnsi="Times New Roman" w:eastAsia="方正仿宋_GBK" w:cs="Times New Roman"/>
          <w:sz w:val="32"/>
          <w:szCs w:val="32"/>
          <w:highlight w:val="none"/>
          <w:lang w:val="en-US" w:eastAsia="zh-CN"/>
        </w:rPr>
        <w:t>分。</w:t>
      </w:r>
    </w:p>
    <w:p w14:paraId="7A35497B">
      <w:pPr>
        <w:pStyle w:val="11"/>
        <w:numPr>
          <w:ilvl w:val="0"/>
          <w:numId w:val="4"/>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14:paraId="25A76B61">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项目效益类指标包括项目实施效益和满意度两方面的内容，由</w:t>
      </w:r>
      <w:r>
        <w:rPr>
          <w:rFonts w:hint="eastAsia" w:ascii="Times New Roman" w:hAnsi="Times New Roman" w:eastAsia="方正仿宋_GBK" w:cs="Times New Roman"/>
          <w:sz w:val="32"/>
          <w:szCs w:val="32"/>
          <w:highlight w:val="none"/>
          <w:lang w:val="en-US" w:eastAsia="zh-CN"/>
        </w:rPr>
        <w:t>2</w:t>
      </w:r>
      <w:r>
        <w:rPr>
          <w:rFonts w:hint="default" w:ascii="Times New Roman" w:hAnsi="Times New Roman" w:eastAsia="方正仿宋_GBK" w:cs="Times New Roman"/>
          <w:sz w:val="32"/>
          <w:szCs w:val="32"/>
          <w:highlight w:val="none"/>
          <w:lang w:val="en-US" w:eastAsia="zh-CN"/>
        </w:rPr>
        <w:t>个三级指标构成，权重分为20分，实际得分</w:t>
      </w:r>
      <w:r>
        <w:rPr>
          <w:rFonts w:hint="eastAsia" w:ascii="Times New Roman" w:hAnsi="Times New Roman" w:eastAsia="方正仿宋_GBK" w:cs="Times New Roman"/>
          <w:sz w:val="32"/>
          <w:szCs w:val="32"/>
          <w:highlight w:val="none"/>
          <w:lang w:val="en-US" w:eastAsia="zh-CN"/>
        </w:rPr>
        <w:t>20</w:t>
      </w:r>
      <w:r>
        <w:rPr>
          <w:rFonts w:hint="default" w:ascii="Times New Roman" w:hAnsi="Times New Roman" w:eastAsia="方正仿宋_GBK" w:cs="Times New Roman"/>
          <w:sz w:val="32"/>
          <w:szCs w:val="32"/>
          <w:highlight w:val="none"/>
          <w:lang w:val="en-US" w:eastAsia="zh-CN"/>
        </w:rPr>
        <w:t>分，得分率为</w:t>
      </w:r>
      <w:r>
        <w:rPr>
          <w:rFonts w:hint="eastAsia" w:ascii="Times New Roman" w:hAnsi="Times New Roman"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lang w:val="en-US" w:eastAsia="zh-CN"/>
        </w:rPr>
        <w:t>%。具体效益指标及满意度指标完成情况如下：</w:t>
      </w:r>
    </w:p>
    <w:p w14:paraId="2C9B8DF0">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实施效益</w:t>
      </w:r>
    </w:p>
    <w:p w14:paraId="2394304C">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①社会效益指标：</w:t>
      </w:r>
    </w:p>
    <w:p w14:paraId="0E901070">
      <w:pPr>
        <w:shd w:val="clear"/>
        <w:spacing w:line="600" w:lineRule="exact"/>
        <w:ind w:firstLine="640" w:firstLineChars="200"/>
        <w:outlineLvl w:val="0"/>
        <w:rPr>
          <w:rFonts w:hint="eastAsia"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指标1</w:t>
      </w:r>
      <w:r>
        <w:rPr>
          <w:rFonts w:hint="eastAsia" w:ascii="Times New Roman" w:hAnsi="Times New Roman" w:eastAsia="方正仿宋_GBK" w:cs="Times New Roman"/>
          <w:sz w:val="32"/>
          <w:szCs w:val="32"/>
          <w:highlight w:val="none"/>
          <w:lang w:val="en-US" w:eastAsia="zh-CN"/>
        </w:rPr>
        <w:t>：提高档案社会利用率</w:t>
      </w:r>
      <w:r>
        <w:rPr>
          <w:rFonts w:hint="default" w:ascii="Times New Roman" w:hAnsi="Times New Roman" w:eastAsia="方正仿宋_GBK" w:cs="Times New Roman"/>
          <w:sz w:val="32"/>
          <w:szCs w:val="32"/>
          <w:highlight w:val="none"/>
          <w:lang w:val="en-US" w:eastAsia="zh-CN"/>
        </w:rPr>
        <w:t>，指标值：&gt;=</w:t>
      </w:r>
      <w:r>
        <w:rPr>
          <w:rFonts w:hint="eastAsia" w:ascii="Times New Roman" w:hAnsi="Times New Roman" w:eastAsia="方正仿宋_GBK" w:cs="Times New Roman"/>
          <w:sz w:val="32"/>
          <w:szCs w:val="32"/>
          <w:highlight w:val="none"/>
          <w:lang w:val="en-US" w:eastAsia="zh-CN"/>
        </w:rPr>
        <w:t>90%</w:t>
      </w:r>
      <w:r>
        <w:rPr>
          <w:rFonts w:hint="default" w:ascii="Times New Roman" w:hAnsi="Times New Roman" w:eastAsia="方正仿宋_GBK" w:cs="Times New Roman"/>
          <w:sz w:val="32"/>
          <w:szCs w:val="32"/>
          <w:highlight w:val="none"/>
          <w:lang w:val="en-US" w:eastAsia="zh-CN"/>
        </w:rPr>
        <w:t>，实际完成值：</w:t>
      </w:r>
      <w:r>
        <w:rPr>
          <w:rFonts w:hint="eastAsia" w:ascii="Times New Roman" w:hAnsi="Times New Roman" w:eastAsia="方正仿宋_GBK" w:cs="Times New Roman"/>
          <w:sz w:val="32"/>
          <w:szCs w:val="32"/>
          <w:highlight w:val="none"/>
          <w:lang w:val="en-US" w:eastAsia="zh-CN"/>
        </w:rPr>
        <w:t>90%</w:t>
      </w:r>
      <w:r>
        <w:rPr>
          <w:rFonts w:hint="default" w:ascii="Times New Roman" w:hAnsi="Times New Roman" w:eastAsia="方正仿宋_GBK" w:cs="Times New Roman"/>
          <w:sz w:val="32"/>
          <w:szCs w:val="32"/>
          <w:highlight w:val="none"/>
          <w:lang w:val="en-US" w:eastAsia="zh-CN"/>
        </w:rPr>
        <w:t>，指标完成率</w:t>
      </w:r>
      <w:r>
        <w:rPr>
          <w:rFonts w:hint="eastAsia" w:ascii="Times New Roman" w:hAnsi="Times New Roman"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w:t>
      </w:r>
    </w:p>
    <w:p w14:paraId="437BB609">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此项权重分值为</w:t>
      </w:r>
      <w:r>
        <w:rPr>
          <w:rFonts w:hint="eastAsia" w:ascii="Times New Roman" w:hAnsi="Times New Roman" w:eastAsia="方正仿宋_GBK" w:cs="Times New Roman"/>
          <w:sz w:val="32"/>
          <w:szCs w:val="32"/>
          <w:highlight w:val="none"/>
          <w:lang w:val="en-US" w:eastAsia="zh-CN"/>
        </w:rPr>
        <w:t>10</w:t>
      </w:r>
      <w:r>
        <w:rPr>
          <w:rFonts w:hint="default" w:ascii="Times New Roman" w:hAnsi="Times New Roman" w:eastAsia="方正仿宋_GBK" w:cs="Times New Roman"/>
          <w:sz w:val="32"/>
          <w:szCs w:val="32"/>
          <w:highlight w:val="none"/>
          <w:lang w:val="en-US" w:eastAsia="zh-CN"/>
        </w:rPr>
        <w:t>分，得分为</w:t>
      </w:r>
      <w:r>
        <w:rPr>
          <w:rFonts w:hint="eastAsia" w:ascii="Times New Roman" w:hAnsi="Times New Roman" w:eastAsia="方正仿宋_GBK" w:cs="Times New Roman"/>
          <w:sz w:val="32"/>
          <w:szCs w:val="32"/>
          <w:highlight w:val="none"/>
          <w:lang w:val="en-US" w:eastAsia="zh-CN"/>
        </w:rPr>
        <w:t>10</w:t>
      </w:r>
      <w:r>
        <w:rPr>
          <w:rFonts w:hint="default" w:ascii="Times New Roman" w:hAnsi="Times New Roman" w:eastAsia="方正仿宋_GBK" w:cs="Times New Roman"/>
          <w:sz w:val="32"/>
          <w:szCs w:val="32"/>
          <w:highlight w:val="none"/>
          <w:lang w:val="en-US" w:eastAsia="zh-CN"/>
        </w:rPr>
        <w:t>分。</w:t>
      </w:r>
    </w:p>
    <w:p w14:paraId="41AD9D87">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2.满意度</w:t>
      </w:r>
    </w:p>
    <w:p w14:paraId="2AFC48A7">
      <w:pPr>
        <w:shd w:val="clear"/>
        <w:spacing w:line="600" w:lineRule="exact"/>
        <w:ind w:firstLine="640" w:firstLineChars="200"/>
        <w:outlineLvl w:val="0"/>
        <w:rPr>
          <w:rFonts w:hint="eastAsia"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指标1</w:t>
      </w:r>
      <w:r>
        <w:rPr>
          <w:rFonts w:hint="eastAsia" w:ascii="Times New Roman" w:hAnsi="Times New Roman" w:eastAsia="方正仿宋_GBK" w:cs="Times New Roman"/>
          <w:sz w:val="32"/>
          <w:szCs w:val="32"/>
          <w:highlight w:val="none"/>
          <w:lang w:val="en-US" w:eastAsia="zh-CN"/>
        </w:rPr>
        <w:t>：查阅者满意度</w:t>
      </w:r>
      <w:r>
        <w:rPr>
          <w:rFonts w:hint="default" w:ascii="Times New Roman" w:hAnsi="Times New Roman" w:eastAsia="方正仿宋_GBK" w:cs="Times New Roman"/>
          <w:sz w:val="32"/>
          <w:szCs w:val="32"/>
          <w:highlight w:val="none"/>
          <w:lang w:val="en-US" w:eastAsia="zh-CN"/>
        </w:rPr>
        <w:t>，指标值：&gt;=</w:t>
      </w:r>
      <w:r>
        <w:rPr>
          <w:rFonts w:hint="eastAsia" w:ascii="Times New Roman" w:hAnsi="Times New Roman" w:eastAsia="方正仿宋_GBK" w:cs="Times New Roman"/>
          <w:sz w:val="32"/>
          <w:szCs w:val="32"/>
          <w:highlight w:val="none"/>
          <w:lang w:val="en-US" w:eastAsia="zh-CN"/>
        </w:rPr>
        <w:t>98%</w:t>
      </w:r>
      <w:r>
        <w:rPr>
          <w:rFonts w:hint="default" w:ascii="Times New Roman" w:hAnsi="Times New Roman" w:eastAsia="方正仿宋_GBK" w:cs="Times New Roman"/>
          <w:sz w:val="32"/>
          <w:szCs w:val="32"/>
          <w:highlight w:val="none"/>
          <w:lang w:val="en-US" w:eastAsia="zh-CN"/>
        </w:rPr>
        <w:t>，实际完成值：</w:t>
      </w:r>
      <w:r>
        <w:rPr>
          <w:rFonts w:hint="eastAsia" w:ascii="Times New Roman" w:hAnsi="Times New Roman" w:eastAsia="方正仿宋_GBK" w:cs="Times New Roman"/>
          <w:sz w:val="32"/>
          <w:szCs w:val="32"/>
          <w:highlight w:val="none"/>
          <w:lang w:val="en-US" w:eastAsia="zh-CN"/>
        </w:rPr>
        <w:t>98%</w:t>
      </w:r>
      <w:r>
        <w:rPr>
          <w:rFonts w:hint="default" w:ascii="Times New Roman" w:hAnsi="Times New Roman" w:eastAsia="方正仿宋_GBK" w:cs="Times New Roman"/>
          <w:sz w:val="32"/>
          <w:szCs w:val="32"/>
          <w:highlight w:val="none"/>
          <w:lang w:val="en-US" w:eastAsia="zh-CN"/>
        </w:rPr>
        <w:t>，指标完成率</w:t>
      </w:r>
      <w:r>
        <w:rPr>
          <w:rFonts w:hint="eastAsia" w:ascii="Times New Roman" w:hAnsi="Times New Roman"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w:t>
      </w:r>
    </w:p>
    <w:p w14:paraId="16400349">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此项权重分值为</w:t>
      </w:r>
      <w:r>
        <w:rPr>
          <w:rFonts w:hint="eastAsia" w:ascii="Times New Roman" w:hAnsi="Times New Roman" w:eastAsia="方正仿宋_GBK" w:cs="Times New Roman"/>
          <w:sz w:val="32"/>
          <w:szCs w:val="32"/>
          <w:highlight w:val="none"/>
          <w:lang w:val="en-US" w:eastAsia="zh-CN"/>
        </w:rPr>
        <w:t>10</w:t>
      </w:r>
      <w:r>
        <w:rPr>
          <w:rFonts w:hint="default" w:ascii="Times New Roman" w:hAnsi="Times New Roman" w:eastAsia="方正仿宋_GBK" w:cs="Times New Roman"/>
          <w:sz w:val="32"/>
          <w:szCs w:val="32"/>
          <w:highlight w:val="none"/>
          <w:lang w:val="en-US" w:eastAsia="zh-CN"/>
        </w:rPr>
        <w:t>分，得分为</w:t>
      </w:r>
      <w:r>
        <w:rPr>
          <w:rFonts w:hint="eastAsia" w:ascii="Times New Roman" w:hAnsi="Times New Roman" w:eastAsia="方正仿宋_GBK" w:cs="Times New Roman"/>
          <w:sz w:val="32"/>
          <w:szCs w:val="32"/>
          <w:highlight w:val="none"/>
          <w:lang w:val="en-US" w:eastAsia="zh-CN"/>
        </w:rPr>
        <w:t>10</w:t>
      </w:r>
      <w:r>
        <w:rPr>
          <w:rFonts w:hint="default" w:ascii="Times New Roman" w:hAnsi="Times New Roman" w:eastAsia="方正仿宋_GBK" w:cs="Times New Roman"/>
          <w:sz w:val="32"/>
          <w:szCs w:val="32"/>
          <w:highlight w:val="none"/>
          <w:lang w:val="en-US" w:eastAsia="zh-CN"/>
        </w:rPr>
        <w:t>分。</w:t>
      </w:r>
    </w:p>
    <w:p w14:paraId="12B1F5AD">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14:paraId="7FEBE9AB">
      <w:pPr>
        <w:shd w:val="clear" w:fill="FFFFFF" w:themeFill="background1"/>
        <w:spacing w:line="560" w:lineRule="exact"/>
        <w:ind w:firstLine="640"/>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方正仿宋_GBK" w:cs="Times New Roman"/>
          <w:kern w:val="2"/>
          <w:sz w:val="32"/>
          <w:szCs w:val="32"/>
          <w:highlight w:val="none"/>
          <w:lang w:val="en-US" w:eastAsia="zh-CN" w:bidi="ar-SA"/>
        </w:rPr>
        <w:t>部门专项-档案事业费项目年初预算</w:t>
      </w:r>
      <w:r>
        <w:rPr>
          <w:rFonts w:hint="eastAsia" w:ascii="Times New Roman" w:hAnsi="Times New Roman" w:eastAsia="方正仿宋_GBK" w:cs="Times New Roman"/>
          <w:kern w:val="2"/>
          <w:sz w:val="32"/>
          <w:szCs w:val="32"/>
          <w:highlight w:val="none"/>
          <w:lang w:val="en-US" w:eastAsia="zh-CN" w:bidi="ar-SA"/>
        </w:rPr>
        <w:t>20.00</w:t>
      </w:r>
      <w:r>
        <w:rPr>
          <w:rFonts w:hint="default" w:ascii="Times New Roman" w:hAnsi="Times New Roman" w:eastAsia="方正仿宋_GBK" w:cs="Times New Roman"/>
          <w:kern w:val="2"/>
          <w:sz w:val="32"/>
          <w:szCs w:val="32"/>
          <w:highlight w:val="none"/>
          <w:lang w:val="en-US" w:eastAsia="zh-CN" w:bidi="ar-SA"/>
        </w:rPr>
        <w:t>万元，全年预算</w:t>
      </w:r>
      <w:r>
        <w:rPr>
          <w:rFonts w:hint="eastAsia" w:ascii="Times New Roman" w:hAnsi="Times New Roman" w:eastAsia="方正仿宋_GBK" w:cs="Times New Roman"/>
          <w:kern w:val="2"/>
          <w:sz w:val="32"/>
          <w:szCs w:val="32"/>
          <w:highlight w:val="none"/>
          <w:lang w:val="en-US" w:eastAsia="zh-CN" w:bidi="ar-SA"/>
        </w:rPr>
        <w:t>20.00</w:t>
      </w:r>
      <w:r>
        <w:rPr>
          <w:rFonts w:hint="default" w:ascii="Times New Roman" w:hAnsi="Times New Roman" w:eastAsia="方正仿宋_GBK" w:cs="Times New Roman"/>
          <w:kern w:val="2"/>
          <w:sz w:val="32"/>
          <w:szCs w:val="32"/>
          <w:highlight w:val="none"/>
          <w:lang w:val="en-US" w:eastAsia="zh-CN" w:bidi="ar-SA"/>
        </w:rPr>
        <w:t>万元，实际支出</w:t>
      </w:r>
      <w:r>
        <w:rPr>
          <w:rFonts w:hint="eastAsia" w:ascii="Times New Roman" w:hAnsi="Times New Roman" w:eastAsia="方正仿宋_GBK" w:cs="Times New Roman"/>
          <w:kern w:val="2"/>
          <w:sz w:val="32"/>
          <w:szCs w:val="32"/>
          <w:highlight w:val="none"/>
          <w:lang w:val="en-US" w:eastAsia="zh-CN" w:bidi="ar-SA"/>
        </w:rPr>
        <w:t>4.43</w:t>
      </w:r>
      <w:r>
        <w:rPr>
          <w:rFonts w:hint="default" w:ascii="Times New Roman" w:hAnsi="Times New Roman" w:eastAsia="方正仿宋_GBK" w:cs="Times New Roman"/>
          <w:kern w:val="2"/>
          <w:sz w:val="32"/>
          <w:szCs w:val="32"/>
          <w:highlight w:val="none"/>
          <w:lang w:val="en-US" w:eastAsia="zh-CN" w:bidi="ar-SA"/>
        </w:rPr>
        <w:t>万元，预算执行率为</w:t>
      </w:r>
      <w:r>
        <w:rPr>
          <w:rFonts w:hint="eastAsia" w:ascii="Times New Roman" w:hAnsi="Times New Roman" w:eastAsia="方正仿宋_GBK" w:cs="Times New Roman"/>
          <w:kern w:val="2"/>
          <w:sz w:val="32"/>
          <w:szCs w:val="32"/>
          <w:highlight w:val="none"/>
          <w:lang w:val="en-US" w:eastAsia="zh-CN" w:bidi="ar-SA"/>
        </w:rPr>
        <w:t>22.15</w:t>
      </w:r>
      <w:r>
        <w:rPr>
          <w:rFonts w:hint="default" w:ascii="Times New Roman" w:hAnsi="Times New Roman" w:eastAsia="方正仿宋_GBK" w:cs="Times New Roman"/>
          <w:kern w:val="2"/>
          <w:sz w:val="32"/>
          <w:szCs w:val="32"/>
          <w:highlight w:val="none"/>
          <w:lang w:val="en-US" w:eastAsia="zh-CN" w:bidi="ar-SA"/>
        </w:rPr>
        <w:t>%</w:t>
      </w:r>
      <w:r>
        <w:rPr>
          <w:rFonts w:hint="default" w:ascii="Times New Roman" w:hAnsi="Times New Roman" w:eastAsia="方正仿宋_GBK" w:cs="Times New Roman"/>
          <w:kern w:val="2"/>
          <w:sz w:val="32"/>
          <w:szCs w:val="32"/>
          <w:highlight w:val="none"/>
          <w:shd w:val="clear"/>
          <w:lang w:val="en-US" w:eastAsia="zh-CN" w:bidi="ar-SA"/>
        </w:rPr>
        <w:t>，</w:t>
      </w:r>
      <w:r>
        <w:rPr>
          <w:rFonts w:hint="default" w:ascii="Times New Roman" w:hAnsi="Times New Roman" w:eastAsia="方正仿宋_GBK" w:cs="Times New Roman"/>
          <w:color w:val="auto"/>
          <w:kern w:val="2"/>
          <w:sz w:val="32"/>
          <w:szCs w:val="32"/>
          <w:highlight w:val="none"/>
          <w:shd w:val="clear"/>
          <w:lang w:val="en-US" w:eastAsia="zh-CN" w:bidi="ar-SA"/>
        </w:rPr>
        <w:t>项目绩效指标总体完成率为</w:t>
      </w:r>
      <w:r>
        <w:rPr>
          <w:rFonts w:hint="eastAsia" w:ascii="Times New Roman" w:hAnsi="Times New Roman" w:eastAsia="方正仿宋_GBK" w:cs="Times New Roman"/>
          <w:color w:val="auto"/>
          <w:kern w:val="2"/>
          <w:sz w:val="32"/>
          <w:szCs w:val="32"/>
          <w:highlight w:val="none"/>
          <w:shd w:val="clear"/>
          <w:lang w:val="en-US" w:eastAsia="zh-CN" w:bidi="ar-SA"/>
        </w:rPr>
        <w:t>100.06</w:t>
      </w:r>
      <w:r>
        <w:rPr>
          <w:rFonts w:hint="default" w:ascii="Times New Roman" w:hAnsi="Times New Roman" w:eastAsia="方正仿宋_GBK" w:cs="Times New Roman"/>
          <w:color w:val="auto"/>
          <w:kern w:val="2"/>
          <w:sz w:val="32"/>
          <w:szCs w:val="32"/>
          <w:highlight w:val="none"/>
          <w:shd w:val="clear"/>
          <w:lang w:val="en-US" w:eastAsia="zh-CN" w:bidi="ar-SA"/>
        </w:rPr>
        <w:t>%，</w:t>
      </w:r>
      <w:r>
        <w:rPr>
          <w:rFonts w:hint="default" w:ascii="Times New Roman" w:hAnsi="Times New Roman" w:eastAsia="方正仿宋_GBK" w:cs="Times New Roman"/>
          <w:color w:val="auto"/>
          <w:kern w:val="2"/>
          <w:sz w:val="32"/>
          <w:szCs w:val="32"/>
          <w:highlight w:val="none"/>
          <w:shd w:val="clear"/>
          <w:lang w:val="en-US" w:eastAsia="zh-Hans" w:bidi="ar-SA"/>
        </w:rPr>
        <w:t>总体</w:t>
      </w:r>
      <w:r>
        <w:rPr>
          <w:rFonts w:hint="default" w:ascii="Times New Roman" w:hAnsi="Times New Roman" w:eastAsia="方正仿宋_GBK" w:cs="Times New Roman"/>
          <w:color w:val="auto"/>
          <w:kern w:val="2"/>
          <w:sz w:val="32"/>
          <w:szCs w:val="32"/>
          <w:highlight w:val="none"/>
          <w:shd w:val="clear" w:fill="FFFFFF" w:themeFill="background1"/>
          <w:lang w:val="en-US" w:eastAsia="zh-CN" w:bidi="ar-SA"/>
        </w:rPr>
        <w:t>偏差率为</w:t>
      </w:r>
      <w:r>
        <w:rPr>
          <w:rFonts w:hint="eastAsia" w:ascii="Times New Roman" w:hAnsi="Times New Roman" w:eastAsia="方正仿宋_GBK" w:cs="Times New Roman"/>
          <w:color w:val="auto"/>
          <w:kern w:val="2"/>
          <w:sz w:val="32"/>
          <w:szCs w:val="32"/>
          <w:highlight w:val="none"/>
          <w:shd w:val="clear" w:fill="FFFFFF" w:themeFill="background1"/>
          <w:lang w:val="en-US" w:eastAsia="zh-CN" w:bidi="ar-SA"/>
        </w:rPr>
        <w:t>77.91</w:t>
      </w:r>
      <w:r>
        <w:rPr>
          <w:rFonts w:hint="default" w:ascii="Times New Roman" w:hAnsi="Times New Roman" w:eastAsia="方正仿宋_GBK" w:cs="Times New Roman"/>
          <w:color w:val="auto"/>
          <w:kern w:val="2"/>
          <w:sz w:val="32"/>
          <w:szCs w:val="32"/>
          <w:highlight w:val="none"/>
          <w:shd w:val="clear" w:fill="FFFFFF" w:themeFill="background1"/>
          <w:lang w:val="en-US" w:eastAsia="zh-CN" w:bidi="ar-SA"/>
        </w:rPr>
        <w:t>%</w:t>
      </w:r>
      <w:r>
        <w:rPr>
          <w:rFonts w:hint="default" w:ascii="Times New Roman" w:hAnsi="Times New Roman" w:eastAsia="方正仿宋_GBK" w:cs="Times New Roman"/>
          <w:color w:val="auto"/>
          <w:kern w:val="2"/>
          <w:sz w:val="32"/>
          <w:szCs w:val="32"/>
          <w:highlight w:val="none"/>
          <w:shd w:val="clear"/>
          <w:lang w:val="en-US" w:eastAsia="zh-CN" w:bidi="ar-SA"/>
        </w:rPr>
        <w:t>，</w:t>
      </w:r>
      <w:r>
        <w:rPr>
          <w:rFonts w:hint="default" w:ascii="Times New Roman" w:hAnsi="Times New Roman" w:eastAsia="方正仿宋_GBK" w:cs="Times New Roman"/>
          <w:kern w:val="2"/>
          <w:sz w:val="32"/>
          <w:szCs w:val="32"/>
          <w:highlight w:val="none"/>
          <w:shd w:val="clear"/>
          <w:lang w:val="en-US" w:eastAsia="zh-Hans" w:bidi="ar-SA"/>
        </w:rPr>
        <w:t>偏</w:t>
      </w:r>
      <w:r>
        <w:rPr>
          <w:rFonts w:hint="default" w:ascii="Times New Roman" w:hAnsi="Times New Roman" w:eastAsia="方正仿宋_GBK" w:cs="Times New Roman"/>
          <w:kern w:val="2"/>
          <w:sz w:val="32"/>
          <w:szCs w:val="32"/>
          <w:highlight w:val="none"/>
          <w:lang w:val="en-US" w:eastAsia="zh-Hans" w:bidi="ar-SA"/>
        </w:rPr>
        <w:t>差</w:t>
      </w:r>
      <w:r>
        <w:rPr>
          <w:rFonts w:hint="default" w:ascii="Times New Roman" w:hAnsi="Times New Roman" w:eastAsia="方正仿宋_GBK" w:cs="Times New Roman"/>
          <w:kern w:val="2"/>
          <w:sz w:val="32"/>
          <w:szCs w:val="32"/>
          <w:highlight w:val="none"/>
          <w:lang w:val="en-US" w:eastAsia="zh-CN" w:bidi="ar-SA"/>
        </w:rPr>
        <w:t>原因</w:t>
      </w:r>
      <w:r>
        <w:rPr>
          <w:rFonts w:hint="eastAsia" w:ascii="Times New Roman" w:hAnsi="Times New Roman" w:eastAsia="方正仿宋_GBK" w:cs="Times New Roman"/>
          <w:kern w:val="2"/>
          <w:sz w:val="32"/>
          <w:szCs w:val="32"/>
          <w:highlight w:val="none"/>
          <w:lang w:val="en-US" w:eastAsia="zh-CN" w:bidi="ar-SA"/>
        </w:rPr>
        <w:t>1、年初“查阅档案人数”目标值设置过低，</w:t>
      </w:r>
      <w:r>
        <w:rPr>
          <w:rFonts w:hint="default" w:ascii="Times New Roman" w:hAnsi="Times New Roman" w:eastAsia="方正仿宋_GBK" w:cs="Times New Roman"/>
          <w:kern w:val="2"/>
          <w:sz w:val="32"/>
          <w:szCs w:val="32"/>
          <w:highlight w:val="none"/>
          <w:lang w:val="en-US" w:eastAsia="zh-CN" w:bidi="ar-SA"/>
        </w:rPr>
        <w:t>全年实际查阅档案人数为</w:t>
      </w:r>
      <w:r>
        <w:rPr>
          <w:rFonts w:hint="eastAsia" w:ascii="Times New Roman" w:hAnsi="Times New Roman" w:eastAsia="方正仿宋_GBK" w:cs="Times New Roman"/>
          <w:kern w:val="2"/>
          <w:sz w:val="32"/>
          <w:szCs w:val="32"/>
          <w:highlight w:val="none"/>
          <w:lang w:val="en-US" w:eastAsia="zh-CN" w:bidi="ar-SA"/>
        </w:rPr>
        <w:t>354</w:t>
      </w:r>
      <w:r>
        <w:rPr>
          <w:rFonts w:hint="default" w:ascii="Times New Roman" w:hAnsi="Times New Roman" w:eastAsia="方正仿宋_GBK" w:cs="Times New Roman"/>
          <w:kern w:val="2"/>
          <w:sz w:val="32"/>
          <w:szCs w:val="32"/>
          <w:highlight w:val="none"/>
          <w:lang w:val="en-US" w:eastAsia="zh-CN" w:bidi="ar-SA"/>
        </w:rPr>
        <w:t>人</w:t>
      </w:r>
      <w:r>
        <w:rPr>
          <w:rFonts w:hint="eastAsia" w:ascii="Times New Roman" w:hAnsi="Times New Roman" w:eastAsia="方正仿宋_GBK" w:cs="Times New Roman"/>
          <w:kern w:val="2"/>
          <w:sz w:val="32"/>
          <w:szCs w:val="32"/>
          <w:highlight w:val="none"/>
          <w:lang w:val="en-US" w:eastAsia="zh-CN" w:bidi="ar-SA"/>
        </w:rPr>
        <w:t>；2、资金支付过低，部分待支付项目正在走采购手续</w:t>
      </w:r>
      <w:r>
        <w:rPr>
          <w:rFonts w:hint="default" w:ascii="Times New Roman" w:hAnsi="Times New Roman" w:eastAsia="方正仿宋_GBK" w:cs="Times New Roman"/>
          <w:kern w:val="2"/>
          <w:sz w:val="32"/>
          <w:szCs w:val="32"/>
          <w:highlight w:val="none"/>
          <w:lang w:val="en-US" w:eastAsia="zh-CN" w:bidi="ar-SA"/>
        </w:rPr>
        <w:t>，</w:t>
      </w:r>
      <w:r>
        <w:rPr>
          <w:rFonts w:hint="default" w:ascii="Times New Roman" w:hAnsi="Times New Roman" w:eastAsia="方正仿宋_GBK" w:cs="Times New Roman"/>
          <w:kern w:val="2"/>
          <w:sz w:val="32"/>
          <w:szCs w:val="32"/>
          <w:highlight w:val="none"/>
          <w:lang w:val="en-US" w:eastAsia="zh-Hans" w:bidi="ar-SA"/>
        </w:rPr>
        <w:t>改进</w:t>
      </w:r>
      <w:r>
        <w:rPr>
          <w:rFonts w:hint="default" w:ascii="Times New Roman" w:hAnsi="Times New Roman" w:eastAsia="方正仿宋_GBK" w:cs="Times New Roman"/>
          <w:kern w:val="2"/>
          <w:sz w:val="32"/>
          <w:szCs w:val="32"/>
          <w:highlight w:val="none"/>
          <w:lang w:val="en-US" w:eastAsia="zh-CN" w:bidi="ar-SA"/>
        </w:rPr>
        <w:t>措施</w:t>
      </w:r>
      <w:r>
        <w:rPr>
          <w:rFonts w:hint="eastAsia" w:ascii="Times New Roman" w:hAnsi="Times New Roman" w:eastAsia="方正仿宋_GBK" w:cs="Times New Roman"/>
          <w:kern w:val="2"/>
          <w:sz w:val="32"/>
          <w:szCs w:val="32"/>
          <w:highlight w:val="none"/>
          <w:lang w:val="en-US" w:eastAsia="zh-CN" w:bidi="ar-SA"/>
        </w:rPr>
        <w:t>：1、根据上年查阅档案人数精准设置目标值；2、项目资金采购、支付手续尽快走完流程</w:t>
      </w:r>
      <w:r>
        <w:rPr>
          <w:rFonts w:hint="default" w:ascii="Times New Roman" w:hAnsi="Times New Roman" w:eastAsia="方正仿宋_GBK" w:cs="Times New Roman"/>
          <w:kern w:val="2"/>
          <w:sz w:val="32"/>
          <w:szCs w:val="32"/>
          <w:highlight w:val="none"/>
          <w:lang w:val="en-US" w:eastAsia="zh-CN" w:bidi="ar-SA"/>
        </w:rPr>
        <w:t>。</w:t>
      </w:r>
    </w:p>
    <w:p w14:paraId="1D2621B0">
      <w:pPr>
        <w:spacing w:line="560" w:lineRule="exact"/>
        <w:ind w:firstLine="640" w:firstLineChars="200"/>
        <w:rPr>
          <w:rStyle w:val="16"/>
          <w:rFonts w:hint="default" w:ascii="Times New Roman" w:hAnsi="Times New Roman" w:cs="Times New Roman"/>
          <w:color w:val="auto"/>
          <w:highlight w:val="none"/>
        </w:rPr>
      </w:pPr>
      <w:r>
        <w:rPr>
          <w:rFonts w:hint="default" w:ascii="Times New Roman" w:hAnsi="Times New Roman" w:eastAsia="黑体" w:cs="Times New Roman"/>
          <w:sz w:val="32"/>
          <w:szCs w:val="32"/>
          <w:highlight w:val="none"/>
          <w:lang w:val="en-US" w:eastAsia="zh-CN"/>
        </w:rPr>
        <w:t>五</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14:paraId="75829F9E">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14:paraId="5225D859">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加强组织领导，明确职责分工，切实落实到人，形成合力。将财政拨付资金纳入绩效自评范围，对绩效目标预期完成情况、项目实施情况、资金管理情况、项目管理情况，进行绩效自评，做到突出重点、适时适当、及时纠正、定期“回头看”。</w:t>
      </w:r>
    </w:p>
    <w:p w14:paraId="57CC6C8A">
      <w:pPr>
        <w:keepNext/>
        <w:keepLines/>
        <w:numPr>
          <w:ilvl w:val="0"/>
          <w:numId w:val="5"/>
        </w:num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存在的问题及原因分析</w:t>
      </w:r>
    </w:p>
    <w:p w14:paraId="170F5CFE">
      <w:pPr>
        <w:shd w:val="clear"/>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绩效理念尚未牢固树立，需加强对项目绩效整体工作的学习和认识。并根据本单位的实际情况，认真分析、完善制度、控制非必要性支出，进一步提升项目支出水平。</w:t>
      </w:r>
    </w:p>
    <w:p w14:paraId="5BD10ADC">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lang w:val="en-US" w:eastAsia="zh-CN"/>
        </w:rPr>
        <w:t>六.</w:t>
      </w:r>
      <w:r>
        <w:rPr>
          <w:rFonts w:hint="default" w:ascii="Times New Roman" w:hAnsi="Times New Roman" w:eastAsia="黑体" w:cs="Times New Roman"/>
          <w:sz w:val="32"/>
          <w:szCs w:val="32"/>
          <w:highlight w:val="none"/>
        </w:rPr>
        <w:t>有关建议</w:t>
      </w:r>
    </w:p>
    <w:p w14:paraId="33AECB9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进一步加强对绩效管理工作的组织领导，提高对预算绩效管理工作重要性的认识，针对管理层，开展战略绩效管理培训，重点讲解绩效与组织战略的关联、绩效管理在企业决策中的重要性；对普通员工，举办基础绩效管理知识讲座，通过案例分析、情景模拟等方式，帮助员工理解绩效对个人职业发展的意义。总结经验查找问题，抓紧研究制定更全面更完善的绩效评价管理办法。结合食品安全考核建立绩效工作考核制度，加大全局对全面实施预算绩效管理和绩效管理工作的学习力度，让</w:t>
      </w:r>
      <w:r>
        <w:rPr>
          <w:rFonts w:hint="eastAsia" w:ascii="Times New Roman" w:hAnsi="Times New Roman" w:eastAsia="方正仿宋_GBK" w:cs="Times New Roman"/>
          <w:sz w:val="32"/>
          <w:szCs w:val="32"/>
          <w:highlight w:val="none"/>
          <w:lang w:val="en-US" w:eastAsia="zh-CN"/>
        </w:rPr>
        <w:t>“</w:t>
      </w:r>
      <w:r>
        <w:rPr>
          <w:rFonts w:hint="default" w:ascii="Times New Roman" w:hAnsi="Times New Roman" w:eastAsia="方正仿宋_GBK" w:cs="Times New Roman"/>
          <w:sz w:val="32"/>
          <w:szCs w:val="32"/>
          <w:highlight w:val="none"/>
          <w:lang w:val="en-US" w:eastAsia="zh-CN"/>
        </w:rPr>
        <w:t>花钱必问效，无效必问责</w:t>
      </w:r>
      <w:r>
        <w:rPr>
          <w:rFonts w:hint="eastAsia" w:ascii="Times New Roman" w:hAnsi="Times New Roman" w:eastAsia="方正仿宋_GBK" w:cs="Times New Roman"/>
          <w:sz w:val="32"/>
          <w:szCs w:val="32"/>
          <w:highlight w:val="none"/>
          <w:lang w:val="en-US" w:eastAsia="zh-CN"/>
        </w:rPr>
        <w:t>”</w:t>
      </w:r>
      <w:r>
        <w:rPr>
          <w:rFonts w:hint="default" w:ascii="Times New Roman" w:hAnsi="Times New Roman" w:eastAsia="方正仿宋_GBK" w:cs="Times New Roman"/>
          <w:sz w:val="32"/>
          <w:szCs w:val="32"/>
          <w:highlight w:val="none"/>
          <w:lang w:val="en-US" w:eastAsia="zh-CN"/>
        </w:rPr>
        <w:t>的理念深入工作每个环节。</w:t>
      </w:r>
    </w:p>
    <w:p w14:paraId="5A480759">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lang w:val="en-US" w:eastAsia="zh-CN"/>
        </w:rPr>
        <w:t>七</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14:paraId="31D8C1A7">
      <w:pPr>
        <w:pStyle w:val="12"/>
        <w:spacing w:after="0" w:line="560" w:lineRule="exact"/>
        <w:ind w:left="0" w:leftChars="0" w:firstLine="640"/>
        <w:rPr>
          <w:rFonts w:hint="default"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fmt="decimal" w:start="1"/>
          <w:cols w:space="425" w:num="1"/>
          <w:docGrid w:type="lines" w:linePitch="312" w:charSpace="0"/>
        </w:sectPr>
      </w:pPr>
      <w:r>
        <w:rPr>
          <w:rFonts w:hint="default" w:ascii="Times New Roman" w:hAnsi="Times New Roman" w:eastAsia="方正仿宋_GBK" w:cs="Times New Roman"/>
          <w:kern w:val="2"/>
          <w:sz w:val="32"/>
          <w:szCs w:val="32"/>
          <w:highlight w:val="none"/>
          <w:lang w:val="en-US" w:eastAsia="zh-Hans" w:bidi="ar-SA"/>
        </w:rPr>
        <w:t>本项目无其他需说明的问题。</w:t>
      </w:r>
      <w:bookmarkStart w:id="3" w:name="_GoBack"/>
      <w:bookmarkEnd w:id="3"/>
    </w:p>
    <w:p w14:paraId="22EE8D78">
      <w:pPr>
        <w:spacing w:line="600" w:lineRule="exact"/>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附件1</w:t>
      </w:r>
    </w:p>
    <w:p w14:paraId="157D749A">
      <w:pPr>
        <w:ind w:firstLine="562"/>
        <w:jc w:val="center"/>
        <w:rPr>
          <w:rFonts w:hint="default" w:ascii="Times New Roman" w:hAnsi="Times New Roman" w:eastAsia="仿宋_GB2312" w:cs="Times New Roman"/>
          <w:sz w:val="28"/>
          <w:szCs w:val="40"/>
          <w:highlight w:val="none"/>
        </w:rPr>
      </w:pPr>
      <w:bookmarkStart w:id="1" w:name="_Toc26499_WPSOffice_Level2"/>
      <w:bookmarkStart w:id="2" w:name="_Toc30064_WPSOffice_Level1"/>
      <w:r>
        <w:rPr>
          <w:rFonts w:hint="default" w:ascii="Times New Roman" w:hAnsi="Times New Roman" w:eastAsia="仿宋_GB2312" w:cs="Times New Roman"/>
          <w:b/>
          <w:bCs/>
          <w:sz w:val="28"/>
          <w:szCs w:val="40"/>
          <w:highlight w:val="none"/>
        </w:rPr>
        <w:t>部门专项—档案事业费项目绩效评价指标体系及综合评分表</w:t>
      </w:r>
      <w:bookmarkEnd w:id="1"/>
      <w:bookmarkEnd w:id="2"/>
    </w:p>
    <w:tbl>
      <w:tblPr>
        <w:tblStyle w:val="13"/>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740"/>
        <w:gridCol w:w="680"/>
        <w:gridCol w:w="947"/>
        <w:gridCol w:w="1998"/>
        <w:gridCol w:w="6846"/>
        <w:gridCol w:w="736"/>
        <w:gridCol w:w="736"/>
      </w:tblGrid>
      <w:tr w14:paraId="1BB2AE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292" w:type="pct"/>
            <w:shd w:val="clear" w:color="auto" w:fill="FFFFFF"/>
            <w:vAlign w:val="center"/>
          </w:tcPr>
          <w:p w14:paraId="7790DBC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268" w:type="pct"/>
            <w:shd w:val="clear" w:color="auto" w:fill="FFFFFF"/>
            <w:vAlign w:val="center"/>
          </w:tcPr>
          <w:p w14:paraId="2776978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373" w:type="pct"/>
            <w:shd w:val="clear" w:color="auto" w:fill="FFFFFF"/>
            <w:vAlign w:val="center"/>
          </w:tcPr>
          <w:p w14:paraId="49FA148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787" w:type="pct"/>
            <w:shd w:val="clear" w:color="auto" w:fill="FFFFFF"/>
            <w:vAlign w:val="center"/>
          </w:tcPr>
          <w:p w14:paraId="20FE3B4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2697" w:type="pct"/>
            <w:shd w:val="clear" w:color="auto" w:fill="FFFFFF"/>
            <w:vAlign w:val="center"/>
          </w:tcPr>
          <w:p w14:paraId="3D05623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290" w:type="pct"/>
            <w:shd w:val="clear" w:color="auto" w:fill="FFFFFF"/>
            <w:vAlign w:val="center"/>
          </w:tcPr>
          <w:p w14:paraId="019263F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290" w:type="pct"/>
            <w:shd w:val="clear" w:color="auto" w:fill="FFFFFF"/>
            <w:vAlign w:val="center"/>
          </w:tcPr>
          <w:p w14:paraId="5B55373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2A732B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54" w:hRule="atLeast"/>
          <w:jc w:val="center"/>
        </w:trPr>
        <w:tc>
          <w:tcPr>
            <w:tcW w:w="292" w:type="pct"/>
            <w:vMerge w:val="restart"/>
            <w:shd w:val="clear" w:color="auto" w:fill="FFFFFF"/>
            <w:vAlign w:val="center"/>
          </w:tcPr>
          <w:p w14:paraId="6072A8F1">
            <w:pPr>
              <w:widowControl/>
              <w:spacing w:line="0" w:lineRule="atLeast"/>
              <w:jc w:val="center"/>
              <w:rPr>
                <w:rFonts w:hint="default" w:ascii="Times New Roman" w:hAnsi="Times New Roman" w:eastAsia="仿宋_GB2312" w:cs="Times New Roman"/>
                <w:color w:val="000000"/>
                <w:kern w:val="0"/>
                <w:sz w:val="18"/>
                <w:szCs w:val="18"/>
                <w:highlight w:val="none"/>
              </w:rPr>
            </w:pPr>
          </w:p>
          <w:p w14:paraId="7D17DA3E">
            <w:pPr>
              <w:widowControl/>
              <w:spacing w:line="0" w:lineRule="atLeast"/>
              <w:jc w:val="center"/>
              <w:rPr>
                <w:rFonts w:hint="default" w:ascii="Times New Roman" w:hAnsi="Times New Roman" w:eastAsia="仿宋_GB2312" w:cs="Times New Roman"/>
                <w:color w:val="000000"/>
                <w:kern w:val="0"/>
                <w:sz w:val="18"/>
                <w:szCs w:val="18"/>
                <w:highlight w:val="none"/>
              </w:rPr>
            </w:pPr>
          </w:p>
          <w:p w14:paraId="48CB8803">
            <w:pPr>
              <w:widowControl/>
              <w:spacing w:line="0" w:lineRule="atLeast"/>
              <w:jc w:val="center"/>
              <w:rPr>
                <w:rFonts w:hint="default" w:ascii="Times New Roman" w:hAnsi="Times New Roman" w:eastAsia="仿宋_GB2312" w:cs="Times New Roman"/>
                <w:color w:val="000000"/>
                <w:kern w:val="0"/>
                <w:sz w:val="18"/>
                <w:szCs w:val="18"/>
                <w:highlight w:val="none"/>
              </w:rPr>
            </w:pPr>
          </w:p>
          <w:p w14:paraId="67DDF314">
            <w:pPr>
              <w:widowControl/>
              <w:spacing w:line="0" w:lineRule="atLeast"/>
              <w:jc w:val="center"/>
              <w:rPr>
                <w:rFonts w:hint="default" w:ascii="Times New Roman" w:hAnsi="Times New Roman" w:eastAsia="仿宋_GB2312" w:cs="Times New Roman"/>
                <w:color w:val="000000"/>
                <w:kern w:val="0"/>
                <w:sz w:val="18"/>
                <w:szCs w:val="18"/>
                <w:highlight w:val="none"/>
              </w:rPr>
            </w:pPr>
          </w:p>
          <w:p w14:paraId="7EE81E08">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FCD7D3E">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619167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268" w:type="pct"/>
            <w:vMerge w:val="restart"/>
            <w:shd w:val="clear" w:color="auto" w:fill="FFFFFF"/>
            <w:vAlign w:val="center"/>
          </w:tcPr>
          <w:p w14:paraId="587B8A5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373" w:type="pct"/>
            <w:shd w:val="clear" w:color="auto" w:fill="FFFFFF"/>
            <w:vAlign w:val="center"/>
          </w:tcPr>
          <w:p w14:paraId="285E446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31EFD7F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787" w:type="pct"/>
            <w:shd w:val="clear" w:color="auto" w:fill="FFFFFF"/>
            <w:vAlign w:val="center"/>
          </w:tcPr>
          <w:p w14:paraId="4600FAA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2697" w:type="pct"/>
            <w:shd w:val="clear" w:color="auto" w:fill="FFFFFF"/>
            <w:vAlign w:val="center"/>
          </w:tcPr>
          <w:p w14:paraId="2A47B599">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290" w:type="pct"/>
            <w:shd w:val="clear" w:color="auto" w:fill="FFFFFF"/>
            <w:vAlign w:val="center"/>
          </w:tcPr>
          <w:p w14:paraId="14DEB17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290" w:type="pct"/>
            <w:shd w:val="clear" w:color="auto" w:fill="FFFFFF"/>
            <w:vAlign w:val="center"/>
          </w:tcPr>
          <w:p w14:paraId="4352731C">
            <w:pPr>
              <w:widowControl/>
              <w:spacing w:line="0" w:lineRule="atLeast"/>
              <w:jc w:val="center"/>
              <w:rPr>
                <w:rFonts w:hint="default" w:ascii="Times New Roman" w:hAnsi="Times New Roman" w:eastAsia="仿宋_GB2312" w:cs="Times New Roman"/>
                <w:b/>
                <w:bCs/>
                <w:color w:val="000000"/>
                <w:kern w:val="0"/>
                <w:sz w:val="18"/>
                <w:szCs w:val="18"/>
                <w:highlight w:val="none"/>
                <w:lang w:eastAsia="zh-CN"/>
              </w:rPr>
            </w:pPr>
            <w:r>
              <w:rPr>
                <w:rFonts w:hint="default" w:ascii="Times New Roman" w:hAnsi="Times New Roman" w:eastAsia="仿宋_GB2312" w:cs="Times New Roman"/>
                <w:b/>
                <w:bCs/>
                <w:color w:val="000000"/>
                <w:kern w:val="0"/>
                <w:sz w:val="18"/>
                <w:szCs w:val="18"/>
                <w:highlight w:val="none"/>
                <w:lang w:val="en-US" w:eastAsia="zh-CN"/>
              </w:rPr>
              <w:t>3</w:t>
            </w:r>
          </w:p>
        </w:tc>
      </w:tr>
      <w:tr w14:paraId="57A5F0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78" w:hRule="atLeast"/>
          <w:jc w:val="center"/>
        </w:trPr>
        <w:tc>
          <w:tcPr>
            <w:tcW w:w="292" w:type="pct"/>
            <w:vMerge w:val="continue"/>
            <w:shd w:val="clear" w:color="auto" w:fill="FFFFFF"/>
            <w:vAlign w:val="center"/>
          </w:tcPr>
          <w:p w14:paraId="3C0CBA51">
            <w:pPr>
              <w:spacing w:line="0" w:lineRule="atLeast"/>
              <w:jc w:val="center"/>
              <w:rPr>
                <w:rFonts w:hint="default" w:ascii="Times New Roman" w:hAnsi="Times New Roman" w:eastAsia="仿宋_GB2312" w:cs="Times New Roman"/>
                <w:color w:val="000000"/>
                <w:kern w:val="0"/>
                <w:sz w:val="18"/>
                <w:szCs w:val="18"/>
                <w:highlight w:val="none"/>
              </w:rPr>
            </w:pPr>
          </w:p>
        </w:tc>
        <w:tc>
          <w:tcPr>
            <w:tcW w:w="268" w:type="pct"/>
            <w:vMerge w:val="continue"/>
            <w:shd w:val="clear" w:color="auto" w:fill="FFFFFF"/>
            <w:vAlign w:val="center"/>
          </w:tcPr>
          <w:p w14:paraId="778B5E34">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73" w:type="pct"/>
            <w:shd w:val="clear" w:color="auto" w:fill="FFFFFF"/>
            <w:vAlign w:val="center"/>
          </w:tcPr>
          <w:p w14:paraId="3054D52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5C7A221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787" w:type="pct"/>
            <w:shd w:val="clear" w:color="auto" w:fill="FFFFFF"/>
            <w:vAlign w:val="center"/>
          </w:tcPr>
          <w:p w14:paraId="5B84D58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2697" w:type="pct"/>
            <w:shd w:val="clear" w:color="auto" w:fill="FFFFFF"/>
            <w:vAlign w:val="center"/>
          </w:tcPr>
          <w:p w14:paraId="2F2069F8">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290" w:type="pct"/>
            <w:shd w:val="clear" w:color="auto" w:fill="FFFFFF"/>
            <w:vAlign w:val="center"/>
          </w:tcPr>
          <w:p w14:paraId="2A601F2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290" w:type="pct"/>
            <w:shd w:val="clear" w:color="auto" w:fill="FFFFFF"/>
            <w:vAlign w:val="center"/>
          </w:tcPr>
          <w:p w14:paraId="0E25F9A0">
            <w:pPr>
              <w:widowControl/>
              <w:spacing w:line="0" w:lineRule="atLeast"/>
              <w:jc w:val="center"/>
              <w:rPr>
                <w:rFonts w:hint="default" w:ascii="Times New Roman" w:hAnsi="Times New Roman" w:eastAsia="仿宋_GB2312" w:cs="Times New Roman"/>
                <w:b/>
                <w:bCs/>
                <w:color w:val="000000"/>
                <w:kern w:val="0"/>
                <w:sz w:val="18"/>
                <w:szCs w:val="18"/>
                <w:highlight w:val="none"/>
                <w:lang w:eastAsia="zh-CN"/>
              </w:rPr>
            </w:pPr>
            <w:r>
              <w:rPr>
                <w:rFonts w:hint="default" w:ascii="Times New Roman" w:hAnsi="Times New Roman" w:eastAsia="仿宋_GB2312" w:cs="Times New Roman"/>
                <w:b/>
                <w:bCs/>
                <w:color w:val="000000"/>
                <w:kern w:val="0"/>
                <w:sz w:val="18"/>
                <w:szCs w:val="18"/>
                <w:highlight w:val="none"/>
                <w:lang w:val="en-US" w:eastAsia="zh-CN"/>
              </w:rPr>
              <w:t>3</w:t>
            </w:r>
          </w:p>
        </w:tc>
      </w:tr>
      <w:tr w14:paraId="269472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292" w:type="pct"/>
            <w:vMerge w:val="continue"/>
            <w:shd w:val="clear" w:color="auto" w:fill="FFFFFF"/>
            <w:vAlign w:val="center"/>
          </w:tcPr>
          <w:p w14:paraId="1F27C333">
            <w:pPr>
              <w:spacing w:line="0" w:lineRule="atLeast"/>
              <w:jc w:val="center"/>
              <w:rPr>
                <w:rFonts w:hint="default" w:ascii="Times New Roman" w:hAnsi="Times New Roman" w:eastAsia="仿宋_GB2312" w:cs="Times New Roman"/>
                <w:color w:val="000000"/>
                <w:kern w:val="0"/>
                <w:sz w:val="18"/>
                <w:szCs w:val="18"/>
                <w:highlight w:val="none"/>
              </w:rPr>
            </w:pPr>
          </w:p>
        </w:tc>
        <w:tc>
          <w:tcPr>
            <w:tcW w:w="268" w:type="pct"/>
            <w:vMerge w:val="restart"/>
            <w:shd w:val="clear" w:color="auto" w:fill="FFFFFF"/>
            <w:vAlign w:val="center"/>
          </w:tcPr>
          <w:p w14:paraId="2DA70EA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373" w:type="pct"/>
            <w:shd w:val="clear" w:color="auto" w:fill="FFFFFF"/>
            <w:vAlign w:val="center"/>
          </w:tcPr>
          <w:p w14:paraId="6DFE9CD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6484020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787" w:type="pct"/>
            <w:shd w:val="clear" w:color="000000" w:fill="FFFFFF"/>
            <w:vAlign w:val="center"/>
          </w:tcPr>
          <w:p w14:paraId="4033BD8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2697" w:type="pct"/>
            <w:shd w:val="clear" w:color="000000" w:fill="FFFFFF"/>
            <w:vAlign w:val="center"/>
          </w:tcPr>
          <w:p w14:paraId="567510BC">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3C9B84AE">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290" w:type="pct"/>
            <w:shd w:val="clear" w:color="000000" w:fill="FFFFFF"/>
            <w:vAlign w:val="center"/>
          </w:tcPr>
          <w:p w14:paraId="700B746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290" w:type="pct"/>
            <w:shd w:val="clear" w:color="000000" w:fill="FFFFFF"/>
            <w:vAlign w:val="center"/>
          </w:tcPr>
          <w:p w14:paraId="1C521EEE">
            <w:pPr>
              <w:widowControl/>
              <w:spacing w:line="0" w:lineRule="atLeast"/>
              <w:jc w:val="center"/>
              <w:rPr>
                <w:rFonts w:hint="default" w:ascii="Times New Roman" w:hAnsi="Times New Roman" w:eastAsia="仿宋_GB2312" w:cs="Times New Roman"/>
                <w:b/>
                <w:bCs/>
                <w:color w:val="000000"/>
                <w:kern w:val="0"/>
                <w:sz w:val="18"/>
                <w:szCs w:val="18"/>
                <w:highlight w:val="none"/>
                <w:lang w:eastAsia="zh-CN"/>
              </w:rPr>
            </w:pPr>
            <w:r>
              <w:rPr>
                <w:rFonts w:hint="default" w:ascii="Times New Roman" w:hAnsi="Times New Roman" w:eastAsia="仿宋_GB2312" w:cs="Times New Roman"/>
                <w:b/>
                <w:bCs/>
                <w:color w:val="000000"/>
                <w:kern w:val="0"/>
                <w:sz w:val="18"/>
                <w:szCs w:val="18"/>
                <w:highlight w:val="none"/>
                <w:lang w:val="en-US" w:eastAsia="zh-CN"/>
              </w:rPr>
              <w:t>3</w:t>
            </w:r>
          </w:p>
        </w:tc>
      </w:tr>
      <w:tr w14:paraId="0C3777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79" w:hRule="atLeast"/>
          <w:jc w:val="center"/>
        </w:trPr>
        <w:tc>
          <w:tcPr>
            <w:tcW w:w="292" w:type="pct"/>
            <w:vMerge w:val="continue"/>
            <w:shd w:val="clear" w:color="auto" w:fill="FFFFFF"/>
            <w:vAlign w:val="center"/>
          </w:tcPr>
          <w:p w14:paraId="46F40AB2">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268" w:type="pct"/>
            <w:vMerge w:val="continue"/>
            <w:shd w:val="clear" w:color="auto" w:fill="FFFFFF"/>
            <w:vAlign w:val="center"/>
          </w:tcPr>
          <w:p w14:paraId="372E88B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73" w:type="pct"/>
            <w:shd w:val="clear" w:color="auto" w:fill="FFFFFF"/>
            <w:vAlign w:val="center"/>
          </w:tcPr>
          <w:p w14:paraId="6D75D9C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3D4BEE4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787" w:type="pct"/>
            <w:shd w:val="clear" w:color="000000" w:fill="FFFFFF"/>
            <w:vAlign w:val="center"/>
          </w:tcPr>
          <w:p w14:paraId="0596A75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2697" w:type="pct"/>
            <w:shd w:val="clear" w:color="000000" w:fill="FFFFFF"/>
            <w:vAlign w:val="center"/>
          </w:tcPr>
          <w:p w14:paraId="531E15A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290" w:type="pct"/>
            <w:shd w:val="clear" w:color="000000" w:fill="FFFFFF"/>
            <w:vAlign w:val="center"/>
          </w:tcPr>
          <w:p w14:paraId="21CC5FF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290" w:type="pct"/>
            <w:shd w:val="clear" w:color="000000" w:fill="FFFFFF"/>
            <w:vAlign w:val="center"/>
          </w:tcPr>
          <w:p w14:paraId="5862122E">
            <w:pPr>
              <w:widowControl/>
              <w:spacing w:line="0" w:lineRule="atLeast"/>
              <w:jc w:val="center"/>
              <w:rPr>
                <w:rFonts w:hint="default" w:ascii="Times New Roman" w:hAnsi="Times New Roman" w:eastAsia="仿宋_GB2312" w:cs="Times New Roman"/>
                <w:b/>
                <w:bCs/>
                <w:color w:val="000000"/>
                <w:kern w:val="0"/>
                <w:sz w:val="18"/>
                <w:szCs w:val="18"/>
                <w:highlight w:val="none"/>
                <w:lang w:eastAsia="zh-CN"/>
              </w:rPr>
            </w:pPr>
            <w:r>
              <w:rPr>
                <w:rFonts w:hint="default" w:ascii="Times New Roman" w:hAnsi="Times New Roman" w:eastAsia="仿宋_GB2312" w:cs="Times New Roman"/>
                <w:b/>
                <w:bCs/>
                <w:color w:val="000000"/>
                <w:kern w:val="0"/>
                <w:sz w:val="18"/>
                <w:szCs w:val="18"/>
                <w:highlight w:val="none"/>
                <w:lang w:val="en-US" w:eastAsia="zh-CN"/>
              </w:rPr>
              <w:t>3</w:t>
            </w:r>
          </w:p>
        </w:tc>
      </w:tr>
      <w:tr w14:paraId="4C86BC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27" w:hRule="atLeast"/>
          <w:jc w:val="center"/>
        </w:trPr>
        <w:tc>
          <w:tcPr>
            <w:tcW w:w="292" w:type="pct"/>
            <w:vMerge w:val="continue"/>
            <w:shd w:val="clear" w:color="auto" w:fill="FFFFFF"/>
            <w:vAlign w:val="center"/>
          </w:tcPr>
          <w:p w14:paraId="66CCFBD2">
            <w:pPr>
              <w:spacing w:line="0" w:lineRule="atLeast"/>
              <w:jc w:val="center"/>
              <w:rPr>
                <w:rFonts w:hint="default" w:ascii="Times New Roman" w:hAnsi="Times New Roman" w:eastAsia="仿宋_GB2312" w:cs="Times New Roman"/>
                <w:color w:val="000000"/>
                <w:kern w:val="0"/>
                <w:sz w:val="18"/>
                <w:szCs w:val="18"/>
                <w:highlight w:val="none"/>
              </w:rPr>
            </w:pPr>
          </w:p>
        </w:tc>
        <w:tc>
          <w:tcPr>
            <w:tcW w:w="268" w:type="pct"/>
            <w:vMerge w:val="restart"/>
            <w:shd w:val="clear" w:color="auto" w:fill="FFFFFF"/>
            <w:vAlign w:val="center"/>
          </w:tcPr>
          <w:p w14:paraId="5A89E4D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30E552AF">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373" w:type="pct"/>
            <w:shd w:val="clear" w:color="auto" w:fill="FFFFFF"/>
            <w:vAlign w:val="center"/>
          </w:tcPr>
          <w:p w14:paraId="1572CEB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2CAB749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787" w:type="pct"/>
            <w:shd w:val="clear" w:color="auto" w:fill="FFFFFF"/>
            <w:vAlign w:val="center"/>
          </w:tcPr>
          <w:p w14:paraId="21ED433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2697" w:type="pct"/>
            <w:shd w:val="clear" w:color="auto" w:fill="FFFFFF"/>
            <w:vAlign w:val="center"/>
          </w:tcPr>
          <w:p w14:paraId="4FFC046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290" w:type="pct"/>
            <w:shd w:val="clear" w:color="auto" w:fill="FFFFFF"/>
            <w:vAlign w:val="center"/>
          </w:tcPr>
          <w:p w14:paraId="396DE65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290" w:type="pct"/>
            <w:shd w:val="clear" w:color="auto" w:fill="FFFFFF"/>
            <w:vAlign w:val="center"/>
          </w:tcPr>
          <w:p w14:paraId="5D3DACEE">
            <w:pPr>
              <w:widowControl/>
              <w:spacing w:line="0" w:lineRule="atLeast"/>
              <w:jc w:val="center"/>
              <w:rPr>
                <w:rFonts w:hint="default" w:ascii="Times New Roman" w:hAnsi="Times New Roman" w:eastAsia="仿宋_GB2312" w:cs="Times New Roman"/>
                <w:b/>
                <w:bCs/>
                <w:color w:val="000000"/>
                <w:kern w:val="0"/>
                <w:sz w:val="18"/>
                <w:szCs w:val="18"/>
                <w:highlight w:val="none"/>
                <w:lang w:eastAsia="zh-CN"/>
              </w:rPr>
            </w:pPr>
            <w:r>
              <w:rPr>
                <w:rFonts w:hint="default" w:ascii="Times New Roman" w:hAnsi="Times New Roman" w:eastAsia="仿宋_GB2312" w:cs="Times New Roman"/>
                <w:b/>
                <w:bCs/>
                <w:color w:val="000000"/>
                <w:kern w:val="0"/>
                <w:sz w:val="18"/>
                <w:szCs w:val="18"/>
                <w:highlight w:val="none"/>
                <w:lang w:val="en-US" w:eastAsia="zh-CN"/>
              </w:rPr>
              <w:t>4</w:t>
            </w:r>
          </w:p>
        </w:tc>
      </w:tr>
      <w:tr w14:paraId="3D0953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292" w:type="pct"/>
            <w:vMerge w:val="continue"/>
            <w:shd w:val="clear" w:color="auto" w:fill="FFFFFF"/>
            <w:vAlign w:val="center"/>
          </w:tcPr>
          <w:p w14:paraId="382037EB">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268" w:type="pct"/>
            <w:vMerge w:val="continue"/>
            <w:shd w:val="clear" w:color="auto" w:fill="FFFFFF"/>
            <w:vAlign w:val="center"/>
          </w:tcPr>
          <w:p w14:paraId="75251FD1">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73" w:type="pct"/>
            <w:shd w:val="clear" w:color="auto" w:fill="FFFFFF"/>
            <w:vAlign w:val="center"/>
          </w:tcPr>
          <w:p w14:paraId="4B453A8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41BB7FE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787" w:type="pct"/>
            <w:shd w:val="clear" w:color="auto" w:fill="FFFFFF"/>
            <w:vAlign w:val="center"/>
          </w:tcPr>
          <w:p w14:paraId="5A366CA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2697" w:type="pct"/>
            <w:shd w:val="clear" w:color="auto" w:fill="FFFFFF"/>
            <w:vAlign w:val="center"/>
          </w:tcPr>
          <w:p w14:paraId="4F32FB9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290" w:type="pct"/>
            <w:shd w:val="clear" w:color="auto" w:fill="FFFFFF"/>
            <w:vAlign w:val="center"/>
          </w:tcPr>
          <w:p w14:paraId="3D926DB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290" w:type="pct"/>
            <w:shd w:val="clear" w:color="auto" w:fill="FFFFFF"/>
            <w:vAlign w:val="center"/>
          </w:tcPr>
          <w:p w14:paraId="100BEB2B">
            <w:pPr>
              <w:widowControl/>
              <w:spacing w:line="0" w:lineRule="atLeast"/>
              <w:jc w:val="center"/>
              <w:rPr>
                <w:rFonts w:hint="default" w:ascii="Times New Roman" w:hAnsi="Times New Roman" w:eastAsia="仿宋_GB2312" w:cs="Times New Roman"/>
                <w:b/>
                <w:bCs/>
                <w:color w:val="000000"/>
                <w:kern w:val="0"/>
                <w:sz w:val="18"/>
                <w:szCs w:val="18"/>
                <w:highlight w:val="none"/>
                <w:lang w:eastAsia="zh-CN"/>
              </w:rPr>
            </w:pPr>
            <w:r>
              <w:rPr>
                <w:rFonts w:hint="default" w:ascii="Times New Roman" w:hAnsi="Times New Roman" w:eastAsia="仿宋_GB2312" w:cs="Times New Roman"/>
                <w:b/>
                <w:bCs/>
                <w:color w:val="000000"/>
                <w:kern w:val="0"/>
                <w:sz w:val="18"/>
                <w:szCs w:val="18"/>
                <w:highlight w:val="none"/>
                <w:lang w:val="en-US" w:eastAsia="zh-CN"/>
              </w:rPr>
              <w:t>4</w:t>
            </w:r>
          </w:p>
        </w:tc>
      </w:tr>
      <w:tr w14:paraId="1796ED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292" w:type="pct"/>
            <w:vMerge w:val="restart"/>
            <w:shd w:val="clear" w:color="auto" w:fill="FFFFFF"/>
            <w:vAlign w:val="center"/>
          </w:tcPr>
          <w:p w14:paraId="079EF0BF">
            <w:pPr>
              <w:spacing w:line="0" w:lineRule="atLeast"/>
              <w:jc w:val="center"/>
              <w:rPr>
                <w:rFonts w:hint="default" w:ascii="Times New Roman" w:hAnsi="Times New Roman" w:eastAsia="仿宋_GB2312" w:cs="Times New Roman"/>
                <w:color w:val="000000"/>
                <w:kern w:val="0"/>
                <w:sz w:val="18"/>
                <w:szCs w:val="18"/>
                <w:highlight w:val="none"/>
              </w:rPr>
            </w:pPr>
          </w:p>
          <w:p w14:paraId="0CA5FBEB">
            <w:pPr>
              <w:spacing w:line="0" w:lineRule="atLeast"/>
              <w:jc w:val="center"/>
              <w:rPr>
                <w:rFonts w:hint="default" w:ascii="Times New Roman" w:hAnsi="Times New Roman" w:eastAsia="仿宋_GB2312" w:cs="Times New Roman"/>
                <w:color w:val="000000"/>
                <w:kern w:val="0"/>
                <w:sz w:val="18"/>
                <w:szCs w:val="18"/>
                <w:highlight w:val="none"/>
              </w:rPr>
            </w:pPr>
          </w:p>
          <w:p w14:paraId="2DE91162">
            <w:pPr>
              <w:spacing w:line="0" w:lineRule="atLeast"/>
              <w:jc w:val="center"/>
              <w:rPr>
                <w:rFonts w:hint="default" w:ascii="Times New Roman" w:hAnsi="Times New Roman" w:eastAsia="仿宋_GB2312" w:cs="Times New Roman"/>
                <w:color w:val="000000"/>
                <w:kern w:val="0"/>
                <w:sz w:val="18"/>
                <w:szCs w:val="18"/>
                <w:highlight w:val="none"/>
              </w:rPr>
            </w:pPr>
          </w:p>
          <w:p w14:paraId="12EA0348">
            <w:pPr>
              <w:spacing w:line="0" w:lineRule="atLeast"/>
              <w:jc w:val="center"/>
              <w:rPr>
                <w:rFonts w:hint="default" w:ascii="Times New Roman" w:hAnsi="Times New Roman" w:eastAsia="仿宋_GB2312" w:cs="Times New Roman"/>
                <w:color w:val="000000"/>
                <w:kern w:val="0"/>
                <w:sz w:val="18"/>
                <w:szCs w:val="18"/>
                <w:highlight w:val="none"/>
              </w:rPr>
            </w:pPr>
          </w:p>
          <w:p w14:paraId="24BDCD6E">
            <w:pPr>
              <w:spacing w:line="0" w:lineRule="atLeast"/>
              <w:jc w:val="center"/>
              <w:rPr>
                <w:rFonts w:hint="default" w:ascii="Times New Roman" w:hAnsi="Times New Roman" w:eastAsia="仿宋_GB2312" w:cs="Times New Roman"/>
                <w:color w:val="000000"/>
                <w:kern w:val="0"/>
                <w:sz w:val="18"/>
                <w:szCs w:val="18"/>
                <w:highlight w:val="none"/>
              </w:rPr>
            </w:pPr>
          </w:p>
          <w:p w14:paraId="65C121D8">
            <w:pPr>
              <w:spacing w:line="0" w:lineRule="atLeast"/>
              <w:jc w:val="center"/>
              <w:rPr>
                <w:rFonts w:hint="default" w:ascii="Times New Roman" w:hAnsi="Times New Roman" w:eastAsia="仿宋_GB2312" w:cs="Times New Roman"/>
                <w:color w:val="000000"/>
                <w:kern w:val="0"/>
                <w:sz w:val="18"/>
                <w:szCs w:val="18"/>
                <w:highlight w:val="none"/>
              </w:rPr>
            </w:pPr>
          </w:p>
          <w:p w14:paraId="1A10C919">
            <w:pPr>
              <w:spacing w:line="0" w:lineRule="atLeast"/>
              <w:jc w:val="center"/>
              <w:rPr>
                <w:rFonts w:hint="default" w:ascii="Times New Roman" w:hAnsi="Times New Roman" w:eastAsia="仿宋_GB2312" w:cs="Times New Roman"/>
                <w:color w:val="000000"/>
                <w:kern w:val="0"/>
                <w:sz w:val="18"/>
                <w:szCs w:val="18"/>
                <w:highlight w:val="none"/>
              </w:rPr>
            </w:pPr>
          </w:p>
          <w:p w14:paraId="49462CCC">
            <w:pPr>
              <w:spacing w:line="0" w:lineRule="atLeast"/>
              <w:jc w:val="center"/>
              <w:rPr>
                <w:rFonts w:hint="default" w:ascii="Times New Roman" w:hAnsi="Times New Roman" w:eastAsia="仿宋_GB2312" w:cs="Times New Roman"/>
                <w:color w:val="000000"/>
                <w:kern w:val="0"/>
                <w:sz w:val="18"/>
                <w:szCs w:val="18"/>
                <w:highlight w:val="none"/>
              </w:rPr>
            </w:pPr>
          </w:p>
          <w:p w14:paraId="4A5A813E">
            <w:pPr>
              <w:spacing w:line="0" w:lineRule="atLeast"/>
              <w:jc w:val="center"/>
              <w:rPr>
                <w:rFonts w:hint="default" w:ascii="Times New Roman" w:hAnsi="Times New Roman" w:eastAsia="仿宋_GB2312" w:cs="Times New Roman"/>
                <w:color w:val="000000"/>
                <w:kern w:val="0"/>
                <w:sz w:val="18"/>
                <w:szCs w:val="18"/>
                <w:highlight w:val="none"/>
              </w:rPr>
            </w:pPr>
          </w:p>
          <w:p w14:paraId="08A764D7">
            <w:pPr>
              <w:spacing w:line="0" w:lineRule="atLeast"/>
              <w:jc w:val="center"/>
              <w:rPr>
                <w:rFonts w:hint="default" w:ascii="Times New Roman" w:hAnsi="Times New Roman" w:eastAsia="仿宋_GB2312" w:cs="Times New Roman"/>
                <w:color w:val="000000"/>
                <w:kern w:val="0"/>
                <w:sz w:val="18"/>
                <w:szCs w:val="18"/>
                <w:highlight w:val="none"/>
              </w:rPr>
            </w:pPr>
          </w:p>
          <w:p w14:paraId="562D46CE">
            <w:pPr>
              <w:spacing w:line="0" w:lineRule="atLeast"/>
              <w:jc w:val="center"/>
              <w:rPr>
                <w:rFonts w:hint="default" w:ascii="Times New Roman" w:hAnsi="Times New Roman" w:eastAsia="仿宋_GB2312" w:cs="Times New Roman"/>
                <w:color w:val="000000"/>
                <w:kern w:val="0"/>
                <w:sz w:val="18"/>
                <w:szCs w:val="18"/>
                <w:highlight w:val="none"/>
              </w:rPr>
            </w:pPr>
          </w:p>
          <w:p w14:paraId="399201DE">
            <w:pPr>
              <w:spacing w:line="0" w:lineRule="atLeast"/>
              <w:jc w:val="center"/>
              <w:rPr>
                <w:rFonts w:hint="default" w:ascii="Times New Roman" w:hAnsi="Times New Roman" w:eastAsia="仿宋_GB2312" w:cs="Times New Roman"/>
                <w:color w:val="000000"/>
                <w:kern w:val="0"/>
                <w:sz w:val="18"/>
                <w:szCs w:val="18"/>
                <w:highlight w:val="none"/>
              </w:rPr>
            </w:pPr>
          </w:p>
          <w:p w14:paraId="4EFF52A0">
            <w:pPr>
              <w:spacing w:line="0" w:lineRule="atLeast"/>
              <w:jc w:val="center"/>
              <w:rPr>
                <w:rFonts w:hint="default" w:ascii="Times New Roman" w:hAnsi="Times New Roman" w:eastAsia="仿宋_GB2312" w:cs="Times New Roman"/>
                <w:color w:val="000000"/>
                <w:kern w:val="0"/>
                <w:sz w:val="18"/>
                <w:szCs w:val="18"/>
                <w:highlight w:val="none"/>
              </w:rPr>
            </w:pPr>
          </w:p>
          <w:p w14:paraId="070E5192">
            <w:pPr>
              <w:spacing w:line="0" w:lineRule="atLeast"/>
              <w:jc w:val="center"/>
              <w:rPr>
                <w:rFonts w:hint="default" w:ascii="Times New Roman" w:hAnsi="Times New Roman" w:eastAsia="仿宋_GB2312" w:cs="Times New Roman"/>
                <w:color w:val="000000"/>
                <w:kern w:val="0"/>
                <w:sz w:val="18"/>
                <w:szCs w:val="18"/>
                <w:highlight w:val="none"/>
              </w:rPr>
            </w:pPr>
          </w:p>
          <w:p w14:paraId="71B429D5">
            <w:pPr>
              <w:spacing w:line="0" w:lineRule="atLeast"/>
              <w:jc w:val="center"/>
              <w:rPr>
                <w:rFonts w:hint="default" w:ascii="Times New Roman" w:hAnsi="Times New Roman" w:eastAsia="仿宋_GB2312" w:cs="Times New Roman"/>
                <w:color w:val="000000"/>
                <w:kern w:val="0"/>
                <w:sz w:val="18"/>
                <w:szCs w:val="18"/>
                <w:highlight w:val="none"/>
              </w:rPr>
            </w:pPr>
          </w:p>
          <w:p w14:paraId="626430C3">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522A535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268" w:type="pct"/>
            <w:vMerge w:val="restart"/>
            <w:shd w:val="clear" w:color="auto" w:fill="FFFFFF"/>
            <w:vAlign w:val="center"/>
          </w:tcPr>
          <w:p w14:paraId="3EDFA13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373" w:type="pct"/>
            <w:shd w:val="clear" w:color="auto" w:fill="FFFFFF"/>
            <w:vAlign w:val="center"/>
          </w:tcPr>
          <w:p w14:paraId="7BE51DF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787" w:type="pct"/>
            <w:shd w:val="clear" w:color="000000" w:fill="FFFFFF"/>
            <w:vAlign w:val="center"/>
          </w:tcPr>
          <w:p w14:paraId="488B3DA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2697" w:type="pct"/>
            <w:shd w:val="clear" w:color="000000" w:fill="FFFFFF"/>
            <w:vAlign w:val="center"/>
          </w:tcPr>
          <w:p w14:paraId="28BBACC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52FAA21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427BDA3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290" w:type="pct"/>
            <w:shd w:val="clear" w:color="000000" w:fill="FFFFFF"/>
            <w:vAlign w:val="center"/>
          </w:tcPr>
          <w:p w14:paraId="7A64BE5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290" w:type="pct"/>
            <w:shd w:val="clear" w:color="000000" w:fill="FFFFFF"/>
            <w:vAlign w:val="center"/>
          </w:tcPr>
          <w:p w14:paraId="7DDDFF3A">
            <w:pPr>
              <w:widowControl/>
              <w:spacing w:line="0" w:lineRule="atLeast"/>
              <w:jc w:val="center"/>
              <w:rPr>
                <w:rFonts w:hint="default" w:ascii="Times New Roman" w:hAnsi="Times New Roman" w:eastAsia="仿宋_GB2312" w:cs="Times New Roman"/>
                <w:b/>
                <w:bCs/>
                <w:color w:val="000000"/>
                <w:kern w:val="0"/>
                <w:sz w:val="18"/>
                <w:szCs w:val="18"/>
                <w:highlight w:val="none"/>
                <w:lang w:eastAsia="zh-CN"/>
              </w:rPr>
            </w:pPr>
            <w:r>
              <w:rPr>
                <w:rFonts w:hint="default" w:ascii="Times New Roman" w:hAnsi="Times New Roman" w:eastAsia="仿宋_GB2312" w:cs="Times New Roman"/>
                <w:b/>
                <w:bCs/>
                <w:color w:val="000000"/>
                <w:kern w:val="0"/>
                <w:sz w:val="18"/>
                <w:szCs w:val="18"/>
                <w:highlight w:val="none"/>
                <w:lang w:val="en-US" w:eastAsia="zh-CN"/>
              </w:rPr>
              <w:t>4</w:t>
            </w:r>
          </w:p>
        </w:tc>
      </w:tr>
      <w:tr w14:paraId="0FF174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292" w:type="pct"/>
            <w:vMerge w:val="continue"/>
            <w:shd w:val="clear" w:color="auto" w:fill="FFFFFF"/>
            <w:vAlign w:val="center"/>
          </w:tcPr>
          <w:p w14:paraId="186AB629">
            <w:pPr>
              <w:spacing w:line="0" w:lineRule="atLeast"/>
              <w:jc w:val="center"/>
              <w:rPr>
                <w:rFonts w:hint="default" w:ascii="Times New Roman" w:hAnsi="Times New Roman" w:eastAsia="仿宋_GB2312" w:cs="Times New Roman"/>
                <w:color w:val="000000"/>
                <w:kern w:val="0"/>
                <w:sz w:val="18"/>
                <w:szCs w:val="18"/>
                <w:highlight w:val="none"/>
              </w:rPr>
            </w:pPr>
          </w:p>
        </w:tc>
        <w:tc>
          <w:tcPr>
            <w:tcW w:w="268" w:type="pct"/>
            <w:vMerge w:val="continue"/>
            <w:shd w:val="clear" w:color="auto" w:fill="FFFFFF"/>
            <w:vAlign w:val="center"/>
          </w:tcPr>
          <w:p w14:paraId="1E56A519">
            <w:pPr>
              <w:spacing w:line="0" w:lineRule="atLeast"/>
              <w:jc w:val="center"/>
              <w:rPr>
                <w:rFonts w:hint="default" w:ascii="Times New Roman" w:hAnsi="Times New Roman" w:eastAsia="仿宋_GB2312" w:cs="Times New Roman"/>
                <w:color w:val="000000"/>
                <w:kern w:val="0"/>
                <w:sz w:val="18"/>
                <w:szCs w:val="18"/>
                <w:highlight w:val="none"/>
              </w:rPr>
            </w:pPr>
          </w:p>
        </w:tc>
        <w:tc>
          <w:tcPr>
            <w:tcW w:w="373" w:type="pct"/>
            <w:shd w:val="clear" w:color="auto" w:fill="FFFFFF"/>
            <w:vAlign w:val="center"/>
          </w:tcPr>
          <w:p w14:paraId="6183064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787" w:type="pct"/>
            <w:shd w:val="clear" w:color="auto" w:fill="FFFFFF"/>
            <w:vAlign w:val="center"/>
          </w:tcPr>
          <w:p w14:paraId="3681257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2697" w:type="pct"/>
            <w:shd w:val="clear" w:color="auto" w:fill="FFFFFF"/>
            <w:vAlign w:val="center"/>
          </w:tcPr>
          <w:p w14:paraId="5E6757C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290" w:type="pct"/>
            <w:shd w:val="clear" w:color="auto" w:fill="FFFFFF"/>
            <w:vAlign w:val="center"/>
          </w:tcPr>
          <w:p w14:paraId="1DDCAD2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290" w:type="pct"/>
            <w:shd w:val="clear" w:color="auto" w:fill="FFFFFF"/>
            <w:vAlign w:val="center"/>
          </w:tcPr>
          <w:p w14:paraId="09AB54A9">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0.89</w:t>
            </w:r>
          </w:p>
        </w:tc>
      </w:tr>
      <w:tr w14:paraId="04E9C9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71" w:hRule="atLeast"/>
          <w:jc w:val="center"/>
        </w:trPr>
        <w:tc>
          <w:tcPr>
            <w:tcW w:w="292" w:type="pct"/>
            <w:vMerge w:val="continue"/>
            <w:shd w:val="clear" w:color="auto" w:fill="FFFFFF"/>
            <w:vAlign w:val="center"/>
          </w:tcPr>
          <w:p w14:paraId="31B48393">
            <w:pPr>
              <w:spacing w:line="0" w:lineRule="atLeast"/>
              <w:jc w:val="center"/>
              <w:rPr>
                <w:rFonts w:hint="default" w:ascii="Times New Roman" w:hAnsi="Times New Roman" w:eastAsia="仿宋_GB2312" w:cs="Times New Roman"/>
                <w:color w:val="000000"/>
                <w:kern w:val="0"/>
                <w:sz w:val="18"/>
                <w:szCs w:val="18"/>
                <w:highlight w:val="none"/>
              </w:rPr>
            </w:pPr>
          </w:p>
        </w:tc>
        <w:tc>
          <w:tcPr>
            <w:tcW w:w="268" w:type="pct"/>
            <w:shd w:val="clear" w:color="auto" w:fill="FFFFFF"/>
            <w:vAlign w:val="center"/>
          </w:tcPr>
          <w:p w14:paraId="19CAC4C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373" w:type="pct"/>
            <w:shd w:val="clear" w:color="auto" w:fill="FFFFFF"/>
            <w:vAlign w:val="center"/>
          </w:tcPr>
          <w:p w14:paraId="64B9798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3D62C18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787" w:type="pct"/>
            <w:shd w:val="clear" w:color="000000" w:fill="FFFFFF"/>
            <w:vAlign w:val="center"/>
          </w:tcPr>
          <w:p w14:paraId="34E88D6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2697" w:type="pct"/>
            <w:shd w:val="clear" w:color="000000" w:fill="FFFFFF"/>
            <w:vAlign w:val="center"/>
          </w:tcPr>
          <w:p w14:paraId="063752A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290" w:type="pct"/>
            <w:shd w:val="clear" w:color="000000" w:fill="FFFFFF"/>
            <w:vAlign w:val="center"/>
          </w:tcPr>
          <w:p w14:paraId="5B02F14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290" w:type="pct"/>
            <w:shd w:val="clear" w:color="000000" w:fill="FFFFFF"/>
            <w:vAlign w:val="center"/>
          </w:tcPr>
          <w:p w14:paraId="011E3557">
            <w:pPr>
              <w:widowControl/>
              <w:spacing w:line="0" w:lineRule="atLeast"/>
              <w:jc w:val="center"/>
              <w:rPr>
                <w:rFonts w:hint="default" w:ascii="Times New Roman" w:hAnsi="Times New Roman" w:eastAsia="仿宋_GB2312" w:cs="Times New Roman"/>
                <w:b/>
                <w:bCs/>
                <w:color w:val="000000"/>
                <w:kern w:val="0"/>
                <w:sz w:val="18"/>
                <w:szCs w:val="18"/>
                <w:highlight w:val="none"/>
                <w:lang w:eastAsia="zh-CN"/>
              </w:rPr>
            </w:pPr>
            <w:r>
              <w:rPr>
                <w:rFonts w:hint="default" w:ascii="Times New Roman" w:hAnsi="Times New Roman" w:eastAsia="仿宋_GB2312" w:cs="Times New Roman"/>
                <w:b/>
                <w:bCs/>
                <w:color w:val="000000"/>
                <w:kern w:val="0"/>
                <w:sz w:val="18"/>
                <w:szCs w:val="18"/>
                <w:highlight w:val="none"/>
                <w:lang w:val="en-US" w:eastAsia="zh-CN"/>
              </w:rPr>
              <w:t>4</w:t>
            </w:r>
          </w:p>
        </w:tc>
      </w:tr>
      <w:tr w14:paraId="5178F3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32" w:hRule="atLeast"/>
          <w:jc w:val="center"/>
        </w:trPr>
        <w:tc>
          <w:tcPr>
            <w:tcW w:w="292" w:type="pct"/>
            <w:vMerge w:val="continue"/>
            <w:shd w:val="clear" w:color="auto" w:fill="FFFFFF"/>
            <w:vAlign w:val="center"/>
          </w:tcPr>
          <w:p w14:paraId="225FCD28">
            <w:pPr>
              <w:spacing w:line="0" w:lineRule="atLeast"/>
              <w:jc w:val="center"/>
              <w:rPr>
                <w:rFonts w:hint="default" w:ascii="Times New Roman" w:hAnsi="Times New Roman" w:eastAsia="仿宋_GB2312" w:cs="Times New Roman"/>
                <w:color w:val="000000"/>
                <w:kern w:val="0"/>
                <w:sz w:val="18"/>
                <w:szCs w:val="18"/>
                <w:highlight w:val="none"/>
              </w:rPr>
            </w:pPr>
          </w:p>
        </w:tc>
        <w:tc>
          <w:tcPr>
            <w:tcW w:w="268" w:type="pct"/>
            <w:vMerge w:val="restart"/>
            <w:shd w:val="clear" w:color="auto" w:fill="FFFFFF"/>
            <w:vAlign w:val="center"/>
          </w:tcPr>
          <w:p w14:paraId="2C56D51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79DF0B1C">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373" w:type="pct"/>
            <w:shd w:val="clear" w:color="auto" w:fill="FFFFFF"/>
            <w:vAlign w:val="center"/>
          </w:tcPr>
          <w:p w14:paraId="7F0A3F7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66F87C8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787" w:type="pct"/>
            <w:shd w:val="clear" w:color="000000" w:fill="FFFFFF"/>
            <w:vAlign w:val="center"/>
          </w:tcPr>
          <w:p w14:paraId="4ED57F0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2697" w:type="pct"/>
            <w:shd w:val="clear" w:color="000000" w:fill="FFFFFF"/>
            <w:vAlign w:val="center"/>
          </w:tcPr>
          <w:p w14:paraId="5BE2D15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290" w:type="pct"/>
            <w:shd w:val="clear" w:color="000000" w:fill="FFFFFF"/>
            <w:vAlign w:val="center"/>
          </w:tcPr>
          <w:p w14:paraId="6D5CC36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290" w:type="pct"/>
            <w:shd w:val="clear" w:color="000000" w:fill="FFFFFF"/>
            <w:vAlign w:val="center"/>
          </w:tcPr>
          <w:p w14:paraId="50502605">
            <w:pPr>
              <w:widowControl/>
              <w:spacing w:line="0" w:lineRule="atLeast"/>
              <w:jc w:val="center"/>
              <w:rPr>
                <w:rFonts w:hint="default" w:ascii="Times New Roman" w:hAnsi="Times New Roman" w:eastAsia="仿宋_GB2312" w:cs="Times New Roman"/>
                <w:b/>
                <w:bCs/>
                <w:color w:val="000000"/>
                <w:kern w:val="0"/>
                <w:sz w:val="18"/>
                <w:szCs w:val="18"/>
                <w:highlight w:val="none"/>
                <w:lang w:eastAsia="zh-CN"/>
              </w:rPr>
            </w:pPr>
            <w:r>
              <w:rPr>
                <w:rFonts w:hint="default" w:ascii="Times New Roman" w:hAnsi="Times New Roman" w:eastAsia="仿宋_GB2312" w:cs="Times New Roman"/>
                <w:b/>
                <w:bCs/>
                <w:color w:val="000000"/>
                <w:kern w:val="0"/>
                <w:sz w:val="18"/>
                <w:szCs w:val="18"/>
                <w:highlight w:val="none"/>
                <w:lang w:val="en-US" w:eastAsia="zh-CN"/>
              </w:rPr>
              <w:t>4</w:t>
            </w:r>
          </w:p>
        </w:tc>
      </w:tr>
      <w:tr w14:paraId="3099D9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292" w:type="pct"/>
            <w:vMerge w:val="continue"/>
            <w:shd w:val="clear" w:color="auto" w:fill="FFFFFF"/>
            <w:vAlign w:val="center"/>
          </w:tcPr>
          <w:p w14:paraId="39106AE4">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268" w:type="pct"/>
            <w:vMerge w:val="continue"/>
            <w:shd w:val="clear" w:color="auto" w:fill="FFFFFF"/>
            <w:vAlign w:val="center"/>
          </w:tcPr>
          <w:p w14:paraId="454BD4C5">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73" w:type="pct"/>
            <w:shd w:val="clear" w:color="auto" w:fill="FFFFFF"/>
            <w:vAlign w:val="center"/>
          </w:tcPr>
          <w:p w14:paraId="0393C90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4B0F4CA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787" w:type="pct"/>
            <w:shd w:val="clear" w:color="000000" w:fill="FFFFFF"/>
            <w:vAlign w:val="center"/>
          </w:tcPr>
          <w:p w14:paraId="191EDFB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2697" w:type="pct"/>
            <w:shd w:val="clear" w:color="000000" w:fill="FFFFFF"/>
            <w:vAlign w:val="center"/>
          </w:tcPr>
          <w:p w14:paraId="5E4B8D1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290" w:type="pct"/>
            <w:shd w:val="clear" w:color="000000" w:fill="FFFFFF"/>
            <w:vAlign w:val="center"/>
          </w:tcPr>
          <w:p w14:paraId="0E74A28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290" w:type="pct"/>
            <w:shd w:val="clear" w:color="000000" w:fill="FFFFFF"/>
            <w:vAlign w:val="center"/>
          </w:tcPr>
          <w:p w14:paraId="6CBB9C19">
            <w:pPr>
              <w:widowControl/>
              <w:spacing w:line="0" w:lineRule="atLeast"/>
              <w:jc w:val="center"/>
              <w:rPr>
                <w:rFonts w:hint="default" w:ascii="Times New Roman" w:hAnsi="Times New Roman" w:eastAsia="仿宋_GB2312" w:cs="Times New Roman"/>
                <w:b/>
                <w:bCs/>
                <w:color w:val="000000"/>
                <w:kern w:val="0"/>
                <w:sz w:val="18"/>
                <w:szCs w:val="18"/>
                <w:highlight w:val="none"/>
                <w:lang w:eastAsia="zh-CN"/>
              </w:rPr>
            </w:pPr>
            <w:r>
              <w:rPr>
                <w:rFonts w:hint="default" w:ascii="Times New Roman" w:hAnsi="Times New Roman" w:eastAsia="仿宋_GB2312" w:cs="Times New Roman"/>
                <w:b/>
                <w:bCs/>
                <w:color w:val="000000"/>
                <w:kern w:val="0"/>
                <w:sz w:val="18"/>
                <w:szCs w:val="18"/>
                <w:highlight w:val="none"/>
                <w:lang w:val="en-US" w:eastAsia="zh-CN"/>
              </w:rPr>
              <w:t>4</w:t>
            </w:r>
          </w:p>
        </w:tc>
      </w:tr>
      <w:tr w14:paraId="28392C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292" w:type="pct"/>
            <w:vMerge w:val="restart"/>
            <w:shd w:val="clear" w:color="auto" w:fill="FFFFFF"/>
            <w:vAlign w:val="center"/>
          </w:tcPr>
          <w:p w14:paraId="4AAB069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268" w:type="pct"/>
            <w:shd w:val="clear" w:color="auto" w:fill="FFFFFF"/>
            <w:vAlign w:val="center"/>
          </w:tcPr>
          <w:p w14:paraId="2561E2F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373" w:type="pct"/>
            <w:shd w:val="clear" w:color="auto" w:fill="FFFFFF"/>
            <w:vAlign w:val="center"/>
          </w:tcPr>
          <w:p w14:paraId="7E66E6A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787" w:type="pct"/>
            <w:shd w:val="clear" w:color="000000" w:fill="FFFFFF"/>
            <w:vAlign w:val="center"/>
          </w:tcPr>
          <w:p w14:paraId="1E64B8E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2697" w:type="pct"/>
            <w:shd w:val="clear" w:color="000000" w:fill="FFFFFF"/>
            <w:vAlign w:val="center"/>
          </w:tcPr>
          <w:p w14:paraId="70490FA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290" w:type="pct"/>
            <w:shd w:val="clear" w:color="000000" w:fill="FFFFFF"/>
            <w:vAlign w:val="center"/>
          </w:tcPr>
          <w:p w14:paraId="5BAB1D1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290" w:type="pct"/>
            <w:shd w:val="clear" w:color="000000" w:fill="FFFFFF"/>
            <w:vAlign w:val="center"/>
          </w:tcPr>
          <w:p w14:paraId="47F3E944">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default" w:ascii="Times New Roman" w:hAnsi="Times New Roman" w:eastAsia="仿宋_GB2312" w:cs="Times New Roman"/>
                <w:b/>
                <w:bCs/>
                <w:color w:val="000000"/>
                <w:kern w:val="0"/>
                <w:sz w:val="18"/>
                <w:szCs w:val="18"/>
                <w:highlight w:val="none"/>
                <w:lang w:val="en-US" w:eastAsia="zh-CN"/>
              </w:rPr>
              <w:t>10</w:t>
            </w:r>
          </w:p>
        </w:tc>
      </w:tr>
      <w:tr w14:paraId="1762D2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292" w:type="pct"/>
            <w:vMerge w:val="continue"/>
            <w:shd w:val="clear" w:color="auto" w:fill="FFFFFF"/>
            <w:vAlign w:val="center"/>
          </w:tcPr>
          <w:p w14:paraId="2F715C82">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268" w:type="pct"/>
            <w:shd w:val="clear" w:color="auto" w:fill="FFFFFF"/>
            <w:vAlign w:val="center"/>
          </w:tcPr>
          <w:p w14:paraId="3C03C07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373" w:type="pct"/>
            <w:shd w:val="clear" w:color="auto" w:fill="FFFFFF"/>
            <w:vAlign w:val="center"/>
          </w:tcPr>
          <w:p w14:paraId="23999A4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787" w:type="pct"/>
            <w:shd w:val="clear" w:color="000000" w:fill="FFFFFF"/>
            <w:vAlign w:val="center"/>
          </w:tcPr>
          <w:p w14:paraId="7AA9EC7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2697" w:type="pct"/>
            <w:shd w:val="clear" w:color="000000" w:fill="FFFFFF"/>
            <w:vAlign w:val="center"/>
          </w:tcPr>
          <w:p w14:paraId="7EAC826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6548768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290" w:type="pct"/>
            <w:shd w:val="clear" w:color="000000" w:fill="FFFFFF"/>
            <w:vAlign w:val="center"/>
          </w:tcPr>
          <w:p w14:paraId="5ED1302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290" w:type="pct"/>
            <w:shd w:val="clear" w:color="000000" w:fill="FFFFFF"/>
            <w:vAlign w:val="center"/>
          </w:tcPr>
          <w:p w14:paraId="7F5C3959">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default" w:ascii="Times New Roman" w:hAnsi="Times New Roman" w:eastAsia="仿宋_GB2312" w:cs="Times New Roman"/>
                <w:b/>
                <w:bCs/>
                <w:color w:val="000000"/>
                <w:kern w:val="0"/>
                <w:sz w:val="18"/>
                <w:szCs w:val="18"/>
                <w:highlight w:val="none"/>
                <w:lang w:val="en-US" w:eastAsia="zh-CN"/>
              </w:rPr>
              <w:t>10</w:t>
            </w:r>
          </w:p>
        </w:tc>
      </w:tr>
      <w:tr w14:paraId="514C7C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292" w:type="pct"/>
            <w:vMerge w:val="continue"/>
            <w:shd w:val="clear" w:color="auto" w:fill="FFFFFF"/>
            <w:vAlign w:val="center"/>
          </w:tcPr>
          <w:p w14:paraId="66DAE3A5">
            <w:pPr>
              <w:spacing w:line="0" w:lineRule="atLeast"/>
              <w:jc w:val="center"/>
              <w:rPr>
                <w:rFonts w:hint="default" w:ascii="Times New Roman" w:hAnsi="Times New Roman" w:eastAsia="仿宋_GB2312" w:cs="Times New Roman"/>
                <w:color w:val="000000"/>
                <w:kern w:val="0"/>
                <w:sz w:val="18"/>
                <w:szCs w:val="18"/>
                <w:highlight w:val="none"/>
              </w:rPr>
            </w:pPr>
          </w:p>
        </w:tc>
        <w:tc>
          <w:tcPr>
            <w:tcW w:w="268" w:type="pct"/>
            <w:shd w:val="clear" w:color="auto" w:fill="FFFFFF"/>
            <w:vAlign w:val="center"/>
          </w:tcPr>
          <w:p w14:paraId="5C5DD607">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373" w:type="pct"/>
            <w:shd w:val="clear" w:color="auto" w:fill="FFFFFF"/>
            <w:vAlign w:val="center"/>
          </w:tcPr>
          <w:p w14:paraId="4C7F6E5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787" w:type="pct"/>
            <w:shd w:val="clear" w:color="000000" w:fill="FFFFFF"/>
            <w:vAlign w:val="center"/>
          </w:tcPr>
          <w:p w14:paraId="6F44ECF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2697" w:type="pct"/>
            <w:shd w:val="clear" w:color="000000" w:fill="FFFFFF"/>
            <w:vAlign w:val="center"/>
          </w:tcPr>
          <w:p w14:paraId="28827BB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290" w:type="pct"/>
            <w:shd w:val="clear" w:color="000000" w:fill="FFFFFF"/>
            <w:vAlign w:val="center"/>
          </w:tcPr>
          <w:p w14:paraId="50DDD0E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290" w:type="pct"/>
            <w:shd w:val="clear" w:color="000000" w:fill="FFFFFF"/>
            <w:vAlign w:val="center"/>
          </w:tcPr>
          <w:p w14:paraId="7F900212">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default" w:ascii="Times New Roman" w:hAnsi="Times New Roman" w:eastAsia="仿宋_GB2312" w:cs="Times New Roman"/>
                <w:b/>
                <w:bCs/>
                <w:color w:val="000000"/>
                <w:kern w:val="0"/>
                <w:sz w:val="18"/>
                <w:szCs w:val="18"/>
                <w:highlight w:val="none"/>
                <w:lang w:val="en-US" w:eastAsia="zh-CN"/>
              </w:rPr>
              <w:t>10</w:t>
            </w:r>
          </w:p>
        </w:tc>
      </w:tr>
      <w:tr w14:paraId="3F6103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292" w:type="pct"/>
            <w:vMerge w:val="continue"/>
            <w:shd w:val="clear" w:color="auto" w:fill="FFFFFF"/>
            <w:vAlign w:val="center"/>
          </w:tcPr>
          <w:p w14:paraId="7BE9299D">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268" w:type="pct"/>
            <w:shd w:val="clear" w:color="auto" w:fill="FFFFFF"/>
            <w:vAlign w:val="center"/>
          </w:tcPr>
          <w:p w14:paraId="2EE099D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373" w:type="pct"/>
            <w:shd w:val="clear" w:color="auto" w:fill="FFFFFF"/>
            <w:vAlign w:val="center"/>
          </w:tcPr>
          <w:p w14:paraId="79AA04F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787" w:type="pct"/>
            <w:shd w:val="clear" w:color="000000" w:fill="FFFFFF"/>
            <w:vAlign w:val="center"/>
          </w:tcPr>
          <w:p w14:paraId="3A5FEC7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2697" w:type="pct"/>
            <w:shd w:val="clear" w:color="000000" w:fill="FFFFFF"/>
            <w:vAlign w:val="center"/>
          </w:tcPr>
          <w:p w14:paraId="6F7E67F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290" w:type="pct"/>
            <w:shd w:val="clear" w:color="000000" w:fill="FFFFFF"/>
            <w:vAlign w:val="center"/>
          </w:tcPr>
          <w:p w14:paraId="1ABBBB5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290" w:type="pct"/>
            <w:shd w:val="clear" w:color="000000" w:fill="FFFFFF"/>
            <w:vAlign w:val="center"/>
          </w:tcPr>
          <w:p w14:paraId="2F0A7101">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default" w:ascii="Times New Roman" w:hAnsi="Times New Roman" w:eastAsia="仿宋_GB2312" w:cs="Times New Roman"/>
                <w:b/>
                <w:bCs/>
                <w:color w:val="000000"/>
                <w:kern w:val="0"/>
                <w:sz w:val="18"/>
                <w:szCs w:val="18"/>
                <w:highlight w:val="none"/>
                <w:lang w:val="en-US" w:eastAsia="zh-CN"/>
              </w:rPr>
              <w:t>7.6</w:t>
            </w:r>
            <w:r>
              <w:rPr>
                <w:rFonts w:hint="eastAsia" w:eastAsia="仿宋_GB2312" w:cs="Times New Roman"/>
                <w:b/>
                <w:bCs/>
                <w:color w:val="000000"/>
                <w:kern w:val="0"/>
                <w:sz w:val="18"/>
                <w:szCs w:val="18"/>
                <w:highlight w:val="none"/>
                <w:lang w:val="en-US" w:eastAsia="zh-CN"/>
              </w:rPr>
              <w:t>6</w:t>
            </w:r>
          </w:p>
        </w:tc>
      </w:tr>
      <w:tr w14:paraId="4D1FB0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292" w:type="pct"/>
            <w:vMerge w:val="restart"/>
            <w:shd w:val="clear" w:color="auto" w:fill="FFFFFF"/>
            <w:vAlign w:val="center"/>
          </w:tcPr>
          <w:p w14:paraId="102A070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268" w:type="pct"/>
            <w:vMerge w:val="restart"/>
            <w:shd w:val="clear" w:color="auto" w:fill="FFFFFF"/>
            <w:vAlign w:val="center"/>
          </w:tcPr>
          <w:p w14:paraId="5642277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373" w:type="pct"/>
            <w:shd w:val="clear" w:color="auto" w:fill="FFFFFF"/>
            <w:vAlign w:val="center"/>
          </w:tcPr>
          <w:p w14:paraId="4905FDF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787" w:type="pct"/>
            <w:shd w:val="clear" w:color="auto" w:fill="FFFFFF"/>
            <w:vAlign w:val="center"/>
          </w:tcPr>
          <w:p w14:paraId="766D1379">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2697" w:type="pct"/>
            <w:shd w:val="clear" w:color="auto" w:fill="FFFFFF"/>
            <w:vAlign w:val="center"/>
          </w:tcPr>
          <w:p w14:paraId="5812AE5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290" w:type="pct"/>
            <w:shd w:val="clear" w:color="auto" w:fill="FFFFFF"/>
            <w:vAlign w:val="center"/>
          </w:tcPr>
          <w:p w14:paraId="1680949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290" w:type="pct"/>
            <w:shd w:val="clear" w:color="auto" w:fill="FFFFFF"/>
            <w:vAlign w:val="center"/>
          </w:tcPr>
          <w:p w14:paraId="0FB628BF">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default" w:ascii="Times New Roman" w:hAnsi="Times New Roman" w:eastAsia="仿宋_GB2312" w:cs="Times New Roman"/>
                <w:b/>
                <w:bCs/>
                <w:color w:val="000000"/>
                <w:kern w:val="0"/>
                <w:sz w:val="18"/>
                <w:szCs w:val="18"/>
                <w:highlight w:val="none"/>
                <w:lang w:val="en-US" w:eastAsia="zh-CN"/>
              </w:rPr>
              <w:t>10</w:t>
            </w:r>
          </w:p>
        </w:tc>
      </w:tr>
      <w:tr w14:paraId="3C39A0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292" w:type="pct"/>
            <w:vMerge w:val="continue"/>
            <w:shd w:val="clear" w:color="auto" w:fill="FFFFFF"/>
            <w:vAlign w:val="center"/>
          </w:tcPr>
          <w:p w14:paraId="205373DE">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268" w:type="pct"/>
            <w:vMerge w:val="continue"/>
            <w:shd w:val="clear" w:color="auto" w:fill="FFFFFF"/>
            <w:vAlign w:val="center"/>
          </w:tcPr>
          <w:p w14:paraId="2887E38F">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73" w:type="pct"/>
            <w:shd w:val="clear" w:color="auto" w:fill="FFFFFF"/>
            <w:vAlign w:val="center"/>
          </w:tcPr>
          <w:p w14:paraId="7454DD9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787" w:type="pct"/>
            <w:shd w:val="clear" w:color="000000" w:fill="FFFFFF"/>
            <w:vAlign w:val="center"/>
          </w:tcPr>
          <w:p w14:paraId="4A9C17A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2697" w:type="pct"/>
            <w:shd w:val="clear" w:color="000000" w:fill="FFFFFF"/>
            <w:vAlign w:val="center"/>
          </w:tcPr>
          <w:p w14:paraId="4B0FDC2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290" w:type="pct"/>
            <w:shd w:val="clear" w:color="000000" w:fill="FFFFFF"/>
            <w:vAlign w:val="center"/>
          </w:tcPr>
          <w:p w14:paraId="77A7E76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290" w:type="pct"/>
            <w:shd w:val="clear" w:color="000000" w:fill="FFFFFF"/>
            <w:vAlign w:val="center"/>
          </w:tcPr>
          <w:p w14:paraId="7451AC89">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default" w:ascii="Times New Roman" w:hAnsi="Times New Roman" w:eastAsia="仿宋_GB2312" w:cs="Times New Roman"/>
                <w:b/>
                <w:bCs/>
                <w:color w:val="000000"/>
                <w:kern w:val="0"/>
                <w:sz w:val="18"/>
                <w:szCs w:val="18"/>
                <w:highlight w:val="none"/>
                <w:lang w:val="en-US" w:eastAsia="zh-CN"/>
              </w:rPr>
              <w:t>10</w:t>
            </w:r>
          </w:p>
        </w:tc>
      </w:tr>
    </w:tbl>
    <w:p w14:paraId="7106960D">
      <w:pPr>
        <w:rPr>
          <w:rFonts w:hint="default" w:ascii="Times New Roman" w:hAnsi="Times New Roman" w:cs="Times New Roman"/>
          <w:highlight w:val="none"/>
        </w:rPr>
        <w:sectPr>
          <w:pgSz w:w="16838" w:h="11906" w:orient="landscape"/>
          <w:pgMar w:top="1800" w:right="1440" w:bottom="1558" w:left="1440" w:header="851" w:footer="992" w:gutter="0"/>
          <w:pgNumType w:fmt="decimal"/>
          <w:cols w:space="425" w:num="1"/>
          <w:docGrid w:type="lines" w:linePitch="312" w:charSpace="0"/>
        </w:sectPr>
      </w:pPr>
    </w:p>
    <w:p w14:paraId="36230E2F">
      <w:pPr>
        <w:spacing w:line="600" w:lineRule="exact"/>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附件2</w:t>
      </w:r>
    </w:p>
    <w:p w14:paraId="45921F9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8"/>
          <w:szCs w:val="28"/>
          <w:highlight w:val="none"/>
          <w:u w:val="none"/>
          <w:lang w:val="en-US" w:eastAsia="zh-CN" w:bidi="ar"/>
        </w:rPr>
      </w:pPr>
      <w:r>
        <w:rPr>
          <w:rFonts w:hint="default" w:ascii="Times New Roman" w:hAnsi="Times New Roman" w:eastAsia="仿宋_GB2312" w:cs="Times New Roman"/>
          <w:b/>
          <w:bCs/>
          <w:i w:val="0"/>
          <w:iCs w:val="0"/>
          <w:color w:val="000000"/>
          <w:kern w:val="0"/>
          <w:sz w:val="28"/>
          <w:szCs w:val="28"/>
          <w:highlight w:val="none"/>
          <w:u w:val="none"/>
          <w:lang w:val="en-US" w:eastAsia="zh-CN" w:bidi="ar"/>
        </w:rPr>
        <w:t>项目支出绩效自评表</w:t>
      </w:r>
    </w:p>
    <w:p w14:paraId="30286E0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highlight w:val="none"/>
          <w:u w:val="none"/>
          <w:lang w:val="en-US" w:eastAsia="zh-CN" w:bidi="ar"/>
        </w:rPr>
      </w:pPr>
      <w:r>
        <w:rPr>
          <w:rFonts w:hint="default" w:ascii="Times New Roman" w:hAnsi="Times New Roman" w:eastAsia="仿宋_GB2312" w:cs="Times New Roman"/>
          <w:b/>
          <w:bCs/>
          <w:i w:val="0"/>
          <w:iCs w:val="0"/>
          <w:color w:val="000000"/>
          <w:kern w:val="0"/>
          <w:sz w:val="22"/>
          <w:szCs w:val="22"/>
          <w:highlight w:val="none"/>
          <w:u w:val="none"/>
          <w:lang w:val="en-US" w:eastAsia="zh-CN" w:bidi="ar"/>
        </w:rPr>
        <w:t>（ 2024年度）</w:t>
      </w: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4"/>
        <w:gridCol w:w="1105"/>
        <w:gridCol w:w="773"/>
        <w:gridCol w:w="1513"/>
        <w:gridCol w:w="1125"/>
        <w:gridCol w:w="909"/>
        <w:gridCol w:w="957"/>
        <w:gridCol w:w="774"/>
        <w:gridCol w:w="774"/>
        <w:gridCol w:w="774"/>
        <w:gridCol w:w="775"/>
        <w:gridCol w:w="774"/>
        <w:gridCol w:w="775"/>
        <w:gridCol w:w="2042"/>
      </w:tblGrid>
      <w:tr w14:paraId="22665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F6A1F6">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373EA1F">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部门专项-档案事业费</w:t>
            </w:r>
          </w:p>
        </w:tc>
      </w:tr>
      <w:tr w14:paraId="5779B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91F5C0">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主管部门</w:t>
            </w:r>
          </w:p>
        </w:tc>
        <w:tc>
          <w:tcPr>
            <w:tcW w:w="527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35F3EC4">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库尔勒市档案史志局</w:t>
            </w:r>
          </w:p>
        </w:tc>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676BEF">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实施单位</w:t>
            </w:r>
          </w:p>
        </w:tc>
        <w:tc>
          <w:tcPr>
            <w:tcW w:w="51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62DFA5">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库尔勒市档案史志局</w:t>
            </w:r>
          </w:p>
        </w:tc>
      </w:tr>
      <w:tr w14:paraId="25744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78E9B8">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项目资金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（万元）</w:t>
            </w:r>
          </w:p>
        </w:tc>
        <w:tc>
          <w:tcPr>
            <w:tcW w:w="22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590FCC">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D0BD3">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年初预算数</w:t>
            </w:r>
          </w:p>
        </w:tc>
        <w:tc>
          <w:tcPr>
            <w:tcW w:w="18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CB1697">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全年预算数</w:t>
            </w:r>
          </w:p>
        </w:tc>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28EC51">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全年执行数</w:t>
            </w:r>
          </w:p>
        </w:tc>
        <w:tc>
          <w:tcPr>
            <w:tcW w:w="15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F1C1B8">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c>
          <w:tcPr>
            <w:tcW w:w="15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366DA0">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执行率</w:t>
            </w: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A709A">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得分</w:t>
            </w:r>
          </w:p>
        </w:tc>
      </w:tr>
      <w:tr w14:paraId="5D756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3297F">
            <w:pPr>
              <w:jc w:val="center"/>
              <w:rPr>
                <w:rFonts w:hint="default" w:ascii="Times New Roman" w:hAnsi="Times New Roman" w:eastAsia="仿宋_GB2312" w:cs="Times New Roman"/>
                <w:i w:val="0"/>
                <w:iCs w:val="0"/>
                <w:color w:val="000000"/>
                <w:sz w:val="18"/>
                <w:szCs w:val="18"/>
                <w:highlight w:val="none"/>
                <w:u w:val="none"/>
              </w:rPr>
            </w:pPr>
          </w:p>
        </w:tc>
        <w:tc>
          <w:tcPr>
            <w:tcW w:w="22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12C603">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年度资金总额</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89F2C">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20.00</w:t>
            </w:r>
          </w:p>
        </w:tc>
        <w:tc>
          <w:tcPr>
            <w:tcW w:w="18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96BF02">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20.00</w:t>
            </w:r>
          </w:p>
        </w:tc>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E4AD01">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4.43</w:t>
            </w:r>
          </w:p>
        </w:tc>
        <w:tc>
          <w:tcPr>
            <w:tcW w:w="15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39F35E">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5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D398FB">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22.15%</w:t>
            </w: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FD6D0">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0.00</w:t>
            </w:r>
          </w:p>
        </w:tc>
      </w:tr>
      <w:tr w14:paraId="32165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9F03F">
            <w:pPr>
              <w:jc w:val="center"/>
              <w:rPr>
                <w:rFonts w:hint="default" w:ascii="Times New Roman" w:hAnsi="Times New Roman" w:eastAsia="仿宋_GB2312" w:cs="Times New Roman"/>
                <w:i w:val="0"/>
                <w:iCs w:val="0"/>
                <w:color w:val="000000"/>
                <w:sz w:val="18"/>
                <w:szCs w:val="18"/>
                <w:highlight w:val="none"/>
                <w:u w:val="none"/>
              </w:rPr>
            </w:pPr>
          </w:p>
        </w:tc>
        <w:tc>
          <w:tcPr>
            <w:tcW w:w="22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25B198">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其中：当年财政拨款</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9486A">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20.00</w:t>
            </w:r>
          </w:p>
        </w:tc>
        <w:tc>
          <w:tcPr>
            <w:tcW w:w="18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FC6BF7">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20.00</w:t>
            </w:r>
          </w:p>
        </w:tc>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EB5732">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4.43</w:t>
            </w:r>
          </w:p>
        </w:tc>
        <w:tc>
          <w:tcPr>
            <w:tcW w:w="15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093147">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5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3A7D55">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522C0">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r>
      <w:tr w14:paraId="17B93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535287">
            <w:pPr>
              <w:jc w:val="center"/>
              <w:rPr>
                <w:rFonts w:hint="default" w:ascii="Times New Roman" w:hAnsi="Times New Roman" w:eastAsia="仿宋_GB2312" w:cs="Times New Roman"/>
                <w:i w:val="0"/>
                <w:iCs w:val="0"/>
                <w:color w:val="000000"/>
                <w:sz w:val="18"/>
                <w:szCs w:val="18"/>
                <w:highlight w:val="none"/>
                <w:u w:val="none"/>
              </w:rPr>
            </w:pPr>
          </w:p>
        </w:tc>
        <w:tc>
          <w:tcPr>
            <w:tcW w:w="2286" w:type="dxa"/>
            <w:gridSpan w:val="2"/>
            <w:tcBorders>
              <w:top w:val="single" w:color="000000" w:sz="4" w:space="0"/>
              <w:left w:val="single" w:color="000000" w:sz="4" w:space="0"/>
              <w:bottom w:val="nil"/>
              <w:right w:val="single" w:color="000000" w:sz="4" w:space="0"/>
            </w:tcBorders>
            <w:shd w:val="clear" w:color="auto" w:fill="auto"/>
            <w:vAlign w:val="center"/>
          </w:tcPr>
          <w:p w14:paraId="7DFF900D">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125" w:type="dxa"/>
            <w:tcBorders>
              <w:top w:val="single" w:color="000000" w:sz="4" w:space="0"/>
              <w:left w:val="single" w:color="000000" w:sz="4" w:space="0"/>
              <w:bottom w:val="nil"/>
              <w:right w:val="single" w:color="000000" w:sz="4" w:space="0"/>
            </w:tcBorders>
            <w:shd w:val="clear" w:color="auto" w:fill="auto"/>
            <w:vAlign w:val="center"/>
          </w:tcPr>
          <w:p w14:paraId="236AC465">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0.00</w:t>
            </w:r>
          </w:p>
        </w:tc>
        <w:tc>
          <w:tcPr>
            <w:tcW w:w="1866" w:type="dxa"/>
            <w:gridSpan w:val="2"/>
            <w:tcBorders>
              <w:top w:val="single" w:color="000000" w:sz="4" w:space="0"/>
              <w:left w:val="single" w:color="000000" w:sz="4" w:space="0"/>
              <w:bottom w:val="nil"/>
              <w:right w:val="single" w:color="000000" w:sz="4" w:space="0"/>
            </w:tcBorders>
            <w:shd w:val="clear" w:color="auto" w:fill="auto"/>
            <w:vAlign w:val="center"/>
          </w:tcPr>
          <w:p w14:paraId="4275EDAD">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0.00</w:t>
            </w:r>
          </w:p>
        </w:tc>
        <w:tc>
          <w:tcPr>
            <w:tcW w:w="1548" w:type="dxa"/>
            <w:gridSpan w:val="2"/>
            <w:tcBorders>
              <w:top w:val="single" w:color="000000" w:sz="4" w:space="0"/>
              <w:left w:val="single" w:color="000000" w:sz="4" w:space="0"/>
              <w:bottom w:val="nil"/>
              <w:right w:val="single" w:color="000000" w:sz="4" w:space="0"/>
            </w:tcBorders>
            <w:shd w:val="clear" w:color="auto" w:fill="auto"/>
            <w:vAlign w:val="center"/>
          </w:tcPr>
          <w:p w14:paraId="372EA0CE">
            <w:pPr>
              <w:jc w:val="center"/>
              <w:rPr>
                <w:highlight w:val="none"/>
              </w:rPr>
            </w:pPr>
          </w:p>
        </w:tc>
        <w:tc>
          <w:tcPr>
            <w:tcW w:w="1549" w:type="dxa"/>
            <w:gridSpan w:val="2"/>
            <w:tcBorders>
              <w:top w:val="single" w:color="000000" w:sz="4" w:space="0"/>
              <w:left w:val="single" w:color="000000" w:sz="4" w:space="0"/>
              <w:bottom w:val="nil"/>
              <w:right w:val="single" w:color="000000" w:sz="4" w:space="0"/>
            </w:tcBorders>
            <w:shd w:val="clear" w:color="auto" w:fill="auto"/>
            <w:vAlign w:val="center"/>
          </w:tcPr>
          <w:p w14:paraId="265CE533">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15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552731">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85D09">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r>
      <w:tr w14:paraId="0EA26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421A19">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年度总体目标</w:t>
            </w:r>
          </w:p>
        </w:tc>
        <w:tc>
          <w:tcPr>
            <w:tcW w:w="793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F7D7B84">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总体目标</w:t>
            </w:r>
          </w:p>
        </w:tc>
        <w:tc>
          <w:tcPr>
            <w:tcW w:w="51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C98FC7D">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总体目标完成情况</w:t>
            </w:r>
          </w:p>
        </w:tc>
      </w:tr>
      <w:tr w14:paraId="7629D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23D11">
            <w:pPr>
              <w:jc w:val="center"/>
              <w:rPr>
                <w:rFonts w:hint="default" w:ascii="Times New Roman" w:hAnsi="Times New Roman" w:eastAsia="仿宋_GB2312" w:cs="Times New Roman"/>
                <w:i w:val="0"/>
                <w:iCs w:val="0"/>
                <w:color w:val="000000"/>
                <w:sz w:val="18"/>
                <w:szCs w:val="18"/>
                <w:highlight w:val="none"/>
                <w:u w:val="none"/>
              </w:rPr>
            </w:pPr>
          </w:p>
        </w:tc>
        <w:tc>
          <w:tcPr>
            <w:tcW w:w="793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E074409">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目标1：对馆藏38000到40000卷档案进行安全、保密、保护、宣传利用等工作，保障查阅档案人员不少于200人。</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目标2：通过项目实施，有效提高档案社会利用率。</w:t>
            </w:r>
          </w:p>
        </w:tc>
        <w:tc>
          <w:tcPr>
            <w:tcW w:w="51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EFBC6A6">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项目已完成对馆藏38000卷档案进行安全、保密、保护、宣传利用等工作；对档案馆所有馆藏档案进行梳理和规整，保障日常工作有序进行。</w:t>
            </w:r>
          </w:p>
        </w:tc>
      </w:tr>
      <w:tr w14:paraId="25C9E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06E9F">
            <w:pPr>
              <w:jc w:val="center"/>
              <w:rPr>
                <w:rFonts w:hint="default" w:ascii="Times New Roman" w:hAnsi="Times New Roman" w:eastAsia="仿宋_GB2312" w:cs="Times New Roman"/>
                <w:i w:val="0"/>
                <w:iCs w:val="0"/>
                <w:color w:val="000000"/>
                <w:sz w:val="18"/>
                <w:szCs w:val="18"/>
                <w:highlight w:val="none"/>
                <w:u w:val="none"/>
                <w:lang w:val="en-US" w:eastAsia="zh-CN"/>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76F0C">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D26FF">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B746F">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D0055">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89B97">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指标值设置依据</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958A9">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上年完成值</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D5962">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指标分值权重</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F329E">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指标赋分规则</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7A6E9">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佐证资料</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5C903">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指标实际完成值</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D9DDC">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完成率</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D7BC2">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指标得分</w:t>
            </w: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F2445">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偏差原因分析及改进措施</w:t>
            </w:r>
          </w:p>
        </w:tc>
      </w:tr>
      <w:tr w14:paraId="33F50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E02720">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年度绩效指标完成情况</w:t>
            </w:r>
          </w:p>
        </w:tc>
        <w:tc>
          <w:tcPr>
            <w:tcW w:w="110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EB3CB">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773" w:type="dxa"/>
            <w:tcBorders>
              <w:top w:val="single" w:color="000000" w:sz="4" w:space="0"/>
              <w:left w:val="single" w:color="000000" w:sz="4" w:space="0"/>
              <w:bottom w:val="nil"/>
              <w:right w:val="single" w:color="000000" w:sz="4" w:space="0"/>
            </w:tcBorders>
            <w:shd w:val="clear" w:color="auto" w:fill="auto"/>
            <w:noWrap/>
            <w:vAlign w:val="center"/>
          </w:tcPr>
          <w:p w14:paraId="6F10DA4F">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513" w:type="dxa"/>
            <w:tcBorders>
              <w:top w:val="single" w:color="000000" w:sz="4" w:space="0"/>
              <w:left w:val="nil"/>
              <w:bottom w:val="single" w:color="000000" w:sz="4" w:space="0"/>
              <w:right w:val="single" w:color="000000" w:sz="4" w:space="0"/>
            </w:tcBorders>
            <w:shd w:val="clear" w:color="auto" w:fill="auto"/>
            <w:vAlign w:val="center"/>
          </w:tcPr>
          <w:p w14:paraId="00042AB2">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档案保管卷数</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9118B">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&gt;=38000卷</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04383">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历史标准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C0732">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38000卷</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00433">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2FCBE">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按照正常比例赋分</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09E85">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EA280">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=38000卷</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F97D5">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DA411">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84896">
            <w:pPr>
              <w:jc w:val="center"/>
              <w:rPr>
                <w:rFonts w:hint="default" w:ascii="Times New Roman" w:hAnsi="Times New Roman" w:eastAsia="仿宋_GB2312" w:cs="Times New Roman"/>
                <w:i w:val="0"/>
                <w:iCs w:val="0"/>
                <w:color w:val="000000"/>
                <w:sz w:val="18"/>
                <w:szCs w:val="18"/>
                <w:highlight w:val="none"/>
                <w:u w:val="none"/>
              </w:rPr>
            </w:pPr>
          </w:p>
        </w:tc>
      </w:tr>
      <w:tr w14:paraId="48495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E74CA1">
            <w:pPr>
              <w:jc w:val="center"/>
              <w:rPr>
                <w:rFonts w:hint="default" w:ascii="Times New Roman" w:hAnsi="Times New Roman" w:eastAsia="仿宋_GB2312" w:cs="Times New Roman"/>
                <w:i w:val="0"/>
                <w:iCs w:val="0"/>
                <w:color w:val="000000"/>
                <w:sz w:val="18"/>
                <w:szCs w:val="18"/>
                <w:highlight w:val="none"/>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49B18">
            <w:pPr>
              <w:jc w:val="center"/>
              <w:rPr>
                <w:rFonts w:hint="default" w:ascii="Times New Roman" w:hAnsi="Times New Roman" w:eastAsia="仿宋_GB2312" w:cs="Times New Roman"/>
                <w:i w:val="0"/>
                <w:iCs w:val="0"/>
                <w:color w:val="000000"/>
                <w:sz w:val="18"/>
                <w:szCs w:val="18"/>
                <w:highlight w:val="none"/>
                <w:u w:val="none"/>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79AB2">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46E43">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查阅档案人数</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AC1FA">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&gt;=200人</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D59B8">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历史标准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830E1">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300人</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A30FE">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FD2B6">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按照正常比例赋分</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20AC2">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3CCDD">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=354人</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DC327">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177%</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91929">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7EF06">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原因：全年实际查阅档案人数为354人。整改措施：根据上年查阅档案人数精准设置绩效指标。</w:t>
            </w:r>
          </w:p>
        </w:tc>
      </w:tr>
      <w:tr w14:paraId="52C19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A0062">
            <w:pPr>
              <w:jc w:val="center"/>
              <w:rPr>
                <w:rFonts w:hint="default" w:ascii="Times New Roman" w:hAnsi="Times New Roman" w:eastAsia="仿宋_GB2312" w:cs="Times New Roman"/>
                <w:i w:val="0"/>
                <w:iCs w:val="0"/>
                <w:color w:val="000000"/>
                <w:sz w:val="18"/>
                <w:szCs w:val="18"/>
                <w:highlight w:val="none"/>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44F08">
            <w:pPr>
              <w:jc w:val="center"/>
              <w:rPr>
                <w:rFonts w:hint="default" w:ascii="Times New Roman" w:hAnsi="Times New Roman" w:eastAsia="仿宋_GB2312" w:cs="Times New Roman"/>
                <w:i w:val="0"/>
                <w:iCs w:val="0"/>
                <w:color w:val="000000"/>
                <w:sz w:val="18"/>
                <w:szCs w:val="18"/>
                <w:highlight w:val="none"/>
                <w:u w:val="none"/>
              </w:rPr>
            </w:pPr>
          </w:p>
        </w:tc>
        <w:tc>
          <w:tcPr>
            <w:tcW w:w="773" w:type="dxa"/>
            <w:tcBorders>
              <w:top w:val="single" w:color="000000" w:sz="4" w:space="0"/>
              <w:left w:val="single" w:color="000000" w:sz="4" w:space="0"/>
              <w:bottom w:val="nil"/>
              <w:right w:val="single" w:color="000000" w:sz="4" w:space="0"/>
            </w:tcBorders>
            <w:shd w:val="clear" w:color="auto" w:fill="auto"/>
            <w:noWrap/>
            <w:vAlign w:val="center"/>
          </w:tcPr>
          <w:p w14:paraId="01B14D85">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36752">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入档档案达标率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29E8B">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0986C">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历史标准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A36CF">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95%</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099F6">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3F655">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按照正常比例赋分</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54BC8">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57BE8">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A6843">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FBD98">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C9BCA">
            <w:pPr>
              <w:jc w:val="center"/>
              <w:rPr>
                <w:rFonts w:hint="default" w:ascii="Times New Roman" w:hAnsi="Times New Roman" w:eastAsia="仿宋_GB2312" w:cs="Times New Roman"/>
                <w:b/>
                <w:bCs/>
                <w:i w:val="0"/>
                <w:iCs w:val="0"/>
                <w:color w:val="000000"/>
                <w:sz w:val="18"/>
                <w:szCs w:val="18"/>
                <w:highlight w:val="none"/>
                <w:u w:val="none"/>
              </w:rPr>
            </w:pPr>
          </w:p>
        </w:tc>
      </w:tr>
      <w:tr w14:paraId="26BC0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0EF8B">
            <w:pPr>
              <w:jc w:val="center"/>
              <w:rPr>
                <w:rFonts w:hint="default" w:ascii="Times New Roman" w:hAnsi="Times New Roman" w:eastAsia="仿宋_GB2312" w:cs="Times New Roman"/>
                <w:i w:val="0"/>
                <w:iCs w:val="0"/>
                <w:color w:val="000000"/>
                <w:sz w:val="18"/>
                <w:szCs w:val="18"/>
                <w:highlight w:val="none"/>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6A6D61">
            <w:pPr>
              <w:jc w:val="center"/>
              <w:rPr>
                <w:rFonts w:hint="default" w:ascii="Times New Roman" w:hAnsi="Times New Roman" w:eastAsia="仿宋_GB2312" w:cs="Times New Roman"/>
                <w:i w:val="0"/>
                <w:iCs w:val="0"/>
                <w:color w:val="000000"/>
                <w:sz w:val="18"/>
                <w:szCs w:val="18"/>
                <w:highlight w:val="none"/>
                <w:u w:val="none"/>
                <w:lang w:val="en-US" w:eastAsia="zh-CN"/>
              </w:rPr>
            </w:pPr>
          </w:p>
        </w:tc>
        <w:tc>
          <w:tcPr>
            <w:tcW w:w="773" w:type="dxa"/>
            <w:tcBorders>
              <w:top w:val="single" w:color="000000" w:sz="4" w:space="0"/>
              <w:left w:val="single" w:color="000000" w:sz="4" w:space="0"/>
              <w:bottom w:val="nil"/>
              <w:right w:val="single" w:color="000000" w:sz="4" w:space="0"/>
            </w:tcBorders>
            <w:shd w:val="clear" w:color="auto" w:fill="auto"/>
            <w:noWrap/>
            <w:vAlign w:val="center"/>
          </w:tcPr>
          <w:p w14:paraId="458BB9A6">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8B25E">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查阅档案及时率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33F10">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909" w:type="dxa"/>
            <w:tcBorders>
              <w:top w:val="single" w:color="000000" w:sz="4" w:space="0"/>
              <w:left w:val="single" w:color="000000" w:sz="4" w:space="0"/>
              <w:bottom w:val="nil"/>
              <w:right w:val="single" w:color="000000" w:sz="4" w:space="0"/>
            </w:tcBorders>
            <w:shd w:val="clear" w:color="auto" w:fill="auto"/>
            <w:vAlign w:val="center"/>
          </w:tcPr>
          <w:p w14:paraId="73FEE5F9">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历史标准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C1D64">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C6EE0">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E49F9">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按照正常比例赋分</w:t>
            </w:r>
          </w:p>
        </w:tc>
        <w:tc>
          <w:tcPr>
            <w:tcW w:w="774" w:type="dxa"/>
            <w:tcBorders>
              <w:top w:val="single" w:color="000000" w:sz="4" w:space="0"/>
              <w:left w:val="single" w:color="000000" w:sz="4" w:space="0"/>
              <w:bottom w:val="nil"/>
              <w:right w:val="single" w:color="000000" w:sz="4" w:space="0"/>
            </w:tcBorders>
            <w:shd w:val="clear" w:color="auto" w:fill="auto"/>
            <w:vAlign w:val="center"/>
          </w:tcPr>
          <w:p w14:paraId="342D5140">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ACEF0">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0194C">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B91E6">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B7642">
            <w:pPr>
              <w:jc w:val="center"/>
              <w:rPr>
                <w:rFonts w:hint="default" w:ascii="Times New Roman" w:hAnsi="Times New Roman" w:eastAsia="仿宋_GB2312" w:cs="Times New Roman"/>
                <w:i w:val="0"/>
                <w:iCs w:val="0"/>
                <w:color w:val="000000"/>
                <w:sz w:val="18"/>
                <w:szCs w:val="18"/>
                <w:highlight w:val="none"/>
                <w:u w:val="none"/>
              </w:rPr>
            </w:pPr>
          </w:p>
        </w:tc>
      </w:tr>
      <w:tr w14:paraId="54E36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1321D">
            <w:pPr>
              <w:jc w:val="center"/>
              <w:rPr>
                <w:rFonts w:hint="default" w:ascii="Times New Roman" w:hAnsi="Times New Roman" w:eastAsia="仿宋_GB2312" w:cs="Times New Roman"/>
                <w:i w:val="0"/>
                <w:iCs w:val="0"/>
                <w:color w:val="000000"/>
                <w:sz w:val="18"/>
                <w:szCs w:val="18"/>
                <w:highlight w:val="none"/>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23ABC">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2AEB3">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CC241">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平均每卷档案保管成本</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DF0B1">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&lt;=5元/卷</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12DE4">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历史标准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BCCDF">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5元/卷</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AAE1B">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E2F8A">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按照正常比例赋分</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E2513">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原始凭证</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26D27">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=1.17元/卷</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FE64F">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23.4%</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4F525">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ECA14">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原因：全年实际支付4.43万元部分待支付项目正在走采购手续。整改措施：采购手续完成及时支付。</w:t>
            </w:r>
          </w:p>
        </w:tc>
      </w:tr>
      <w:tr w14:paraId="6B48B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F3A9F">
            <w:pPr>
              <w:jc w:val="center"/>
              <w:rPr>
                <w:rFonts w:hint="default" w:ascii="Times New Roman" w:hAnsi="Times New Roman" w:eastAsia="仿宋_GB2312" w:cs="Times New Roman"/>
                <w:i w:val="0"/>
                <w:iCs w:val="0"/>
                <w:color w:val="000000"/>
                <w:sz w:val="18"/>
                <w:szCs w:val="18"/>
                <w:highlight w:val="none"/>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ADFE1">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93406">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5002A">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提高档案社会利用率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33786">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7DA88">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历史标准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B84D0">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90%</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7404D">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856BE">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按照正常比例赋分</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E76AC">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B957D">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=90%</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8A0C6">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A514E">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D9830">
            <w:pPr>
              <w:jc w:val="center"/>
              <w:rPr>
                <w:rFonts w:hint="default" w:ascii="Times New Roman" w:hAnsi="Times New Roman" w:eastAsia="仿宋_GB2312" w:cs="Times New Roman"/>
                <w:i w:val="0"/>
                <w:iCs w:val="0"/>
                <w:color w:val="000000"/>
                <w:sz w:val="18"/>
                <w:szCs w:val="18"/>
                <w:highlight w:val="none"/>
                <w:u w:val="none"/>
              </w:rPr>
            </w:pPr>
          </w:p>
        </w:tc>
      </w:tr>
      <w:tr w14:paraId="134C1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4CF01">
            <w:pPr>
              <w:jc w:val="center"/>
              <w:rPr>
                <w:rFonts w:hint="default" w:ascii="Times New Roman" w:hAnsi="Times New Roman" w:eastAsia="仿宋_GB2312" w:cs="Times New Roman"/>
                <w:i w:val="0"/>
                <w:iCs w:val="0"/>
                <w:color w:val="000000"/>
                <w:sz w:val="18"/>
                <w:szCs w:val="18"/>
                <w:highlight w:val="none"/>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27D0A">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7D975">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4F035">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查阅者满意度</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ECDCF">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&gt;=98%</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04588">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历史标准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A9F73">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98%</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53B12">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2A8FE">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F1F4F">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5ABDB">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=98%</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D0BF6">
            <w:pPr>
              <w:keepNext w:val="0"/>
              <w:keepLines w:val="0"/>
              <w:widowControl/>
              <w:suppressLineNumbers w:val="0"/>
              <w:jc w:val="left"/>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A3223">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6D44D">
            <w:pPr>
              <w:jc w:val="center"/>
              <w:rPr>
                <w:rFonts w:hint="default" w:ascii="Times New Roman" w:hAnsi="Times New Roman" w:eastAsia="仿宋_GB2312" w:cs="Times New Roman"/>
                <w:i w:val="0"/>
                <w:iCs w:val="0"/>
                <w:color w:val="000000"/>
                <w:sz w:val="18"/>
                <w:szCs w:val="18"/>
                <w:highlight w:val="none"/>
                <w:u w:val="none"/>
              </w:rPr>
            </w:pPr>
          </w:p>
        </w:tc>
      </w:tr>
      <w:tr w14:paraId="21496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49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6268C">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总分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6CFD6">
            <w:pPr>
              <w:jc w:val="center"/>
              <w:rPr>
                <w:rFonts w:hint="default" w:ascii="Times New Roman" w:hAnsi="Times New Roman" w:eastAsia="仿宋_GB2312" w:cs="Times New Roman"/>
                <w:i w:val="0"/>
                <w:iCs w:val="0"/>
                <w:color w:val="000000"/>
                <w:sz w:val="18"/>
                <w:szCs w:val="18"/>
                <w:highlight w:val="none"/>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EC451">
            <w:pPr>
              <w:rPr>
                <w:rFonts w:hint="default" w:ascii="Times New Roman" w:hAnsi="Times New Roman" w:eastAsia="仿宋_GB2312" w:cs="Times New Roman"/>
                <w:i w:val="0"/>
                <w:iCs w:val="0"/>
                <w:color w:val="000000"/>
                <w:sz w:val="18"/>
                <w:szCs w:val="18"/>
                <w:highlight w:val="none"/>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7AD47">
            <w:pPr>
              <w:jc w:val="center"/>
              <w:rPr>
                <w:rFonts w:hint="default" w:ascii="Times New Roman" w:hAnsi="Times New Roman" w:eastAsia="仿宋_GB2312" w:cs="Times New Roman"/>
                <w:i w:val="0"/>
                <w:iCs w:val="0"/>
                <w:color w:val="000000"/>
                <w:sz w:val="18"/>
                <w:szCs w:val="18"/>
                <w:highlight w:val="none"/>
                <w:u w:val="none"/>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D3BB5">
            <w:pPr>
              <w:jc w:val="center"/>
              <w:rPr>
                <w:highlight w:val="none"/>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855C0">
            <w:pPr>
              <w:jc w:val="center"/>
              <w:rPr>
                <w:rFonts w:hint="default" w:ascii="Times New Roman" w:hAnsi="Times New Roman" w:eastAsia="仿宋_GB2312" w:cs="Times New Roman"/>
                <w:i w:val="0"/>
                <w:iCs w:val="0"/>
                <w:color w:val="000000"/>
                <w:sz w:val="18"/>
                <w:szCs w:val="18"/>
                <w:highlight w:val="none"/>
                <w:u w:val="none"/>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CB157">
            <w:pPr>
              <w:rPr>
                <w:rFonts w:hint="default" w:ascii="Times New Roman" w:hAnsi="Times New Roman" w:eastAsia="仿宋_GB2312" w:cs="Times New Roman"/>
                <w:i w:val="0"/>
                <w:iCs w:val="0"/>
                <w:color w:val="000000"/>
                <w:sz w:val="18"/>
                <w:szCs w:val="18"/>
                <w:highlight w:val="none"/>
                <w:u w:val="none"/>
              </w:rPr>
            </w:pP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5ACFF">
            <w:pPr>
              <w:rPr>
                <w:rFonts w:hint="default" w:ascii="Times New Roman" w:hAnsi="Times New Roman" w:eastAsia="仿宋_GB2312" w:cs="Times New Roman"/>
                <w:i w:val="0"/>
                <w:iCs w:val="0"/>
                <w:color w:val="000000"/>
                <w:sz w:val="18"/>
                <w:szCs w:val="18"/>
                <w:highlight w:val="none"/>
                <w:u w:val="none"/>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73509">
            <w:pPr>
              <w:rPr>
                <w:rFonts w:hint="default" w:ascii="Times New Roman" w:hAnsi="Times New Roman" w:eastAsia="仿宋_GB2312" w:cs="Times New Roman"/>
                <w:i w:val="0"/>
                <w:iCs w:val="0"/>
                <w:color w:val="000000"/>
                <w:sz w:val="18"/>
                <w:szCs w:val="18"/>
                <w:highlight w:val="none"/>
                <w:u w:val="none"/>
              </w:rPr>
            </w:pP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C23F3">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70.00分</w:t>
            </w:r>
          </w:p>
        </w:tc>
        <w:tc>
          <w:tcPr>
            <w:tcW w:w="2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23043">
            <w:pPr>
              <w:rPr>
                <w:rFonts w:hint="default" w:ascii="Times New Roman" w:hAnsi="Times New Roman" w:eastAsia="仿宋_GB2312" w:cs="Times New Roman"/>
                <w:i w:val="0"/>
                <w:iCs w:val="0"/>
                <w:color w:val="000000"/>
                <w:sz w:val="18"/>
                <w:szCs w:val="18"/>
                <w:highlight w:val="none"/>
                <w:u w:val="none"/>
              </w:rPr>
            </w:pPr>
          </w:p>
        </w:tc>
      </w:tr>
    </w:tbl>
    <w:p w14:paraId="384454DA">
      <w:pPr>
        <w:rPr>
          <w:rFonts w:hint="default" w:ascii="Times New Roman" w:hAnsi="Times New Roman" w:cs="Times New Roman"/>
          <w:highlight w:val="none"/>
        </w:rPr>
      </w:pPr>
    </w:p>
    <w:sectPr>
      <w:pgSz w:w="16838" w:h="11906" w:orient="landscape"/>
      <w:pgMar w:top="1800" w:right="1440" w:bottom="1558"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A4121">
    <w:pPr>
      <w:pStyle w:val="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845185" cy="3930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845185" cy="3930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E49FF9">
                          <w:pPr>
                            <w:pStyle w:val="8"/>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30.95pt;width:66.55pt;mso-position-horizontal:outside;mso-position-horizontal-relative:margin;z-index:251659264;mso-width-relative:page;mso-height-relative:page;" filled="f" stroked="f" coordsize="21600,21600" o:gfxdata="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qFuze0wAAAAQBAAAPAAAAAAAAAAEAIAAAACIAAABkcnMvZG93bnJldi54&#10;bWxQSwECFAAUAAAACACHTuJANEIWoDgCAABhBAAADgAAAAAAAAABACAAAAAiAQAAZHJzL2Uyb0Rv&#10;Yy54bWxQSwUGAAAAAAYABgBZAQAAzAUAAAAA&#10;">
              <v:fill on="f" focussize="0,0"/>
              <v:stroke on="f" weight="0.5pt"/>
              <v:imagedata o:title=""/>
              <o:lock v:ext="edit" aspectratio="f"/>
              <v:textbox inset="0mm,0mm,0mm,0mm">
                <w:txbxContent>
                  <w:p w14:paraId="00E49FF9">
                    <w:pPr>
                      <w:pStyle w:val="8"/>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p>
  <w:p w14:paraId="49BA82F6">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5NDhhZjQ3YWJiYzJkODA2MTlmMmVlZjg5YTNjMTIifQ=="/>
  </w:docVars>
  <w:rsids>
    <w:rsidRoot w:val="FF6C4049"/>
    <w:rsid w:val="006F7242"/>
    <w:rsid w:val="007B168A"/>
    <w:rsid w:val="008B2CFE"/>
    <w:rsid w:val="00F26FF6"/>
    <w:rsid w:val="01610122"/>
    <w:rsid w:val="02510197"/>
    <w:rsid w:val="03EC461B"/>
    <w:rsid w:val="0461077D"/>
    <w:rsid w:val="04F559FB"/>
    <w:rsid w:val="07397B77"/>
    <w:rsid w:val="08864A97"/>
    <w:rsid w:val="0AD007F3"/>
    <w:rsid w:val="0B1435FA"/>
    <w:rsid w:val="0D0C7EA7"/>
    <w:rsid w:val="0E3C619F"/>
    <w:rsid w:val="0E467E38"/>
    <w:rsid w:val="0F340A87"/>
    <w:rsid w:val="100F38EC"/>
    <w:rsid w:val="11170296"/>
    <w:rsid w:val="12861679"/>
    <w:rsid w:val="12C66037"/>
    <w:rsid w:val="12CD1ABC"/>
    <w:rsid w:val="13471461"/>
    <w:rsid w:val="139B5656"/>
    <w:rsid w:val="13B90F01"/>
    <w:rsid w:val="155E4C4D"/>
    <w:rsid w:val="181066D2"/>
    <w:rsid w:val="18AA1805"/>
    <w:rsid w:val="1C671E73"/>
    <w:rsid w:val="1D322C47"/>
    <w:rsid w:val="223B790D"/>
    <w:rsid w:val="23616034"/>
    <w:rsid w:val="23696C97"/>
    <w:rsid w:val="242149EC"/>
    <w:rsid w:val="24480FA2"/>
    <w:rsid w:val="25227A45"/>
    <w:rsid w:val="26AC3A6A"/>
    <w:rsid w:val="26F63C10"/>
    <w:rsid w:val="2B9D7E25"/>
    <w:rsid w:val="2C6400F8"/>
    <w:rsid w:val="2C7C7A3B"/>
    <w:rsid w:val="2F364819"/>
    <w:rsid w:val="2F820991"/>
    <w:rsid w:val="2FD63906"/>
    <w:rsid w:val="30842B47"/>
    <w:rsid w:val="315F51A3"/>
    <w:rsid w:val="37215DAE"/>
    <w:rsid w:val="38CA40DD"/>
    <w:rsid w:val="395F2B56"/>
    <w:rsid w:val="3BBA0580"/>
    <w:rsid w:val="3BECE841"/>
    <w:rsid w:val="3CDE204C"/>
    <w:rsid w:val="3D363C36"/>
    <w:rsid w:val="3E9C3F6D"/>
    <w:rsid w:val="3FF7797D"/>
    <w:rsid w:val="44C17352"/>
    <w:rsid w:val="46690BD8"/>
    <w:rsid w:val="49F70BF1"/>
    <w:rsid w:val="4B4340EE"/>
    <w:rsid w:val="503D507A"/>
    <w:rsid w:val="51FA74D0"/>
    <w:rsid w:val="52AA4A52"/>
    <w:rsid w:val="55D45748"/>
    <w:rsid w:val="567B3B43"/>
    <w:rsid w:val="590C14CE"/>
    <w:rsid w:val="59943D66"/>
    <w:rsid w:val="59E051FD"/>
    <w:rsid w:val="59E6355E"/>
    <w:rsid w:val="5B205654"/>
    <w:rsid w:val="5B821531"/>
    <w:rsid w:val="5BFF6039"/>
    <w:rsid w:val="5D76A616"/>
    <w:rsid w:val="5D7F20B9"/>
    <w:rsid w:val="5DAC7D0E"/>
    <w:rsid w:val="5F98B5AF"/>
    <w:rsid w:val="5FFE8511"/>
    <w:rsid w:val="5FFEACE2"/>
    <w:rsid w:val="605433EE"/>
    <w:rsid w:val="609D5BF6"/>
    <w:rsid w:val="60D26E75"/>
    <w:rsid w:val="61073070"/>
    <w:rsid w:val="6184716C"/>
    <w:rsid w:val="61B9080E"/>
    <w:rsid w:val="61DF3FED"/>
    <w:rsid w:val="63CF4719"/>
    <w:rsid w:val="642B176B"/>
    <w:rsid w:val="643EE26D"/>
    <w:rsid w:val="655C19EA"/>
    <w:rsid w:val="656019A0"/>
    <w:rsid w:val="65F242EE"/>
    <w:rsid w:val="666D7E19"/>
    <w:rsid w:val="68376930"/>
    <w:rsid w:val="68D8612F"/>
    <w:rsid w:val="68F91E38"/>
    <w:rsid w:val="6B3158B9"/>
    <w:rsid w:val="6BA02A3F"/>
    <w:rsid w:val="6C1E5A53"/>
    <w:rsid w:val="6DE26F5E"/>
    <w:rsid w:val="6F5C41AC"/>
    <w:rsid w:val="6FAF6C78"/>
    <w:rsid w:val="716167CC"/>
    <w:rsid w:val="718A7AD1"/>
    <w:rsid w:val="721761AD"/>
    <w:rsid w:val="72A44BC2"/>
    <w:rsid w:val="7317C656"/>
    <w:rsid w:val="734ED73F"/>
    <w:rsid w:val="73C82B32"/>
    <w:rsid w:val="73F12B01"/>
    <w:rsid w:val="73F94DAE"/>
    <w:rsid w:val="74220495"/>
    <w:rsid w:val="747D1B6F"/>
    <w:rsid w:val="749E5641"/>
    <w:rsid w:val="76271066"/>
    <w:rsid w:val="77FD8BE9"/>
    <w:rsid w:val="78000AED"/>
    <w:rsid w:val="79A9BD3F"/>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8"/>
    <w:qFormat/>
    <w:uiPriority w:val="0"/>
    <w:pPr>
      <w:jc w:val="left"/>
    </w:pPr>
  </w:style>
  <w:style w:type="paragraph" w:styleId="6">
    <w:name w:val="Body Text"/>
    <w:basedOn w:val="1"/>
    <w:qFormat/>
    <w:uiPriority w:val="0"/>
    <w:pPr>
      <w:spacing w:after="120"/>
    </w:pPr>
  </w:style>
  <w:style w:type="paragraph" w:styleId="7">
    <w:name w:val="Body Text Indent"/>
    <w:basedOn w:val="1"/>
    <w:qFormat/>
    <w:uiPriority w:val="0"/>
    <w:pPr>
      <w:spacing w:after="120"/>
      <w:ind w:left="420" w:leftChars="200"/>
    </w:pPr>
    <w:rPr>
      <w:rFonts w:ascii="Calibri" w:hAnsi="Calibri"/>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Body Text First Indent"/>
    <w:basedOn w:val="6"/>
    <w:qFormat/>
    <w:uiPriority w:val="0"/>
    <w:pPr>
      <w:spacing w:after="0"/>
      <w:ind w:firstLine="200" w:firstLineChars="200"/>
    </w:pPr>
  </w:style>
  <w:style w:type="paragraph" w:styleId="12">
    <w:name w:val="Body Text First Indent 2"/>
    <w:basedOn w:val="7"/>
    <w:qFormat/>
    <w:uiPriority w:val="0"/>
    <w:pPr>
      <w:ind w:firstLine="420" w:firstLineChars="200"/>
    </w:pPr>
  </w:style>
  <w:style w:type="character" w:styleId="15">
    <w:name w:val="Hyperlink"/>
    <w:basedOn w:val="14"/>
    <w:qFormat/>
    <w:uiPriority w:val="0"/>
    <w:rPr>
      <w:color w:val="0000FF"/>
      <w:u w:val="single"/>
    </w:rPr>
  </w:style>
  <w:style w:type="character" w:customStyle="1" w:styleId="16">
    <w:name w:val="fontstyle01"/>
    <w:qFormat/>
    <w:uiPriority w:val="0"/>
    <w:rPr>
      <w:rFonts w:ascii="仿宋_GB2312" w:hAnsi="仿宋_GB2312" w:eastAsia="仿宋_GB2312" w:cs="仿宋_GB2312"/>
      <w:color w:val="000000"/>
      <w:sz w:val="32"/>
      <w:szCs w:val="32"/>
    </w:rPr>
  </w:style>
  <w:style w:type="character" w:customStyle="1" w:styleId="17">
    <w:name w:val="页眉 字符"/>
    <w:basedOn w:val="14"/>
    <w:link w:val="9"/>
    <w:qFormat/>
    <w:uiPriority w:val="0"/>
    <w:rPr>
      <w:rFonts w:ascii="Times New Roman" w:hAnsi="Times New Roman" w:eastAsia="宋体" w:cs="Times New Roman"/>
      <w:kern w:val="2"/>
      <w:sz w:val="18"/>
      <w:szCs w:val="18"/>
    </w:rPr>
  </w:style>
  <w:style w:type="character" w:customStyle="1" w:styleId="18">
    <w:name w:val="批注文字 字符"/>
    <w:basedOn w:val="14"/>
    <w:link w:val="5"/>
    <w:qFormat/>
    <w:uiPriority w:val="0"/>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8255</Words>
  <Characters>8605</Characters>
  <Lines>58</Lines>
  <Paragraphs>16</Paragraphs>
  <TotalTime>3</TotalTime>
  <ScaleCrop>false</ScaleCrop>
  <LinksUpToDate>false</LinksUpToDate>
  <CharactersWithSpaces>8612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2025-04-29T09:34:32Z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3C667592AD9C4C568E83264328E9A3B7_13</vt:lpwstr>
  </property>
  <property fmtid="{D5CDD505-2E9C-101B-9397-08002B2CF9AE}" pid="4" name="KSOTemplateDocerSaveRecord">
    <vt:lpwstr>eyJoZGlkIjoiZjJhNzgxZjM1OGI0YjU2ZTI3YjhjN2QyMmY1MTVlMGUifQ==</vt:lpwstr>
  </property>
</Properties>
</file>