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部门专项-党委办公室业务费项目支出</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1"/>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项目名称：部门专项-党委办公室业务费</w:t>
      </w:r>
    </w:p>
    <w:p>
      <w:pPr>
        <w:spacing w:line="700" w:lineRule="exact"/>
        <w:ind w:firstLine="1392" w:firstLineChars="400"/>
        <w:jc w:val="left"/>
        <w:rPr>
          <w:rFonts w:hint="eastAsia" w:ascii="Times New Roman" w:hAnsi="Times New Roman" w:eastAsia="仿宋_GB2312" w:cs="Times New Roman"/>
          <w:spacing w:val="-6"/>
          <w:kern w:val="0"/>
          <w:sz w:val="36"/>
          <w:szCs w:val="36"/>
          <w:lang w:val="en-US" w:eastAsia="zh-CN"/>
        </w:rPr>
      </w:pPr>
      <w:r>
        <w:rPr>
          <w:rFonts w:hint="default" w:ascii="Times New Roman" w:hAnsi="Times New Roman" w:eastAsia="仿宋_GB2312" w:cs="Times New Roman"/>
          <w:spacing w:val="-6"/>
          <w:kern w:val="0"/>
          <w:sz w:val="36"/>
          <w:szCs w:val="36"/>
        </w:rPr>
        <w:t>实施单位（公章）：</w:t>
      </w:r>
      <w:r>
        <w:rPr>
          <w:rFonts w:hint="eastAsia" w:eastAsia="仿宋_GB2312" w:cs="Times New Roman"/>
          <w:spacing w:val="-6"/>
          <w:kern w:val="0"/>
          <w:sz w:val="36"/>
          <w:szCs w:val="36"/>
          <w:lang w:eastAsia="zh-CN"/>
        </w:rPr>
        <w:t>中共库尔勒市委员会办公室</w:t>
      </w:r>
    </w:p>
    <w:p>
      <w:pPr>
        <w:spacing w:line="700" w:lineRule="exact"/>
        <w:ind w:firstLine="1392" w:firstLineChars="400"/>
        <w:jc w:val="left"/>
        <w:rPr>
          <w:rFonts w:hint="eastAsia" w:ascii="Times New Roman" w:hAnsi="Times New Roman" w:eastAsia="仿宋_GB2312" w:cs="Times New Roman"/>
          <w:spacing w:val="-6"/>
          <w:kern w:val="0"/>
          <w:sz w:val="36"/>
          <w:szCs w:val="36"/>
          <w:lang w:val="en-US" w:eastAsia="zh-CN"/>
        </w:rPr>
      </w:pPr>
      <w:r>
        <w:rPr>
          <w:rFonts w:hint="default" w:ascii="Times New Roman" w:hAnsi="Times New Roman" w:eastAsia="仿宋_GB2312" w:cs="Times New Roman"/>
          <w:spacing w:val="-6"/>
          <w:kern w:val="0"/>
          <w:sz w:val="36"/>
          <w:szCs w:val="36"/>
        </w:rPr>
        <w:t>主管部门（公章）：</w:t>
      </w:r>
      <w:r>
        <w:rPr>
          <w:rFonts w:hint="eastAsia" w:eastAsia="仿宋_GB2312" w:cs="Times New Roman"/>
          <w:spacing w:val="-6"/>
          <w:kern w:val="0"/>
          <w:sz w:val="36"/>
          <w:szCs w:val="36"/>
          <w:lang w:eastAsia="zh-CN"/>
        </w:rPr>
        <w:t>中共库尔勒市委员会办公室</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毛扬</w:t>
      </w:r>
    </w:p>
    <w:p>
      <w:pPr>
        <w:spacing w:line="700" w:lineRule="exact"/>
        <w:ind w:firstLine="1440" w:firstLineChars="400"/>
        <w:jc w:val="left"/>
        <w:rPr>
          <w:rStyle w:val="17"/>
          <w:rFonts w:hint="default" w:ascii="Times New Roman" w:hAnsi="Times New Roman" w:eastAsia="黑体" w:cs="Times New Roman"/>
          <w:b w:val="0"/>
          <w:spacing w:val="-4"/>
          <w:sz w:val="32"/>
          <w:szCs w:val="32"/>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25</w:t>
      </w:r>
      <w:r>
        <w:rPr>
          <w:rFonts w:hint="default" w:ascii="Times New Roman" w:hAnsi="Times New Roman" w:eastAsia="仿宋_GB2312" w:cs="Times New Roman"/>
          <w:kern w:val="0"/>
          <w:sz w:val="36"/>
          <w:szCs w:val="36"/>
        </w:rPr>
        <w:t>日</w:t>
      </w:r>
    </w:p>
    <w:p>
      <w:pPr>
        <w:spacing w:line="540" w:lineRule="exact"/>
        <w:ind w:firstLine="640"/>
        <w:rPr>
          <w:rStyle w:val="17"/>
          <w:rFonts w:hint="default" w:ascii="Times New Roman" w:hAnsi="Times New Roman" w:eastAsia="黑体" w:cs="Times New Roman"/>
          <w:b w:val="0"/>
          <w:spacing w:val="-4"/>
          <w:sz w:val="32"/>
          <w:szCs w:val="32"/>
        </w:rPr>
      </w:pPr>
    </w:p>
    <w:p>
      <w:pPr>
        <w:spacing w:line="540" w:lineRule="exact"/>
        <w:rPr>
          <w:rStyle w:val="17"/>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871" w:right="1531" w:bottom="1984" w:left="1531" w:header="851" w:footer="992" w:gutter="0"/>
          <w:pgNumType w:fmt="decimal"/>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560" w:lineRule="exact"/>
        <w:ind w:firstLine="624" w:firstLineChars="200"/>
        <w:rPr>
          <w:rStyle w:val="17"/>
          <w:rFonts w:hint="eastAsia" w:ascii="方正仿宋_GBK" w:hAnsi="方正仿宋_GBK" w:eastAsia="方正仿宋_GBK" w:cs="方正仿宋_GBK"/>
          <w:b w:val="0"/>
          <w:bCs/>
          <w:spacing w:val="-4"/>
          <w:sz w:val="32"/>
          <w:szCs w:val="32"/>
          <w:highlight w:val="none"/>
          <w:lang w:eastAsia="zh-CN"/>
        </w:rPr>
      </w:pPr>
      <w:r>
        <w:rPr>
          <w:rStyle w:val="17"/>
          <w:rFonts w:hint="eastAsia" w:ascii="方正仿宋_GBK" w:hAnsi="方正仿宋_GBK" w:eastAsia="方正仿宋_GBK" w:cs="方正仿宋_GBK"/>
          <w:b w:val="0"/>
          <w:bCs/>
          <w:spacing w:val="-4"/>
          <w:sz w:val="32"/>
          <w:szCs w:val="32"/>
          <w:highlight w:val="none"/>
          <w:lang w:eastAsia="zh-CN"/>
        </w:rPr>
        <w:t>党委办公室承担着综合协调、信息调研、督促检查、文件处理、会议组织、后勤保障等多项重要职能。为党委领导提供准确、及时的信息和决策参考是党委办公室的重要职责。涉及</w:t>
      </w:r>
      <w:bookmarkStart w:id="3" w:name="_GoBack"/>
      <w:bookmarkEnd w:id="3"/>
      <w:r>
        <w:rPr>
          <w:rStyle w:val="17"/>
          <w:rFonts w:hint="eastAsia" w:ascii="方正仿宋_GBK" w:hAnsi="方正仿宋_GBK" w:eastAsia="方正仿宋_GBK" w:cs="方正仿宋_GBK"/>
          <w:b w:val="0"/>
          <w:bCs/>
          <w:spacing w:val="-4"/>
          <w:sz w:val="32"/>
          <w:szCs w:val="32"/>
          <w:highlight w:val="none"/>
          <w:lang w:eastAsia="zh-CN"/>
        </w:rPr>
        <w:t>开展专题调研、聘请专家咨询、购买专业数据资源等活动，都需要相应的经费支持。党委办公室在推动党的思想建设、组织建设、作风建设等方面发挥着重要作用。在开展党员教育培训、主题党日活动、党建宣传等工作中，都需要经费来保障活动的顺利开展。比如，组织党员干部到红色教育基地参观学习，需要经费支付交通、门票以及讲解费用等。</w:t>
      </w:r>
    </w:p>
    <w:p>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pacing w:line="560" w:lineRule="exact"/>
        <w:ind w:firstLine="600" w:firstLineChars="200"/>
        <w:rPr>
          <w:rFonts w:hint="default" w:ascii="Times New Roman" w:hAnsi="Times New Roman" w:eastAsia="方正仿宋_GBK" w:cs="Times New Roman"/>
          <w:highlight w:val="yellow"/>
          <w:lang w:eastAsia="zh-CN"/>
        </w:rPr>
      </w:pPr>
      <w:r>
        <w:rPr>
          <w:rFonts w:hint="default" w:ascii="Times New Roman" w:hAnsi="Times New Roman" w:eastAsia="方正仿宋_GBK" w:cs="Times New Roman"/>
          <w:sz w:val="30"/>
          <w:szCs w:val="30"/>
          <w:highlight w:val="none"/>
          <w:lang w:val="en-US" w:eastAsia="zh-CN"/>
        </w:rPr>
        <w:t>项目主要内容：</w:t>
      </w:r>
      <w:r>
        <w:rPr>
          <w:rStyle w:val="17"/>
          <w:rFonts w:hint="default" w:ascii="Times New Roman" w:hAnsi="Times New Roman" w:eastAsia="方正仿宋_GBK" w:cs="Times New Roman"/>
          <w:b w:val="0"/>
          <w:bCs/>
          <w:spacing w:val="-4"/>
          <w:sz w:val="32"/>
          <w:szCs w:val="32"/>
          <w:highlight w:val="none"/>
          <w:lang w:eastAsia="zh-CN"/>
        </w:rPr>
        <w:t>保障办公人员正常工作运转，例如，在组织重要会议时，需要经费来支付场地租赁、设备使用、资料印刷等费用；开展信息调研工作时，可能需要经费用于调研人员的交通、住宿以及相关数据资料的收集购买等。，各领域安全风险隐患排查次数不少于12次。通过项目实施有效提高宣传政策知晓率。</w:t>
      </w:r>
    </w:p>
    <w:p>
      <w:pPr>
        <w:spacing w:line="560" w:lineRule="exact"/>
        <w:ind w:firstLine="640" w:firstLineChars="200"/>
        <w:rPr>
          <w:rFonts w:hint="default" w:ascii="Times New Roman" w:hAnsi="Times New Roman" w:eastAsia="方正仿宋_GBK" w:cs="Times New Roman"/>
        </w:rPr>
      </w:pPr>
      <w:r>
        <w:rPr>
          <w:rFonts w:hint="default" w:ascii="Times New Roman" w:hAnsi="Times New Roman" w:eastAsia="方正仿宋_GBK" w:cs="Times New Roman"/>
          <w:sz w:val="32"/>
          <w:szCs w:val="32"/>
        </w:rPr>
        <w:t>项目实施情况：项目已保障了办公室45人的正常办公运转，在各领域安全风险隐患排查5次。项目经费主要保障以服务市委为中心，自觉对标对表“五个坚持”，履职尽责、担当作为，真正做到紧紧围绕大局、时时聚焦大局、处处服务大局，全力建设让党放心、让人民满意的模范机关，打造市委</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坚强前哨</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和</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巩固后院</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该项目年初预算数40万元，全年预算数40万元，该项目资金已全部落实到位，资金来源为财政拨款。</w:t>
      </w:r>
    </w:p>
    <w:p>
      <w:pPr>
        <w:shd w:val="clear"/>
        <w:spacing w:line="600" w:lineRule="exact"/>
        <w:ind w:firstLine="640" w:firstLineChars="200"/>
        <w:outlineLvl w:val="0"/>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该项目年初预算数40万元，全年预算数40万元，，全年执行数40万元，预算执行率为100%，主要用于：保障办公室人员正常办公运转，购买办公用品、办公耗材、支付人员差旅费、培训费等，共计40</w:t>
      </w:r>
      <w:r>
        <w:rPr>
          <w:rFonts w:hint="eastAsia" w:eastAsia="方正仿宋_GBK" w:cs="Times New Roman"/>
          <w:color w:val="auto"/>
          <w:sz w:val="32"/>
          <w:szCs w:val="32"/>
          <w:highlight w:val="none"/>
          <w:lang w:val="en-US" w:eastAsia="zh-CN"/>
        </w:rPr>
        <w:t>万</w:t>
      </w:r>
      <w:r>
        <w:rPr>
          <w:rFonts w:hint="default" w:ascii="Times New Roman" w:hAnsi="Times New Roman" w:eastAsia="方正仿宋_GBK" w:cs="Times New Roman"/>
          <w:color w:val="auto"/>
          <w:sz w:val="32"/>
          <w:szCs w:val="32"/>
          <w:highlight w:val="none"/>
          <w:lang w:val="en-US" w:eastAsia="zh-CN"/>
        </w:rPr>
        <w:t>元。</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pPr>
        <w:spacing w:line="560" w:lineRule="exact"/>
        <w:ind w:firstLine="640" w:firstLineChars="200"/>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rPr>
        <w:t>1</w:t>
      </w:r>
      <w:r>
        <w:rPr>
          <w:rFonts w:hint="default" w:ascii="Times New Roman" w:hAnsi="Times New Roman" w:eastAsia="方正仿宋_GBK" w:cs="Times New Roman"/>
          <w:b/>
          <w:bCs/>
          <w:color w:val="auto"/>
          <w:sz w:val="32"/>
          <w:szCs w:val="32"/>
          <w:highlight w:val="none"/>
          <w:lang w:val="en-US" w:eastAsia="zh-CN"/>
        </w:rPr>
        <w:t>.</w:t>
      </w:r>
      <w:r>
        <w:rPr>
          <w:rFonts w:hint="default" w:ascii="Times New Roman" w:hAnsi="Times New Roman" w:eastAsia="方正仿宋_GBK" w:cs="Times New Roman"/>
          <w:color w:val="auto"/>
          <w:sz w:val="32"/>
          <w:szCs w:val="32"/>
          <w:highlight w:val="none"/>
        </w:rPr>
        <w:t>总体目标</w:t>
      </w:r>
      <w:r>
        <w:rPr>
          <w:rFonts w:hint="default" w:ascii="Times New Roman" w:hAnsi="Times New Roman" w:eastAsia="方正仿宋_GBK" w:cs="Times New Roman"/>
          <w:color w:val="auto"/>
          <w:sz w:val="32"/>
          <w:szCs w:val="32"/>
          <w:highlight w:val="none"/>
          <w:lang w:val="en-US" w:eastAsia="zh-CN"/>
        </w:rPr>
        <w:t>：</w:t>
      </w:r>
    </w:p>
    <w:p>
      <w:pPr>
        <w:spacing w:line="560" w:lineRule="exact"/>
        <w:ind w:firstLine="640" w:firstLineChars="200"/>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rPr>
        <w:t>目标</w:t>
      </w:r>
      <w:r>
        <w:rPr>
          <w:rFonts w:hint="default" w:ascii="Times New Roman" w:hAnsi="Times New Roman" w:eastAsia="方正仿宋_GBK" w:cs="Times New Roman"/>
          <w:color w:val="auto"/>
          <w:sz w:val="32"/>
          <w:szCs w:val="32"/>
          <w:highlight w:val="none"/>
          <w:lang w:val="en-US" w:eastAsia="zh-CN"/>
        </w:rPr>
        <w:t>1：保障办公人员45人，各领域安全风险隐患排查次数不少于12次。</w:t>
      </w:r>
    </w:p>
    <w:p>
      <w:pPr>
        <w:spacing w:line="560" w:lineRule="exact"/>
        <w:ind w:firstLine="640" w:firstLineChars="200"/>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目标</w:t>
      </w:r>
      <w:r>
        <w:rPr>
          <w:rFonts w:hint="default" w:ascii="Times New Roman" w:hAnsi="Times New Roman" w:eastAsia="方正仿宋_GBK" w:cs="Times New Roman"/>
          <w:color w:val="auto"/>
          <w:sz w:val="32"/>
          <w:szCs w:val="32"/>
          <w:highlight w:val="none"/>
          <w:lang w:val="en-US" w:eastAsia="zh-CN"/>
        </w:rPr>
        <w:t>2：通过项目实施有效提高宣传政策知晓率。</w:t>
      </w:r>
    </w:p>
    <w:p>
      <w:pPr>
        <w:spacing w:line="560" w:lineRule="exact"/>
        <w:ind w:firstLine="640" w:firstLineChars="200"/>
        <w:rPr>
          <w:rFonts w:hint="default" w:ascii="Times New Roman" w:hAnsi="Times New Roman" w:eastAsia="方正仿宋_GBK" w:cs="Times New Roman"/>
          <w:color w:val="auto"/>
          <w:sz w:val="32"/>
          <w:szCs w:val="32"/>
          <w:highlight w:val="none"/>
          <w:lang w:eastAsia="zh-CN"/>
        </w:rPr>
      </w:pPr>
      <w:r>
        <w:rPr>
          <w:rFonts w:hint="default" w:ascii="Times New Roman" w:hAnsi="Times New Roman" w:eastAsia="方正仿宋_GBK" w:cs="Times New Roman"/>
          <w:color w:val="auto"/>
          <w:sz w:val="32"/>
          <w:szCs w:val="32"/>
          <w:highlight w:val="none"/>
        </w:rPr>
        <w:t>2</w:t>
      </w:r>
      <w:r>
        <w:rPr>
          <w:rFonts w:hint="default" w:ascii="Times New Roman" w:hAnsi="Times New Roman" w:eastAsia="方正仿宋_GBK" w:cs="Times New Roman"/>
          <w:b/>
          <w:bCs/>
          <w:color w:val="auto"/>
          <w:sz w:val="32"/>
          <w:szCs w:val="32"/>
          <w:highlight w:val="none"/>
          <w:lang w:val="en-US" w:eastAsia="zh-CN"/>
        </w:rPr>
        <w:t>.</w:t>
      </w:r>
      <w:r>
        <w:rPr>
          <w:rFonts w:hint="default" w:ascii="Times New Roman" w:hAnsi="Times New Roman" w:eastAsia="方正仿宋_GBK" w:cs="Times New Roman"/>
          <w:color w:val="auto"/>
          <w:sz w:val="32"/>
          <w:szCs w:val="32"/>
          <w:highlight w:val="none"/>
        </w:rPr>
        <w:t>阶段性目标</w:t>
      </w:r>
      <w:r>
        <w:rPr>
          <w:rFonts w:hint="default" w:ascii="Times New Roman" w:hAnsi="Times New Roman" w:eastAsia="方正仿宋_GBK" w:cs="Times New Roman"/>
          <w:color w:val="auto"/>
          <w:sz w:val="32"/>
          <w:szCs w:val="32"/>
          <w:highlight w:val="none"/>
          <w:lang w:eastAsia="zh-CN"/>
        </w:rPr>
        <w:t>：</w:t>
      </w:r>
    </w:p>
    <w:p>
      <w:pPr>
        <w:spacing w:line="560" w:lineRule="exact"/>
        <w:ind w:firstLine="640" w:firstLineChars="200"/>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color w:val="auto"/>
          <w:sz w:val="32"/>
          <w:szCs w:val="32"/>
          <w:highlight w:val="none"/>
          <w:lang w:eastAsia="zh-CN"/>
        </w:rPr>
        <w:t>1— 3个月：保障日常基础工作顺利开展，严格控</w:t>
      </w:r>
      <w:r>
        <w:rPr>
          <w:rFonts w:hint="default" w:ascii="Times New Roman" w:hAnsi="Times New Roman" w:eastAsia="方正仿宋_GBK" w:cs="Times New Roman"/>
          <w:sz w:val="32"/>
          <w:szCs w:val="32"/>
          <w:lang w:eastAsia="zh-CN"/>
        </w:rPr>
        <w:t>制经费支出。在文件印发、会议组织等常规事务上，确保经费合理分配，使党委办公室日常运转流畅；完成预算的初步分配，明确各项工作经费额度，为后续工作提供资金框架 。</w:t>
      </w:r>
    </w:p>
    <w:p>
      <w:pPr>
        <w:spacing w:line="560" w:lineRule="exact"/>
        <w:ind w:firstLine="640" w:firstLineChars="200"/>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3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eastAsia="zh-CN"/>
        </w:rPr>
        <w:t>6个月：提升专项工作质量与效率。针对调研、党建活动等专项工作，合理利用经费推动项目实施，产出有价值的调研成果，增强党建活动的影响力与实效性；优化经费使用流程，减少审批环节的时间成本，提高资金拨付效率；定期对经费使用情况进行阶段性评估，分析经费使用效果与存在问题，及时调整使用策略 。</w:t>
      </w:r>
    </w:p>
    <w:p>
      <w:pPr>
        <w:spacing w:line="560" w:lineRule="exact"/>
        <w:ind w:firstLine="640" w:firstLineChars="200"/>
        <w:rPr>
          <w:rFonts w:hint="default" w:ascii="Times New Roman" w:hAnsi="Times New Roman" w:eastAsia="方正仿宋_GBK" w:cs="Times New Roman"/>
          <w:b w:val="0"/>
          <w:bCs/>
          <w:lang w:eastAsia="zh-CN"/>
        </w:rPr>
      </w:pPr>
      <w:r>
        <w:rPr>
          <w:rFonts w:hint="default" w:ascii="Times New Roman" w:hAnsi="Times New Roman" w:eastAsia="方正仿宋_GBK" w:cs="Times New Roman"/>
          <w:sz w:val="32"/>
          <w:szCs w:val="32"/>
          <w:lang w:eastAsia="zh-CN"/>
        </w:rPr>
        <w:t>6个月—</w:t>
      </w:r>
      <w:r>
        <w:rPr>
          <w:rFonts w:hint="default" w:ascii="Times New Roman" w:hAnsi="Times New Roman" w:eastAsia="方正仿宋_GBK" w:cs="Times New Roman"/>
          <w:sz w:val="32"/>
          <w:szCs w:val="32"/>
          <w:lang w:val="en-US" w:eastAsia="zh-CN"/>
        </w:rPr>
        <w:t>12</w:t>
      </w:r>
      <w:r>
        <w:rPr>
          <w:rFonts w:hint="eastAsia" w:eastAsia="方正仿宋_GBK" w:cs="Times New Roman"/>
          <w:sz w:val="32"/>
          <w:szCs w:val="32"/>
          <w:lang w:val="en-US" w:eastAsia="zh-CN"/>
        </w:rPr>
        <w:t>月底</w:t>
      </w:r>
      <w:r>
        <w:rPr>
          <w:rFonts w:hint="default" w:ascii="Times New Roman" w:hAnsi="Times New Roman" w:eastAsia="方正仿宋_GBK" w:cs="Times New Roman"/>
          <w:sz w:val="32"/>
          <w:szCs w:val="32"/>
          <w:lang w:eastAsia="zh-CN"/>
        </w:rPr>
        <w:t>：实现经费的战略化、可持续管理。通过合理规划经费，助力党委办公室工作创新发展；建立科学的绩效评价体系，全面评估经费使用对党委办公室工作成效、党建工作成果以及服务群众效果的提升作用；总结经验，形成长效管理机制，为未来项目经费的预算编制、使用管理提供参考，保障党委办公室工作的长期稳定发展。</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spacing w:line="560" w:lineRule="exact"/>
        <w:ind w:firstLine="640" w:firstLineChars="200"/>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1.绩效评价完整性</w:t>
      </w:r>
    </w:p>
    <w:p>
      <w:pPr>
        <w:spacing w:line="560" w:lineRule="exact"/>
        <w:ind w:firstLine="640" w:firstLineChars="20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本项目预算绩效评价报告在编制过程中，包含项目经费预算的合理性、资金到位率等。例如，预算是否根据党委办公室的工作任务和实际需求科学编制，资金是否按时足额到位，以确保项目顺利启动和推进。</w:t>
      </w:r>
    </w:p>
    <w:p>
      <w:pPr>
        <w:spacing w:line="560" w:lineRule="exact"/>
        <w:ind w:firstLine="640" w:firstLineChars="20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涉及资金使用的合规性、财务管理的规范性以及项目实施的有效性。比如，经费使用是否符合相关财务制度和规定，有无违规支出；财务核算是否准确、规范，账目是否清晰；项目是否按照计划有序实施，各项工作流程是否严格执行。</w:t>
      </w:r>
    </w:p>
    <w:p>
      <w:pPr>
        <w:spacing w:line="560" w:lineRule="exact"/>
        <w:ind w:firstLine="640" w:firstLineChars="20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主要考量项目的实际产出成果，如文件处理的数量和质量、会议组织的效果、信息调研的成果数量和质量等。例如，文件处理是否及时、准确，有无差错；信息调研成果是否具有针对性和实用性，能否为党委决策提供有力支持。</w:t>
      </w:r>
    </w:p>
    <w:p>
      <w:pPr>
        <w:spacing w:line="560" w:lineRule="exact"/>
        <w:ind w:firstLine="640" w:firstLineChars="20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关注项目对党委工作的影响和社会满意度。例如，通过项目的实施，是否提高了党委办公室的工作效率和服务水平，是否促进了党委决策的科学化、民主化，党员干部和群众对党委办公室工作的满意度是否提高等。</w:t>
      </w:r>
    </w:p>
    <w:p>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绩效评价的目的</w:t>
      </w:r>
    </w:p>
    <w:p>
      <w:pPr>
        <w:spacing w:line="560" w:lineRule="exact"/>
        <w:ind w:firstLine="640" w:firstLineChars="200"/>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（1）评估项目实施效果</w:t>
      </w:r>
    </w:p>
    <w:p>
      <w:pPr>
        <w:spacing w:line="560" w:lineRule="exact"/>
        <w:ind w:firstLine="616" w:firstLineChars="200"/>
        <w:rPr>
          <w:rFonts w:hint="default" w:ascii="Times New Roman" w:hAnsi="Times New Roman" w:eastAsia="方正仿宋_GBK" w:cs="Times New Roman"/>
          <w:spacing w:val="-6"/>
          <w:sz w:val="32"/>
          <w:szCs w:val="32"/>
          <w:highlight w:val="none"/>
          <w:lang w:val="en-US" w:eastAsia="zh-CN"/>
        </w:rPr>
      </w:pPr>
      <w:r>
        <w:rPr>
          <w:rFonts w:hint="default" w:ascii="Times New Roman" w:hAnsi="Times New Roman" w:eastAsia="方正仿宋_GBK" w:cs="Times New Roman"/>
          <w:spacing w:val="-6"/>
          <w:sz w:val="32"/>
          <w:szCs w:val="32"/>
          <w:highlight w:val="none"/>
          <w:lang w:val="en-US" w:eastAsia="zh-CN"/>
        </w:rPr>
        <w:t>通过绩效评价，客观地评判项目的管理绩效，了解和掌握部门专项-党委办公室业务费经费的具体情况，评价该项目资金安排的科学性、合理性、规范性和资金的使用成效，及时总结项目管理经验，完善项目管理办法，提高项目管理水平和资金使用效益。</w:t>
      </w:r>
    </w:p>
    <w:p>
      <w:pPr>
        <w:spacing w:line="560" w:lineRule="exact"/>
        <w:ind w:firstLine="640" w:firstLineChars="200"/>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向社会公开项目绩效情况，增加</w:t>
      </w:r>
      <w:r>
        <w:rPr>
          <w:rFonts w:hint="default" w:ascii="Times New Roman" w:hAnsi="Times New Roman" w:eastAsia="方正仿宋_GBK" w:cs="Times New Roman"/>
          <w:sz w:val="32"/>
          <w:szCs w:val="32"/>
          <w:highlight w:val="none"/>
          <w:lang w:eastAsia="zh-CN"/>
        </w:rPr>
        <w:t>市委办公室</w:t>
      </w:r>
      <w:r>
        <w:rPr>
          <w:rFonts w:hint="default" w:ascii="Times New Roman" w:hAnsi="Times New Roman" w:eastAsia="方正仿宋_GBK" w:cs="Times New Roman"/>
          <w:sz w:val="32"/>
          <w:szCs w:val="32"/>
          <w:highlight w:val="none"/>
        </w:rPr>
        <w:t>工作的透明度，让公众了解</w:t>
      </w:r>
      <w:r>
        <w:rPr>
          <w:rFonts w:hint="default" w:ascii="Times New Roman" w:hAnsi="Times New Roman" w:eastAsia="方正仿宋_GBK" w:cs="Times New Roman"/>
          <w:sz w:val="32"/>
          <w:szCs w:val="32"/>
          <w:highlight w:val="none"/>
          <w:lang w:eastAsia="zh-CN"/>
        </w:rPr>
        <w:t>办公室</w:t>
      </w:r>
      <w:r>
        <w:rPr>
          <w:rFonts w:hint="default" w:ascii="Times New Roman" w:hAnsi="Times New Roman" w:eastAsia="方正仿宋_GBK" w:cs="Times New Roman"/>
          <w:sz w:val="32"/>
          <w:szCs w:val="32"/>
          <w:highlight w:val="none"/>
        </w:rPr>
        <w:t>项目的资金使用效果、服务质量等，增强公众对档案馆的信任和满意度，争取更多的社会支持和资源投入。</w:t>
      </w:r>
    </w:p>
    <w:p>
      <w:pPr>
        <w:spacing w:line="560" w:lineRule="exact"/>
        <w:ind w:firstLine="640" w:firstLineChars="200"/>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明确党委办公室在项目经费管理中的主体责任，负责项目的整体规划、组织实施、经费预算编制与执行等工作。同时，明确财务部门、审计部门等相关部门在项目经费管理中的监督、审核等职责，形成各部门相互配合、相互监督的管理机制。</w:t>
      </w:r>
    </w:p>
    <w:p>
      <w:pPr>
        <w:spacing w:line="560" w:lineRule="exact"/>
        <w:ind w:firstLine="640" w:firstLineChars="200"/>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（4）促进项目持续改进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加强项目经费预算的编制管理，要求项目负责人根据项目目标和任务，科学合理地编制经费预算。预算要细化到具体的支出项目和金额，明确各项费用的开支标准和范围。同时，建立预算审批制度，预算方案需经党委办公室领导、财务部门等相关部门审核批准后才能执行。在项目实施过程中，严格执行预算，不得随意调整预算项目和金额，如因特殊情况需要调整，必须按照规定的程序办理审批手续。</w:t>
      </w:r>
    </w:p>
    <w:p>
      <w:pPr>
        <w:pStyle w:val="11"/>
        <w:widowControl w:val="0"/>
        <w:spacing w:before="0" w:after="0" w:line="560" w:lineRule="exact"/>
        <w:ind w:firstLine="640" w:firstLineChars="200"/>
        <w:jc w:val="both"/>
        <w:outlineLvl w:val="9"/>
        <w:rPr>
          <w:rFonts w:hint="default" w:ascii="Times New Roman" w:hAnsi="Times New Roman" w:eastAsia="方正仿宋_GBK" w:cs="Times New Roman"/>
          <w:b w:val="0"/>
          <w:bCs w:val="0"/>
        </w:rPr>
      </w:pPr>
      <w:r>
        <w:rPr>
          <w:rFonts w:hint="default" w:ascii="Times New Roman" w:hAnsi="Times New Roman" w:eastAsia="方正仿宋_GBK" w:cs="Times New Roman"/>
          <w:b w:val="0"/>
          <w:bCs w:val="0"/>
          <w:lang w:val="en-US" w:eastAsia="zh-CN"/>
        </w:rPr>
        <w:t>3</w:t>
      </w:r>
      <w:r>
        <w:rPr>
          <w:rFonts w:hint="default"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b w:val="0"/>
          <w:bCs w:val="0"/>
        </w:rPr>
        <w:t>绩效评价的对象</w:t>
      </w:r>
    </w:p>
    <w:p>
      <w:pPr>
        <w:spacing w:line="560" w:lineRule="exact"/>
        <w:ind w:firstLine="640" w:firstLineChars="200"/>
        <w:rPr>
          <w:rFonts w:hint="default" w:ascii="Times New Roman" w:hAnsi="Times New Roman" w:eastAsia="方正仿宋_GBK" w:cs="Times New Roman"/>
          <w:b w:val="0"/>
          <w:bCs w:val="0"/>
        </w:rPr>
      </w:pPr>
      <w:r>
        <w:rPr>
          <w:rFonts w:hint="default" w:ascii="Times New Roman" w:hAnsi="Times New Roman" w:eastAsia="方正仿宋_GBK" w:cs="Times New Roman"/>
          <w:color w:val="auto"/>
          <w:sz w:val="32"/>
          <w:szCs w:val="32"/>
          <w:highlight w:val="none"/>
        </w:rPr>
        <w:t>本项目预算绩效评价报告的评价对象是部门专项-党委办公室业务费及其预算执行情况。该项目由</w:t>
      </w:r>
      <w:r>
        <w:rPr>
          <w:rFonts w:hint="default" w:ascii="Times New Roman" w:hAnsi="Times New Roman" w:eastAsia="方正仿宋_GBK" w:cs="Times New Roman"/>
          <w:color w:val="auto"/>
          <w:sz w:val="32"/>
          <w:szCs w:val="32"/>
          <w:highlight w:val="none"/>
          <w:lang w:eastAsia="zh-CN"/>
        </w:rPr>
        <w:t>中共库尔勒市委员会办公室</w:t>
      </w:r>
      <w:r>
        <w:rPr>
          <w:rFonts w:hint="default" w:ascii="Times New Roman" w:hAnsi="Times New Roman" w:eastAsia="方正仿宋_GBK" w:cs="Times New Roman"/>
          <w:color w:val="auto"/>
          <w:sz w:val="32"/>
          <w:szCs w:val="32"/>
          <w:highlight w:val="none"/>
        </w:rPr>
        <w:t>负责实施，旨在保障了办公室45人的正常办公运转，在各领域安全风险隐患排查5次。项目经费主要保障以服务市委为中心，自觉对标对表“五个坚持”，履职尽责、担当作为，真正做到紧紧围绕大局、时时聚焦大局、处处服务大局，全力建设让党放心、让人民满意的模范机关，打造市委</w:t>
      </w:r>
      <w:r>
        <w:rPr>
          <w:rFonts w:hint="eastAsia"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坚强前哨</w:t>
      </w:r>
      <w:r>
        <w:rPr>
          <w:rFonts w:hint="eastAsia"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和</w:t>
      </w:r>
      <w:r>
        <w:rPr>
          <w:rFonts w:hint="eastAsia"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巩固后院</w:t>
      </w:r>
      <w:r>
        <w:rPr>
          <w:rFonts w:hint="eastAsia"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。项目预算涵盖从</w:t>
      </w:r>
      <w:r>
        <w:rPr>
          <w:rFonts w:hint="default" w:ascii="Times New Roman" w:hAnsi="Times New Roman" w:eastAsia="方正仿宋_GBK" w:cs="Times New Roman"/>
          <w:color w:val="auto"/>
          <w:sz w:val="32"/>
          <w:szCs w:val="32"/>
          <w:highlight w:val="none"/>
          <w:lang w:val="en-US" w:eastAsia="zh-CN"/>
        </w:rPr>
        <w:t>2024年1月1日</w:t>
      </w:r>
      <w:r>
        <w:rPr>
          <w:rFonts w:hint="default" w:ascii="Times New Roman" w:hAnsi="Times New Roman" w:eastAsia="方正仿宋_GBK" w:cs="Times New Roman"/>
          <w:color w:val="auto"/>
          <w:sz w:val="32"/>
          <w:szCs w:val="32"/>
          <w:highlight w:val="none"/>
        </w:rPr>
        <w:t>至</w:t>
      </w:r>
      <w:r>
        <w:rPr>
          <w:rFonts w:hint="default" w:ascii="Times New Roman" w:hAnsi="Times New Roman" w:eastAsia="方正仿宋_GBK" w:cs="Times New Roman"/>
          <w:color w:val="auto"/>
          <w:sz w:val="32"/>
          <w:szCs w:val="32"/>
          <w:highlight w:val="none"/>
          <w:lang w:val="en-US" w:eastAsia="zh-CN"/>
        </w:rPr>
        <w:t>2024年12月31日</w:t>
      </w:r>
      <w:r>
        <w:rPr>
          <w:rFonts w:hint="default" w:ascii="Times New Roman" w:hAnsi="Times New Roman" w:eastAsia="方正仿宋_GBK" w:cs="Times New Roman"/>
          <w:color w:val="auto"/>
          <w:sz w:val="32"/>
          <w:szCs w:val="32"/>
          <w:highlight w:val="none"/>
        </w:rPr>
        <w:t>的全部资金投入与支出，涉及资金总额为</w:t>
      </w:r>
      <w:r>
        <w:rPr>
          <w:rFonts w:hint="default" w:ascii="Times New Roman" w:hAnsi="Times New Roman" w:eastAsia="方正仿宋_GBK" w:cs="Times New Roman"/>
          <w:color w:val="auto"/>
          <w:sz w:val="32"/>
          <w:szCs w:val="32"/>
          <w:highlight w:val="none"/>
          <w:lang w:val="en-US" w:eastAsia="zh-CN"/>
        </w:rPr>
        <w:t>40万</w:t>
      </w:r>
      <w:r>
        <w:rPr>
          <w:rFonts w:hint="default" w:ascii="Times New Roman" w:hAnsi="Times New Roman" w:eastAsia="方正仿宋_GBK" w:cs="Times New Roman"/>
          <w:color w:val="auto"/>
          <w:sz w:val="32"/>
          <w:szCs w:val="32"/>
          <w:highlight w:val="none"/>
        </w:rPr>
        <w:t>元。</w:t>
      </w:r>
    </w:p>
    <w:p>
      <w:pPr>
        <w:pStyle w:val="11"/>
        <w:widowControl w:val="0"/>
        <w:spacing w:before="0" w:after="0" w:line="560" w:lineRule="exact"/>
        <w:ind w:firstLine="640" w:firstLineChars="200"/>
        <w:jc w:val="both"/>
        <w:outlineLvl w:val="9"/>
        <w:rPr>
          <w:rFonts w:hint="default" w:ascii="Times New Roman" w:hAnsi="Times New Roman" w:eastAsia="方正仿宋_GBK" w:cs="Times New Roman"/>
          <w:b w:val="0"/>
          <w:bCs w:val="0"/>
        </w:rPr>
      </w:pPr>
      <w:r>
        <w:rPr>
          <w:rFonts w:hint="default" w:ascii="Times New Roman" w:hAnsi="Times New Roman" w:eastAsia="方正仿宋_GBK" w:cs="Times New Roman"/>
          <w:b w:val="0"/>
          <w:bCs w:val="0"/>
          <w:lang w:val="en-US" w:eastAsia="zh-CN"/>
        </w:rPr>
        <w:t>4.</w:t>
      </w:r>
      <w:r>
        <w:rPr>
          <w:rFonts w:hint="default" w:ascii="Times New Roman" w:hAnsi="Times New Roman" w:eastAsia="方正仿宋_GBK" w:cs="Times New Roman"/>
          <w:b w:val="0"/>
          <w:bCs w:val="0"/>
        </w:rPr>
        <w:t>绩效评价的范围</w:t>
      </w:r>
    </w:p>
    <w:p>
      <w:pPr>
        <w:pStyle w:val="11"/>
        <w:widowControl w:val="0"/>
        <w:spacing w:before="0" w:after="0" w:line="560" w:lineRule="exact"/>
        <w:ind w:firstLine="640" w:firstLineChars="200"/>
        <w:jc w:val="both"/>
        <w:outlineLvl w:val="9"/>
        <w:rPr>
          <w:rFonts w:hint="default" w:ascii="Times New Roman" w:hAnsi="Times New Roman" w:eastAsia="方正仿宋_GBK" w:cs="Times New Roman"/>
          <w:b w:val="0"/>
          <w:bCs w:val="0"/>
          <w:sz w:val="32"/>
          <w:szCs w:val="32"/>
          <w:highlight w:val="none"/>
        </w:rPr>
      </w:pPr>
      <w:r>
        <w:rPr>
          <w:rFonts w:hint="default" w:ascii="Times New Roman" w:hAnsi="Times New Roman" w:eastAsia="方正仿宋_GBK" w:cs="Times New Roman"/>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方正仿宋_GBK" w:cs="Times New Roman"/>
          <w:b w:val="0"/>
          <w:bCs w:val="0"/>
          <w:sz w:val="32"/>
          <w:szCs w:val="32"/>
          <w:highlight w:val="none"/>
        </w:rPr>
      </w:pPr>
      <w:r>
        <w:rPr>
          <w:rFonts w:hint="default" w:ascii="Times New Roman" w:hAnsi="Times New Roman" w:eastAsia="方正仿宋_GBK" w:cs="Times New Roman"/>
          <w:b w:val="0"/>
          <w:bCs w:val="0"/>
          <w:sz w:val="32"/>
          <w:szCs w:val="32"/>
          <w:highlight w:val="none"/>
        </w:rPr>
        <w:t>项目预算编制与执行：全面审视项目预算的编制依据、合理性、科学性以及实际执行情况，包括预算调整的原因和效果。</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方正仿宋_GBK" w:cs="Times New Roman"/>
          <w:b w:val="0"/>
          <w:bCs w:val="0"/>
          <w:sz w:val="32"/>
          <w:szCs w:val="32"/>
          <w:highlight w:val="none"/>
          <w:lang w:eastAsia="zh-CN"/>
        </w:rPr>
      </w:pPr>
      <w:r>
        <w:rPr>
          <w:rFonts w:hint="default" w:ascii="Times New Roman" w:hAnsi="Times New Roman" w:eastAsia="方正仿宋_GBK" w:cs="Times New Roman"/>
          <w:b w:val="0"/>
          <w:bCs w:val="0"/>
          <w:sz w:val="32"/>
          <w:szCs w:val="32"/>
          <w:highlight w:val="none"/>
        </w:rPr>
        <w:t>资金管理：深入分析项目资金的分配、使用和监管情况，确保资金使用的合规性、高效性和透明度。在预算执行过程中的实际表现，包括预算执行的进度是否与计划相符，是否存在超预算支出或预算执行缓慢的问题。例如，是否按照预算安排及时采购档案管理所需的设备和物资，是否严格控制各项费用的支出，确保不超出预算额度。同时，分析预算调整的合理性和规范性，是否因特殊情况需要调整预算，调整的程序是否符合规定。</w:t>
      </w:r>
    </w:p>
    <w:p>
      <w:pPr>
        <w:spacing w:line="560" w:lineRule="exact"/>
        <w:ind w:firstLine="640" w:firstLineChars="200"/>
        <w:rPr>
          <w:rFonts w:hint="default" w:ascii="Times New Roman" w:hAnsi="Times New Roman" w:eastAsia="方正仿宋_GBK" w:cs="Times New Roman"/>
          <w:b w:val="0"/>
          <w:bCs w:val="0"/>
          <w:highlight w:val="green"/>
          <w:lang w:eastAsia="zh-CN"/>
        </w:rPr>
      </w:pPr>
      <w:r>
        <w:rPr>
          <w:rFonts w:hint="default" w:ascii="Times New Roman" w:hAnsi="Times New Roman" w:eastAsia="方正仿宋_GBK" w:cs="Times New Roman"/>
          <w:color w:val="auto"/>
          <w:sz w:val="32"/>
          <w:szCs w:val="32"/>
          <w:highlight w:val="none"/>
          <w:lang w:val="en-US" w:eastAsia="zh-CN"/>
        </w:rPr>
        <w:t>（3）项</w:t>
      </w:r>
      <w:r>
        <w:rPr>
          <w:rFonts w:hint="default" w:ascii="Times New Roman" w:hAnsi="Times New Roman" w:eastAsia="方正仿宋_GBK" w:cs="Times New Roman"/>
          <w:color w:val="auto"/>
          <w:sz w:val="32"/>
          <w:szCs w:val="32"/>
          <w:highlight w:val="none"/>
        </w:rPr>
        <w:t>目</w:t>
      </w:r>
      <w:r>
        <w:rPr>
          <w:rFonts w:hint="default" w:ascii="Times New Roman" w:hAnsi="Times New Roman" w:eastAsia="方正仿宋_GBK" w:cs="Times New Roman"/>
          <w:b w:val="0"/>
          <w:bCs w:val="0"/>
          <w:sz w:val="32"/>
          <w:szCs w:val="32"/>
          <w:highlight w:val="none"/>
        </w:rPr>
        <w:t>实施进度与产出：评估项目是否按照既定计划顺利推进，各项任务是否按时完成，以及项目产出的数量、质量和时效性是否符合预期。</w:t>
      </w:r>
    </w:p>
    <w:p>
      <w:pPr>
        <w:pStyle w:val="11"/>
        <w:widowControl w:val="0"/>
        <w:numPr>
          <w:ilvl w:val="0"/>
          <w:numId w:val="0"/>
        </w:numPr>
        <w:spacing w:before="0" w:after="0" w:line="560" w:lineRule="exact"/>
        <w:ind w:firstLine="640" w:firstLineChars="200"/>
        <w:jc w:val="both"/>
        <w:outlineLvl w:val="9"/>
        <w:rPr>
          <w:rFonts w:hint="default" w:ascii="Times New Roman" w:hAnsi="Times New Roman" w:eastAsia="方正仿宋_GBK" w:cs="Times New Roman"/>
          <w:b w:val="0"/>
          <w:bCs w:val="0"/>
          <w:sz w:val="32"/>
          <w:szCs w:val="32"/>
          <w:highlight w:val="none"/>
          <w:lang w:eastAsia="zh-CN"/>
        </w:rPr>
      </w:pPr>
      <w:r>
        <w:rPr>
          <w:rFonts w:hint="default" w:ascii="Times New Roman" w:hAnsi="Times New Roman" w:eastAsia="方正仿宋_GBK" w:cs="Times New Roman"/>
          <w:b w:val="0"/>
          <w:bCs w:val="0"/>
          <w:sz w:val="32"/>
          <w:szCs w:val="32"/>
          <w:highlight w:val="none"/>
          <w:lang w:eastAsia="zh-CN"/>
        </w:rPr>
        <w:t>（</w:t>
      </w:r>
      <w:r>
        <w:rPr>
          <w:rFonts w:hint="default" w:ascii="Times New Roman" w:hAnsi="Times New Roman" w:eastAsia="方正仿宋_GBK" w:cs="Times New Roman"/>
          <w:b w:val="0"/>
          <w:bCs w:val="0"/>
          <w:sz w:val="32"/>
          <w:szCs w:val="32"/>
          <w:highlight w:val="none"/>
          <w:lang w:val="en-US" w:eastAsia="zh-CN"/>
        </w:rPr>
        <w:t>4</w:t>
      </w:r>
      <w:r>
        <w:rPr>
          <w:rFonts w:hint="default" w:ascii="Times New Roman" w:hAnsi="Times New Roman" w:eastAsia="方正仿宋_GBK" w:cs="Times New Roman"/>
          <w:b w:val="0"/>
          <w:bCs w:val="0"/>
          <w:sz w:val="32"/>
          <w:szCs w:val="32"/>
          <w:highlight w:val="none"/>
          <w:lang w:eastAsia="zh-CN"/>
        </w:rPr>
        <w:t>）</w:t>
      </w:r>
      <w:r>
        <w:rPr>
          <w:rFonts w:hint="default" w:ascii="Times New Roman" w:hAnsi="Times New Roman" w:eastAsia="方正仿宋_GBK" w:cs="Times New Roman"/>
          <w:b w:val="0"/>
          <w:bCs w:val="0"/>
          <w:spacing w:val="-6"/>
          <w:sz w:val="32"/>
          <w:szCs w:val="32"/>
          <w:highlight w:val="none"/>
        </w:rPr>
        <w:t>社会影响：评估</w:t>
      </w:r>
      <w:r>
        <w:rPr>
          <w:rFonts w:hint="default" w:ascii="Times New Roman" w:hAnsi="Times New Roman" w:eastAsia="方正仿宋_GBK" w:cs="Times New Roman"/>
          <w:b w:val="0"/>
          <w:bCs w:val="0"/>
          <w:spacing w:val="-6"/>
          <w:sz w:val="32"/>
          <w:szCs w:val="32"/>
          <w:highlight w:val="none"/>
          <w:lang w:eastAsia="zh-CN"/>
        </w:rPr>
        <w:t>办公室工作</w:t>
      </w:r>
      <w:r>
        <w:rPr>
          <w:rFonts w:hint="default" w:ascii="Times New Roman" w:hAnsi="Times New Roman" w:eastAsia="方正仿宋_GBK" w:cs="Times New Roman"/>
          <w:b w:val="0"/>
          <w:bCs w:val="0"/>
          <w:spacing w:val="-6"/>
          <w:sz w:val="32"/>
          <w:szCs w:val="32"/>
          <w:highlight w:val="none"/>
        </w:rPr>
        <w:t>利用服务对社会、经济、文化等方面产生的实际影响，通过项目的实施，提高了党委办公室的工作效率和服务水平，促进了党委决策的科学化、民主化</w:t>
      </w:r>
      <w:r>
        <w:rPr>
          <w:rFonts w:hint="default" w:ascii="Times New Roman" w:hAnsi="Times New Roman" w:eastAsia="方正仿宋_GBK" w:cs="Times New Roman"/>
          <w:b w:val="0"/>
          <w:bCs w:val="0"/>
          <w:spacing w:val="-6"/>
          <w:sz w:val="32"/>
          <w:szCs w:val="32"/>
          <w:highlight w:val="none"/>
          <w:lang w:eastAsia="zh-CN"/>
        </w:rPr>
        <w:t>。</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hint="default" w:ascii="Times New Roman" w:hAnsi="Times New Roman" w:eastAsia="方正仿宋_GBK" w:cs="Times New Roman"/>
          <w:b w:val="0"/>
          <w:bCs w:val="0"/>
        </w:rPr>
      </w:pPr>
      <w:r>
        <w:rPr>
          <w:rFonts w:hint="default" w:ascii="Times New Roman" w:hAnsi="Times New Roman" w:eastAsia="方正仿宋_GBK" w:cs="Times New Roman"/>
          <w:b w:val="0"/>
          <w:bCs w:val="0"/>
        </w:rPr>
        <w:t>1</w:t>
      </w:r>
      <w:r>
        <w:rPr>
          <w:rFonts w:hint="default"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b w:val="0"/>
          <w:bCs w:val="0"/>
        </w:rPr>
        <w:t>绩效评价原则</w:t>
      </w:r>
    </w:p>
    <w:p>
      <w:pPr>
        <w:spacing w:line="56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方正仿宋_GBK" w:cs="Times New Roman"/>
          <w:b w:val="0"/>
          <w:bCs w:val="0"/>
        </w:rPr>
      </w:pPr>
      <w:r>
        <w:rPr>
          <w:rFonts w:hint="default" w:ascii="Times New Roman" w:hAnsi="Times New Roman" w:eastAsia="方正仿宋_GBK" w:cs="Times New Roman"/>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方正仿宋_GBK" w:cs="Times New Roman"/>
          <w:b w:val="0"/>
          <w:bCs w:val="0"/>
        </w:rPr>
      </w:pPr>
      <w:r>
        <w:rPr>
          <w:rFonts w:hint="default" w:ascii="Times New Roman" w:hAnsi="Times New Roman" w:eastAsia="方正仿宋_GBK"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方正仿宋_GBK" w:cs="Times New Roman"/>
          <w:b w:val="0"/>
          <w:bCs w:val="0"/>
        </w:rPr>
      </w:pPr>
      <w:r>
        <w:rPr>
          <w:rFonts w:hint="default" w:ascii="Times New Roman" w:hAnsi="Times New Roman" w:eastAsia="方正仿宋_GBK" w:cs="Times New Roman"/>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eastAsia="方正仿宋_GBK" w:cs="Times New Roman"/>
          <w:b w:val="0"/>
          <w:bCs w:val="0"/>
        </w:rPr>
      </w:pPr>
      <w:r>
        <w:rPr>
          <w:rFonts w:hint="default" w:ascii="Times New Roman" w:hAnsi="Times New Roman" w:eastAsia="方正仿宋_GBK" w:cs="Times New Roman"/>
          <w:b w:val="0"/>
          <w:bCs w:val="0"/>
        </w:rPr>
        <w:t>（4）公开透明。绩效评价结果应依法依规公开，并自觉接受社会监督。</w:t>
      </w:r>
    </w:p>
    <w:p>
      <w:pPr>
        <w:pStyle w:val="11"/>
        <w:widowControl w:val="0"/>
        <w:spacing w:before="0" w:after="0" w:line="560" w:lineRule="exact"/>
        <w:ind w:firstLine="640" w:firstLineChars="200"/>
        <w:jc w:val="both"/>
        <w:outlineLvl w:val="9"/>
        <w:rPr>
          <w:rFonts w:hint="default" w:ascii="Times New Roman" w:hAnsi="Times New Roman" w:eastAsia="方正仿宋_GBK" w:cs="Times New Roman"/>
          <w:b w:val="0"/>
          <w:bCs w:val="0"/>
        </w:rPr>
      </w:pPr>
      <w:r>
        <w:rPr>
          <w:rFonts w:hint="default" w:ascii="Times New Roman" w:hAnsi="Times New Roman" w:eastAsia="方正仿宋_GBK" w:cs="Times New Roman"/>
          <w:b w:val="0"/>
          <w:bCs w:val="0"/>
        </w:rPr>
        <w:t>2</w:t>
      </w:r>
      <w:r>
        <w:rPr>
          <w:rFonts w:hint="default"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b w:val="0"/>
          <w:bCs w:val="0"/>
        </w:rPr>
        <w:t>评价指标体系</w:t>
      </w:r>
    </w:p>
    <w:p>
      <w:pPr>
        <w:spacing w:line="560" w:lineRule="exact"/>
        <w:ind w:firstLine="640" w:firstLineChars="200"/>
        <w:rPr>
          <w:rFonts w:hint="default" w:ascii="Times New Roman" w:hAnsi="Times New Roman" w:eastAsia="方正仿宋_GBK" w:cs="Times New Roman"/>
          <w:color w:val="000000"/>
          <w:spacing w:val="0"/>
          <w:sz w:val="32"/>
          <w:szCs w:val="32"/>
        </w:rPr>
      </w:pPr>
      <w:r>
        <w:rPr>
          <w:rFonts w:hint="default" w:ascii="Times New Roman" w:hAnsi="Times New Roman" w:eastAsia="方正仿宋_GBK" w:cs="Times New Roman"/>
          <w:color w:val="000000"/>
          <w:spacing w:val="0"/>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方正仿宋_GBK" w:cs="Times New Roman"/>
          <w:color w:val="000000"/>
          <w:spacing w:val="17"/>
          <w:sz w:val="32"/>
          <w:szCs w:val="32"/>
        </w:rPr>
      </w:pPr>
      <w:r>
        <w:rPr>
          <w:rFonts w:hint="default" w:ascii="Times New Roman" w:hAnsi="Times New Roman" w:eastAsia="方正仿宋_GBK" w:cs="Times New Roman"/>
          <w:color w:val="000000"/>
          <w:spacing w:val="17"/>
          <w:sz w:val="32"/>
          <w:szCs w:val="32"/>
        </w:rPr>
        <w:t>（1）确定评价指标</w:t>
      </w:r>
    </w:p>
    <w:p>
      <w:pPr>
        <w:spacing w:line="560" w:lineRule="exact"/>
        <w:ind w:firstLine="640" w:firstLineChars="200"/>
        <w:rPr>
          <w:rFonts w:hint="default" w:ascii="Times New Roman" w:hAnsi="Times New Roman" w:eastAsia="方正仿宋_GBK" w:cs="Times New Roman"/>
          <w:color w:val="000000"/>
          <w:spacing w:val="0"/>
          <w:sz w:val="32"/>
          <w:szCs w:val="32"/>
        </w:rPr>
      </w:pPr>
      <w:r>
        <w:rPr>
          <w:rFonts w:hint="default" w:ascii="Times New Roman" w:hAnsi="Times New Roman" w:eastAsia="方正仿宋_GBK" w:cs="Times New Roman"/>
          <w:color w:val="000000"/>
          <w:spacing w:val="0"/>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方正仿宋_GBK" w:cs="Times New Roman"/>
          <w:color w:val="000000"/>
          <w:spacing w:val="17"/>
          <w:sz w:val="32"/>
          <w:szCs w:val="32"/>
        </w:rPr>
      </w:pPr>
      <w:r>
        <w:rPr>
          <w:rFonts w:hint="default" w:ascii="Times New Roman" w:hAnsi="Times New Roman" w:eastAsia="方正仿宋_GBK" w:cs="Times New Roman"/>
          <w:color w:val="000000"/>
          <w:spacing w:val="17"/>
          <w:sz w:val="32"/>
          <w:szCs w:val="32"/>
        </w:rPr>
        <w:t>（2）确定权重</w:t>
      </w:r>
    </w:p>
    <w:p>
      <w:pPr>
        <w:spacing w:line="560" w:lineRule="exact"/>
        <w:ind w:firstLine="640" w:firstLineChars="200"/>
        <w:rPr>
          <w:rFonts w:hint="default" w:ascii="Times New Roman" w:hAnsi="Times New Roman" w:eastAsia="方正仿宋_GBK" w:cs="Times New Roman"/>
          <w:color w:val="FF0000"/>
          <w:spacing w:val="0"/>
          <w:sz w:val="32"/>
          <w:szCs w:val="32"/>
          <w:lang w:eastAsia="zh-CN"/>
        </w:rPr>
      </w:pPr>
      <w:r>
        <w:rPr>
          <w:rFonts w:hint="default" w:ascii="Times New Roman" w:hAnsi="Times New Roman" w:eastAsia="方正仿宋_GBK" w:cs="Times New Roman"/>
          <w:color w:val="000000"/>
          <w:spacing w:val="0"/>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方正仿宋_GBK" w:cs="Times New Roman"/>
          <w:color w:val="000000"/>
          <w:spacing w:val="17"/>
          <w:sz w:val="32"/>
          <w:szCs w:val="32"/>
        </w:rPr>
      </w:pPr>
      <w:r>
        <w:rPr>
          <w:rFonts w:hint="default" w:ascii="Times New Roman" w:hAnsi="Times New Roman" w:eastAsia="方正仿宋_GBK" w:cs="Times New Roman"/>
          <w:color w:val="000000"/>
          <w:spacing w:val="17"/>
          <w:sz w:val="32"/>
          <w:szCs w:val="32"/>
        </w:rPr>
        <w:t>（3）确定指标标准值</w:t>
      </w:r>
    </w:p>
    <w:p>
      <w:pPr>
        <w:spacing w:line="560" w:lineRule="exact"/>
        <w:ind w:firstLine="708" w:firstLineChars="200"/>
        <w:rPr>
          <w:rFonts w:hint="default" w:ascii="Times New Roman" w:hAnsi="Times New Roman" w:eastAsia="方正仿宋_GBK" w:cs="Times New Roman"/>
          <w:color w:val="000000"/>
          <w:spacing w:val="17"/>
          <w:sz w:val="32"/>
          <w:szCs w:val="32"/>
        </w:rPr>
      </w:pPr>
      <w:r>
        <w:rPr>
          <w:rFonts w:hint="default" w:ascii="Times New Roman" w:hAnsi="Times New Roman" w:eastAsia="方正仿宋_GBK"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方正仿宋_GBK" w:cs="Times New Roman"/>
          <w:b w:val="0"/>
          <w:bCs w:val="0"/>
          <w:color w:val="000000"/>
          <w:spacing w:val="17"/>
          <w:kern w:val="2"/>
        </w:rPr>
      </w:pPr>
      <w:r>
        <w:rPr>
          <w:rFonts w:hint="default" w:ascii="Times New Roman" w:hAnsi="Times New Roman" w:eastAsia="方正仿宋_GBK" w:cs="Times New Roman"/>
          <w:b w:val="0"/>
          <w:bCs w:val="0"/>
          <w:color w:val="000000"/>
          <w:spacing w:val="17"/>
          <w:kern w:val="2"/>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hint="default" w:ascii="Times New Roman" w:hAnsi="Times New Roman" w:eastAsia="方正仿宋_GBK" w:cs="Times New Roman"/>
          <w:b w:val="0"/>
          <w:bCs w:val="0"/>
          <w:color w:val="000000"/>
          <w:spacing w:val="17"/>
        </w:rPr>
      </w:pPr>
      <w:r>
        <w:rPr>
          <w:rFonts w:hint="default" w:ascii="Times New Roman" w:hAnsi="Times New Roman" w:eastAsia="方正仿宋_GBK" w:cs="Times New Roman"/>
          <w:b w:val="0"/>
          <w:bCs w:val="0"/>
          <w:color w:val="000000"/>
          <w:spacing w:val="17"/>
        </w:rPr>
        <w:t>具体评价指标体系详情见附件1</w:t>
      </w:r>
    </w:p>
    <w:p>
      <w:pPr>
        <w:pStyle w:val="11"/>
        <w:widowControl w:val="0"/>
        <w:spacing w:before="0" w:after="0" w:line="560" w:lineRule="exact"/>
        <w:ind w:firstLine="640" w:firstLineChars="200"/>
        <w:jc w:val="both"/>
        <w:outlineLvl w:val="9"/>
        <w:rPr>
          <w:rFonts w:hint="default" w:ascii="Times New Roman" w:hAnsi="Times New Roman" w:eastAsia="方正仿宋_GBK" w:cs="Times New Roman"/>
          <w:b w:val="0"/>
          <w:bCs w:val="0"/>
        </w:rPr>
      </w:pPr>
      <w:r>
        <w:rPr>
          <w:rFonts w:hint="default" w:ascii="Times New Roman" w:hAnsi="Times New Roman" w:eastAsia="方正仿宋_GBK" w:cs="Times New Roman"/>
          <w:b w:val="0"/>
          <w:bCs w:val="0"/>
        </w:rPr>
        <w:t>3</w:t>
      </w:r>
      <w:r>
        <w:rPr>
          <w:rFonts w:hint="default" w:ascii="Times New Roman" w:hAnsi="Times New Roman" w:eastAsia="方正仿宋_GBK" w:cs="Times New Roman"/>
          <w:b w:val="0"/>
          <w:bCs w:val="0"/>
          <w:lang w:val="en-US" w:eastAsia="zh-CN"/>
        </w:rPr>
        <w:t>.</w:t>
      </w:r>
      <w:r>
        <w:rPr>
          <w:rFonts w:hint="default" w:ascii="Times New Roman" w:hAnsi="Times New Roman" w:eastAsia="方正仿宋_GBK" w:cs="Times New Roman"/>
          <w:b w:val="0"/>
          <w:bCs w:val="0"/>
        </w:rPr>
        <w:t>绩效评价方法</w:t>
      </w:r>
    </w:p>
    <w:p>
      <w:pPr>
        <w:spacing w:line="560" w:lineRule="exact"/>
        <w:ind w:firstLine="708" w:firstLineChars="200"/>
        <w:rPr>
          <w:rFonts w:hint="default" w:ascii="Times New Roman" w:hAnsi="Times New Roman" w:eastAsia="方正仿宋_GBK" w:cs="Times New Roman"/>
          <w:color w:val="000000"/>
          <w:spacing w:val="17"/>
          <w:sz w:val="32"/>
          <w:szCs w:val="32"/>
        </w:rPr>
      </w:pPr>
      <w:r>
        <w:rPr>
          <w:rFonts w:hint="default" w:ascii="Times New Roman" w:hAnsi="Times New Roman" w:eastAsia="方正仿宋_GBK"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640" w:firstLineChars="200"/>
        <w:rPr>
          <w:rFonts w:hint="default" w:ascii="Times New Roman" w:hAnsi="Times New Roman" w:eastAsia="方正仿宋_GBK" w:cs="Times New Roman"/>
          <w:color w:val="000000"/>
          <w:spacing w:val="0"/>
          <w:sz w:val="32"/>
          <w:szCs w:val="32"/>
        </w:rPr>
      </w:pPr>
      <w:r>
        <w:rPr>
          <w:rFonts w:hint="default" w:ascii="Times New Roman" w:hAnsi="Times New Roman" w:eastAsia="方正仿宋_GBK" w:cs="Times New Roman"/>
          <w:color w:val="000000"/>
          <w:spacing w:val="0"/>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b w:val="0"/>
          <w:bCs w:val="0"/>
          <w:kern w:val="28"/>
          <w:sz w:val="32"/>
          <w:szCs w:val="32"/>
          <w:lang w:val="en-US" w:eastAsia="zh-CN" w:bidi="ar-SA"/>
        </w:rPr>
      </w:pPr>
      <w:r>
        <w:rPr>
          <w:rFonts w:hint="default" w:ascii="Times New Roman" w:hAnsi="Times New Roman" w:eastAsia="方正仿宋_GBK" w:cs="Times New Roman"/>
          <w:b w:val="0"/>
          <w:bCs w:val="0"/>
          <w:kern w:val="28"/>
          <w:sz w:val="32"/>
          <w:szCs w:val="32"/>
          <w:lang w:val="en-US" w:eastAsia="zh-CN" w:bidi="ar-SA"/>
        </w:rPr>
        <w:t>本次项目支出绩效自评采用最低成本法方法。最低成本法是指在绩效目标确定的前提下，成本最小者为优的方法。其原因为该方法相对简单，不需要复杂的计算和大量的数据支持。只需确定各方案的成本，然后进行比较即可。对于办公室来说，无需投入过多的人力、物力和时间进行复杂的绩效评价分析，降低了评价成本和难度。</w:t>
      </w:r>
    </w:p>
    <w:p>
      <w:pPr>
        <w:pStyle w:val="11"/>
        <w:widowControl w:val="0"/>
        <w:spacing w:before="0" w:after="0" w:line="560" w:lineRule="exact"/>
        <w:ind w:firstLine="640" w:firstLineChars="200"/>
        <w:jc w:val="both"/>
        <w:outlineLvl w:val="9"/>
        <w:rPr>
          <w:rFonts w:hint="default" w:ascii="Times New Roman" w:hAnsi="Times New Roman" w:eastAsia="方正仿宋_GBK" w:cs="Times New Roman"/>
          <w:b w:val="0"/>
          <w:bCs w:val="0"/>
        </w:rPr>
      </w:pPr>
      <w:r>
        <w:rPr>
          <w:rFonts w:hint="default" w:ascii="Times New Roman" w:hAnsi="Times New Roman" w:eastAsia="方正仿宋_GBK" w:cs="Times New Roman"/>
          <w:b w:val="0"/>
          <w:bCs w:val="0"/>
        </w:rPr>
        <w:t>4</w:t>
      </w:r>
      <w:r>
        <w:rPr>
          <w:rFonts w:hint="default"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b w:val="0"/>
          <w:bCs w:val="0"/>
        </w:rPr>
        <w:t>评价标准</w:t>
      </w:r>
    </w:p>
    <w:p>
      <w:pPr>
        <w:pStyle w:val="11"/>
        <w:widowControl w:val="0"/>
        <w:spacing w:before="0" w:after="0" w:line="560" w:lineRule="exact"/>
        <w:ind w:firstLine="640" w:firstLineChars="200"/>
        <w:jc w:val="both"/>
        <w:outlineLvl w:val="9"/>
        <w:rPr>
          <w:rFonts w:hint="default" w:ascii="Times New Roman" w:hAnsi="Times New Roman" w:eastAsia="方正仿宋_GBK" w:cs="Times New Roman"/>
          <w:b w:val="0"/>
          <w:bCs w:val="0"/>
          <w:highlight w:val="none"/>
          <w:lang w:eastAsia="zh-CN"/>
        </w:rPr>
      </w:pPr>
      <w:r>
        <w:rPr>
          <w:rFonts w:hint="default" w:ascii="Times New Roman" w:hAnsi="Times New Roman" w:eastAsia="方正仿宋_GBK" w:cs="Times New Roman"/>
          <w:b w:val="0"/>
          <w:bCs w:val="0"/>
        </w:rPr>
        <w:t>绩效评价标准通常包括计划标准、行业标准、历史标准等，用</w:t>
      </w:r>
      <w:r>
        <w:rPr>
          <w:rFonts w:hint="default" w:ascii="Times New Roman" w:hAnsi="Times New Roman" w:eastAsia="方正仿宋_GBK" w:cs="Times New Roman"/>
          <w:b w:val="0"/>
          <w:bCs w:val="0"/>
          <w:highlight w:val="none"/>
        </w:rPr>
        <w:t>于对绩效指标完成情况进行比较、分析、评价。本次评价主要采用了计划标准</w:t>
      </w:r>
      <w:r>
        <w:rPr>
          <w:rFonts w:hint="default" w:ascii="Times New Roman" w:hAnsi="Times New Roman" w:eastAsia="方正仿宋_GBK" w:cs="Times New Roman"/>
          <w:b w:val="0"/>
          <w:bCs w:val="0"/>
          <w:highlight w:val="none"/>
          <w:lang w:eastAsia="zh-CN"/>
        </w:rPr>
        <w:t>。</w:t>
      </w:r>
      <w:r>
        <w:rPr>
          <w:rFonts w:hint="default" w:ascii="Times New Roman" w:hAnsi="Times New Roman" w:eastAsia="方正仿宋_GBK" w:cs="Times New Roman"/>
          <w:b w:val="0"/>
          <w:bCs w:val="0"/>
          <w:highlight w:val="none"/>
        </w:rPr>
        <w:t>计划标准指以预先制定的目标、计划、预算、定额等作为评价标准。</w:t>
      </w:r>
      <w:r>
        <w:rPr>
          <w:rFonts w:hint="default" w:ascii="Times New Roman" w:hAnsi="Times New Roman" w:eastAsia="方正仿宋_GBK" w:cs="Times New Roman"/>
          <w:b w:val="0"/>
          <w:bCs w:val="0"/>
          <w:highlight w:val="none"/>
          <w:lang w:eastAsia="zh-CN"/>
        </w:rPr>
        <w:t>采用</w:t>
      </w:r>
      <w:r>
        <w:rPr>
          <w:rFonts w:hint="default" w:ascii="Times New Roman" w:hAnsi="Times New Roman" w:eastAsia="方正仿宋_GBK" w:cs="Times New Roman"/>
          <w:b w:val="0"/>
          <w:bCs w:val="0"/>
          <w:highlight w:val="none"/>
        </w:rPr>
        <w:t>计划标准</w:t>
      </w:r>
      <w:r>
        <w:rPr>
          <w:rFonts w:hint="default" w:ascii="Times New Roman" w:hAnsi="Times New Roman" w:eastAsia="方正仿宋_GBK" w:cs="Times New Roman"/>
          <w:b w:val="0"/>
          <w:bCs w:val="0"/>
          <w:highlight w:val="none"/>
          <w:lang w:eastAsia="zh-CN"/>
        </w:rPr>
        <w:t>是因为计划标准能够清晰地界定项目的目标和任务，明确规定经费使用的方向和重点。这有助于党委办公室全体成员理解项目的整体意图，确保各项工作围绕既定目标展开，避免经费使用的盲目性和随意性。</w:t>
      </w:r>
    </w:p>
    <w:p>
      <w:pPr>
        <w:pStyle w:val="11"/>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spacing w:line="560" w:lineRule="exact"/>
        <w:ind w:firstLine="640" w:firstLineChars="200"/>
        <w:rPr>
          <w:rFonts w:hint="default" w:ascii="Times New Roman" w:hAnsi="Times New Roman" w:eastAsia="方正仿宋_GBK" w:cs="Times New Roman"/>
          <w:color w:val="000000"/>
          <w:spacing w:val="0"/>
          <w:sz w:val="32"/>
          <w:szCs w:val="32"/>
        </w:rPr>
      </w:pPr>
      <w:r>
        <w:rPr>
          <w:rFonts w:hint="default" w:ascii="Times New Roman" w:hAnsi="Times New Roman" w:eastAsia="方正仿宋_GBK" w:cs="Times New Roman"/>
          <w:color w:val="000000"/>
          <w:spacing w:val="0"/>
          <w:sz w:val="32"/>
          <w:szCs w:val="32"/>
          <w:lang w:eastAsia="zh-CN"/>
        </w:rPr>
        <w:t>（</w:t>
      </w:r>
      <w:r>
        <w:rPr>
          <w:rFonts w:hint="default" w:ascii="Times New Roman" w:hAnsi="Times New Roman" w:eastAsia="方正仿宋_GBK" w:cs="Times New Roman"/>
          <w:color w:val="000000"/>
          <w:spacing w:val="0"/>
          <w:sz w:val="32"/>
          <w:szCs w:val="32"/>
          <w:lang w:val="en-US" w:eastAsia="zh-CN"/>
        </w:rPr>
        <w:t>1</w:t>
      </w:r>
      <w:r>
        <w:rPr>
          <w:rFonts w:hint="default" w:ascii="Times New Roman" w:hAnsi="Times New Roman" w:eastAsia="方正仿宋_GBK" w:cs="Times New Roman"/>
          <w:color w:val="000000"/>
          <w:spacing w:val="0"/>
          <w:sz w:val="32"/>
          <w:szCs w:val="32"/>
          <w:lang w:eastAsia="zh-CN"/>
        </w:rPr>
        <w:t>）</w:t>
      </w:r>
      <w:r>
        <w:rPr>
          <w:rFonts w:hint="default" w:ascii="Times New Roman" w:hAnsi="Times New Roman" w:eastAsia="方正仿宋_GBK" w:cs="Times New Roman"/>
          <w:color w:val="000000"/>
          <w:spacing w:val="0"/>
          <w:sz w:val="32"/>
          <w:szCs w:val="32"/>
        </w:rPr>
        <w:t>前期准备与规划</w:t>
      </w:r>
    </w:p>
    <w:p>
      <w:pPr>
        <w:spacing w:line="560" w:lineRule="exact"/>
        <w:ind w:firstLine="640" w:firstLineChars="200"/>
        <w:rPr>
          <w:rFonts w:hint="default" w:ascii="Times New Roman" w:hAnsi="Times New Roman" w:eastAsia="方正仿宋_GBK" w:cs="Times New Roman"/>
          <w:sz w:val="32"/>
          <w:szCs w:val="32"/>
          <w:highlight w:val="green"/>
        </w:rPr>
      </w:pPr>
      <w:r>
        <w:rPr>
          <w:rFonts w:hint="default" w:ascii="Times New Roman" w:hAnsi="Times New Roman" w:eastAsia="方正仿宋_GBK" w:cs="Times New Roman"/>
          <w:color w:val="000000"/>
          <w:spacing w:val="0"/>
          <w:sz w:val="32"/>
          <w:szCs w:val="32"/>
        </w:rPr>
        <w:t>首先成立由党委办公室</w:t>
      </w:r>
      <w:r>
        <w:rPr>
          <w:rFonts w:hint="default" w:ascii="Times New Roman" w:hAnsi="Times New Roman" w:eastAsia="方正仿宋_GBK" w:cs="Times New Roman"/>
          <w:sz w:val="32"/>
          <w:szCs w:val="32"/>
          <w:highlight w:val="none"/>
        </w:rPr>
        <w:t>负责人、财务人员、业务骨干组成的绩效评价小组，明确人员分工</w:t>
      </w:r>
      <w:r>
        <w:rPr>
          <w:rFonts w:hint="default" w:ascii="Times New Roman" w:hAnsi="Times New Roman" w:eastAsia="方正仿宋_GBK" w:cs="Times New Roman"/>
          <w:sz w:val="32"/>
          <w:szCs w:val="32"/>
          <w:highlight w:val="none"/>
          <w:lang w:eastAsia="zh-CN"/>
        </w:rPr>
        <w:t>毛扬为</w:t>
      </w:r>
      <w:r>
        <w:rPr>
          <w:rFonts w:hint="default" w:ascii="Times New Roman" w:hAnsi="Times New Roman" w:eastAsia="方正仿宋_GBK" w:cs="Times New Roman"/>
          <w:sz w:val="32"/>
          <w:szCs w:val="32"/>
          <w:highlight w:val="none"/>
        </w:rPr>
        <w:t>负责人</w:t>
      </w:r>
      <w:r>
        <w:rPr>
          <w:rFonts w:hint="default" w:ascii="Times New Roman" w:hAnsi="Times New Roman" w:eastAsia="方正仿宋_GBK" w:cs="Times New Roman"/>
          <w:sz w:val="32"/>
          <w:szCs w:val="32"/>
          <w:highlight w:val="none"/>
          <w:lang w:eastAsia="zh-CN"/>
        </w:rPr>
        <w:t>、曹馨月为</w:t>
      </w:r>
      <w:r>
        <w:rPr>
          <w:rFonts w:hint="default" w:ascii="Times New Roman" w:hAnsi="Times New Roman" w:eastAsia="方正仿宋_GBK" w:cs="Times New Roman"/>
          <w:sz w:val="32"/>
          <w:szCs w:val="32"/>
          <w:highlight w:val="none"/>
        </w:rPr>
        <w:t>财务人员</w:t>
      </w:r>
      <w:r>
        <w:rPr>
          <w:rFonts w:hint="default" w:ascii="Times New Roman" w:hAnsi="Times New Roman" w:eastAsia="方正仿宋_GBK" w:cs="Times New Roman"/>
          <w:sz w:val="32"/>
          <w:szCs w:val="32"/>
          <w:highlight w:val="none"/>
          <w:lang w:eastAsia="zh-CN"/>
        </w:rPr>
        <w:t>、</w:t>
      </w:r>
      <w:r>
        <w:rPr>
          <w:rFonts w:hint="eastAsia" w:ascii="Times New Roman" w:hAnsi="Times New Roman" w:eastAsia="方正仿宋_GBK" w:cs="Times New Roman"/>
          <w:sz w:val="32"/>
          <w:szCs w:val="32"/>
          <w:highlight w:val="none"/>
          <w:lang w:val="en-US" w:eastAsia="zh-CN"/>
        </w:rPr>
        <w:t>熊传龙</w:t>
      </w:r>
      <w:r>
        <w:rPr>
          <w:rFonts w:hint="default" w:ascii="Times New Roman" w:hAnsi="Times New Roman" w:eastAsia="方正仿宋_GBK" w:cs="Times New Roman"/>
          <w:sz w:val="32"/>
          <w:szCs w:val="32"/>
          <w:highlight w:val="none"/>
          <w:lang w:eastAsia="zh-CN"/>
        </w:rPr>
        <w:t>为</w:t>
      </w:r>
      <w:r>
        <w:rPr>
          <w:rFonts w:hint="default" w:ascii="Times New Roman" w:hAnsi="Times New Roman" w:eastAsia="方正仿宋_GBK" w:cs="Times New Roman"/>
          <w:sz w:val="32"/>
          <w:szCs w:val="32"/>
          <w:highlight w:val="none"/>
        </w:rPr>
        <w:t>业务骨干；同时依据党委办公室工作职能、项目目标与经费管理要求；最后，全面收集项目立项文件、预算方案、经费支出凭证、工作成果报告等相关资料。</w:t>
      </w:r>
    </w:p>
    <w:p>
      <w:pPr>
        <w:spacing w:line="560" w:lineRule="exact"/>
        <w:ind w:firstLine="640" w:firstLineChars="200"/>
        <w:rPr>
          <w:rFonts w:hint="default" w:ascii="Times New Roman" w:hAnsi="Times New Roman" w:eastAsia="方正仿宋_GBK" w:cs="Times New Roman"/>
          <w:color w:val="000000"/>
          <w:spacing w:val="0"/>
          <w:sz w:val="32"/>
          <w:szCs w:val="32"/>
          <w:lang w:eastAsia="zh-CN"/>
        </w:rPr>
      </w:pPr>
      <w:r>
        <w:rPr>
          <w:rFonts w:hint="default" w:ascii="Times New Roman" w:hAnsi="Times New Roman" w:eastAsia="方正仿宋_GBK" w:cs="Times New Roman"/>
          <w:color w:val="000000"/>
          <w:spacing w:val="0"/>
          <w:sz w:val="32"/>
          <w:szCs w:val="32"/>
          <w:lang w:eastAsia="zh-CN"/>
        </w:rPr>
        <w:t>（</w:t>
      </w:r>
      <w:r>
        <w:rPr>
          <w:rFonts w:hint="default" w:ascii="Times New Roman" w:hAnsi="Times New Roman" w:eastAsia="方正仿宋_GBK" w:cs="Times New Roman"/>
          <w:color w:val="000000"/>
          <w:spacing w:val="0"/>
          <w:sz w:val="32"/>
          <w:szCs w:val="32"/>
          <w:lang w:val="en-US" w:eastAsia="zh-CN"/>
        </w:rPr>
        <w:t>2</w:t>
      </w:r>
      <w:r>
        <w:rPr>
          <w:rFonts w:hint="default" w:ascii="Times New Roman" w:hAnsi="Times New Roman" w:eastAsia="方正仿宋_GBK" w:cs="Times New Roman"/>
          <w:color w:val="000000"/>
          <w:spacing w:val="0"/>
          <w:sz w:val="32"/>
          <w:szCs w:val="32"/>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green"/>
          <w:lang w:eastAsia="zh-CN"/>
        </w:rPr>
      </w:pPr>
      <w:r>
        <w:rPr>
          <w:rFonts w:hint="default" w:ascii="Times New Roman" w:hAnsi="Times New Roman" w:eastAsia="方正仿宋_GBK" w:cs="Times New Roman"/>
          <w:sz w:val="32"/>
          <w:szCs w:val="32"/>
          <w:highlight w:val="none"/>
          <w:lang w:eastAsia="zh-CN"/>
        </w:rPr>
        <w:t>指标设计基于党委办公室实际工作需求与经费管理规范，确保评价逻辑严谨、方法合理，能真实反映经费使用绩效。涵盖项目经费使用的全流程，包括投入、过程、产出和效益等环节，避免评价片面化。所有指标均与党委办公室项目工作紧密相关，能够有效衡量经费对工作目标实现的支持程度。</w:t>
      </w:r>
    </w:p>
    <w:p>
      <w:pPr>
        <w:spacing w:line="560" w:lineRule="exact"/>
        <w:ind w:firstLine="640" w:firstLineChars="200"/>
        <w:rPr>
          <w:rFonts w:hint="default" w:ascii="Times New Roman" w:hAnsi="Times New Roman" w:eastAsia="方正仿宋_GBK" w:cs="Times New Roman"/>
          <w:color w:val="000000"/>
          <w:spacing w:val="0"/>
          <w:sz w:val="32"/>
          <w:szCs w:val="32"/>
          <w:lang w:eastAsia="zh-CN"/>
        </w:rPr>
      </w:pPr>
      <w:r>
        <w:rPr>
          <w:rFonts w:hint="default" w:ascii="Times New Roman" w:hAnsi="Times New Roman" w:eastAsia="方正仿宋_GBK" w:cs="Times New Roman"/>
          <w:color w:val="000000"/>
          <w:spacing w:val="0"/>
          <w:sz w:val="32"/>
          <w:szCs w:val="32"/>
          <w:lang w:eastAsia="zh-CN"/>
        </w:rPr>
        <w:t>（</w:t>
      </w:r>
      <w:r>
        <w:rPr>
          <w:rFonts w:hint="default" w:ascii="Times New Roman" w:hAnsi="Times New Roman" w:eastAsia="方正仿宋_GBK" w:cs="Times New Roman"/>
          <w:color w:val="000000"/>
          <w:spacing w:val="0"/>
          <w:sz w:val="32"/>
          <w:szCs w:val="32"/>
          <w:lang w:val="en-US" w:eastAsia="zh-CN"/>
        </w:rPr>
        <w:t>3</w:t>
      </w:r>
      <w:r>
        <w:rPr>
          <w:rFonts w:hint="default" w:ascii="Times New Roman" w:hAnsi="Times New Roman" w:eastAsia="方正仿宋_GBK" w:cs="Times New Roman"/>
          <w:color w:val="000000"/>
          <w:spacing w:val="0"/>
          <w:sz w:val="32"/>
          <w:szCs w:val="32"/>
          <w:lang w:eastAsia="zh-CN"/>
        </w:rPr>
        <w:t>）报告撰写与反馈</w:t>
      </w:r>
    </w:p>
    <w:p>
      <w:pPr>
        <w:spacing w:line="560" w:lineRule="exact"/>
        <w:ind w:firstLine="616" w:firstLineChars="200"/>
        <w:rPr>
          <w:rFonts w:hint="default" w:ascii="Times New Roman" w:hAnsi="Times New Roman" w:eastAsia="方正仿宋_GBK" w:cs="Times New Roman"/>
          <w:color w:val="000000"/>
          <w:spacing w:val="-6"/>
          <w:sz w:val="32"/>
          <w:szCs w:val="32"/>
          <w:lang w:eastAsia="zh-CN"/>
        </w:rPr>
      </w:pPr>
      <w:r>
        <w:rPr>
          <w:rFonts w:hint="default" w:ascii="Times New Roman" w:hAnsi="Times New Roman" w:eastAsia="方正仿宋_GBK" w:cs="Times New Roman"/>
          <w:color w:val="000000"/>
          <w:spacing w:val="-6"/>
          <w:sz w:val="32"/>
          <w:szCs w:val="32"/>
          <w:lang w:eastAsia="zh-CN"/>
        </w:rPr>
        <w:t>工作小组根据评价结果，撰写详细的绩效评价报告。报告内容包括评价工作概述、评价结果、存在的问题分析、改进建议等，客观准确地反映办公室的绩效状况，为后续决策提供依据。</w:t>
      </w:r>
    </w:p>
    <w:p>
      <w:pPr>
        <w:spacing w:line="560" w:lineRule="exact"/>
        <w:ind w:firstLine="640" w:firstLineChars="200"/>
        <w:rPr>
          <w:rFonts w:hint="default" w:ascii="Times New Roman" w:hAnsi="Times New Roman" w:eastAsia="方正仿宋_GBK" w:cs="Times New Roman"/>
          <w:color w:val="000000"/>
          <w:spacing w:val="0"/>
          <w:sz w:val="32"/>
          <w:szCs w:val="32"/>
          <w:lang w:eastAsia="zh-CN"/>
        </w:rPr>
      </w:pPr>
      <w:r>
        <w:rPr>
          <w:rFonts w:hint="default" w:ascii="Times New Roman" w:hAnsi="Times New Roman" w:eastAsia="方正仿宋_GBK" w:cs="Times New Roman"/>
          <w:color w:val="000000"/>
          <w:spacing w:val="0"/>
          <w:sz w:val="32"/>
          <w:szCs w:val="32"/>
          <w:lang w:eastAsia="zh-CN"/>
        </w:rPr>
        <w:t>（</w:t>
      </w:r>
      <w:r>
        <w:rPr>
          <w:rFonts w:hint="default" w:ascii="Times New Roman" w:hAnsi="Times New Roman" w:eastAsia="方正仿宋_GBK" w:cs="Times New Roman"/>
          <w:color w:val="000000"/>
          <w:spacing w:val="0"/>
          <w:sz w:val="32"/>
          <w:szCs w:val="32"/>
          <w:lang w:val="en-US" w:eastAsia="zh-CN"/>
        </w:rPr>
        <w:t>4</w:t>
      </w:r>
      <w:r>
        <w:rPr>
          <w:rFonts w:hint="default" w:ascii="Times New Roman" w:hAnsi="Times New Roman" w:eastAsia="方正仿宋_GBK" w:cs="Times New Roman"/>
          <w:color w:val="000000"/>
          <w:spacing w:val="0"/>
          <w:sz w:val="32"/>
          <w:szCs w:val="32"/>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green"/>
          <w:lang w:eastAsia="zh-CN"/>
        </w:rPr>
      </w:pPr>
      <w:r>
        <w:rPr>
          <w:rFonts w:hint="default" w:ascii="Times New Roman" w:hAnsi="Times New Roman" w:eastAsia="方正仿宋_GBK" w:cs="Times New Roman"/>
          <w:sz w:val="32"/>
          <w:szCs w:val="32"/>
          <w:highlight w:val="none"/>
          <w:lang w:eastAsia="zh-CN"/>
        </w:rPr>
        <w:t>在评价报告提交后，我们将持续跟踪项目的改进措施落实情况。详细解读评价报告，说明评价过程和结果，听取被评价方的意见和解释，共同探讨存在问题的原因和改进措施。</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本项目的综合评价基于对项目各方面绩效的深入分析与评估。从项目目标的达成情况来看，</w:t>
      </w:r>
      <w:r>
        <w:rPr>
          <w:rFonts w:hint="default" w:ascii="Times New Roman" w:hAnsi="Times New Roman" w:eastAsia="方正仿宋_GBK" w:cs="Times New Roman"/>
          <w:color w:val="auto"/>
          <w:sz w:val="32"/>
          <w:szCs w:val="32"/>
          <w:highlight w:val="none"/>
        </w:rPr>
        <w:t>部门专项-党委办公室业务费</w:t>
      </w:r>
      <w:r>
        <w:rPr>
          <w:rFonts w:hint="default" w:ascii="Times New Roman" w:hAnsi="Times New Roman" w:eastAsia="方正仿宋_GBK" w:cs="Times New Roman"/>
          <w:sz w:val="32"/>
          <w:szCs w:val="32"/>
          <w:highlight w:val="none"/>
        </w:rPr>
        <w:t>在保障办公人员45人，各领域安全风险隐患排查次数不少于12次。通过项目实施有效提高宣传政策知晓率。等方面表现出色，达到了预期的标准与要求。同时，项目也在</w:t>
      </w:r>
      <w:r>
        <w:rPr>
          <w:rFonts w:hint="default" w:ascii="Times New Roman" w:hAnsi="Times New Roman" w:eastAsia="方正仿宋_GBK" w:cs="Times New Roman"/>
          <w:sz w:val="32"/>
          <w:szCs w:val="32"/>
          <w:highlight w:val="none"/>
          <w:lang w:val="en-US" w:eastAsia="zh-CN"/>
        </w:rPr>
        <w:t>优化办公条件</w:t>
      </w:r>
      <w:r>
        <w:rPr>
          <w:rFonts w:hint="default" w:ascii="Times New Roman" w:hAnsi="Times New Roman" w:eastAsia="方正仿宋_GBK" w:cs="Times New Roman"/>
          <w:sz w:val="32"/>
          <w:szCs w:val="32"/>
          <w:highlight w:val="none"/>
        </w:rPr>
        <w:t>取得了显著的成效，如</w:t>
      </w:r>
      <w:r>
        <w:rPr>
          <w:rFonts w:hint="default" w:ascii="Times New Roman" w:hAnsi="Times New Roman" w:eastAsia="方正仿宋_GBK" w:cs="Times New Roman"/>
          <w:sz w:val="32"/>
          <w:szCs w:val="32"/>
          <w:highlight w:val="none"/>
          <w:lang w:val="en-US" w:eastAsia="zh-CN"/>
        </w:rPr>
        <w:t>利用项目经费升级办公设备，如更换高速电脑、多功能打印机等，提升文件处理、会议组织等日常工作的效率。此外，还可以用于引入先进的办公自动化系统，实现文件流转、信息共享的电子化，减少人工操作，缩短工作流程时间等</w:t>
      </w:r>
      <w:r>
        <w:rPr>
          <w:rFonts w:hint="default" w:ascii="Times New Roman" w:hAnsi="Times New Roman" w:eastAsia="方正仿宋_GBK" w:cs="Times New Roman"/>
          <w:sz w:val="32"/>
          <w:szCs w:val="32"/>
          <w:highlight w:val="none"/>
        </w:rPr>
        <w:t>。</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在项目管理方面，</w:t>
      </w:r>
      <w:r>
        <w:rPr>
          <w:rFonts w:hint="default" w:ascii="Times New Roman" w:hAnsi="Times New Roman" w:eastAsia="方正仿宋_GBK" w:cs="Times New Roman"/>
          <w:sz w:val="32"/>
          <w:szCs w:val="32"/>
          <w:highlight w:val="none"/>
          <w:lang w:eastAsia="zh-CN"/>
        </w:rPr>
        <w:t>中共库尔勒市委员会办公室</w:t>
      </w:r>
      <w:r>
        <w:rPr>
          <w:rFonts w:hint="default" w:ascii="Times New Roman" w:hAnsi="Times New Roman" w:eastAsia="方正仿宋_GBK" w:cs="Times New Roman"/>
          <w:sz w:val="32"/>
          <w:szCs w:val="32"/>
          <w:highlight w:val="none"/>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从项目效益的角度来看，本项目实现了预期的社会效益</w:t>
      </w:r>
      <w:r>
        <w:rPr>
          <w:rFonts w:hint="default" w:ascii="Times New Roman" w:hAnsi="Times New Roman" w:eastAsia="方正仿宋_GBK" w:cs="Times New Roman"/>
          <w:sz w:val="32"/>
          <w:szCs w:val="32"/>
          <w:highlight w:val="none"/>
          <w:lang w:val="en-US" w:eastAsia="zh-CN"/>
        </w:rPr>
        <w:t>提高宣传政策知晓</w:t>
      </w:r>
      <w:r>
        <w:rPr>
          <w:rFonts w:hint="default" w:ascii="Times New Roman" w:hAnsi="Times New Roman" w:eastAsia="方正仿宋_GBK" w:cs="Times New Roman"/>
          <w:sz w:val="32"/>
          <w:szCs w:val="32"/>
          <w:highlight w:val="none"/>
        </w:rPr>
        <w:t>等方面产生了积极的影响。具体而言，</w:t>
      </w:r>
      <w:r>
        <w:rPr>
          <w:rFonts w:hint="default" w:ascii="Times New Roman" w:hAnsi="Times New Roman" w:eastAsia="方正仿宋_GBK" w:cs="Times New Roman"/>
          <w:sz w:val="32"/>
          <w:szCs w:val="32"/>
          <w:highlight w:val="none"/>
          <w:lang w:val="en-US" w:eastAsia="zh-CN"/>
        </w:rPr>
        <w:t>广泛宣传党的路线方针政策和党委的工作部署，营造良好的党建工作氛围，提高党员干部和群众对党建工作的关注度和参与度等方面的提升，为项目的利益相关者带来了实实在在的利益。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方正仿宋_GBK" w:cs="Times New Roman"/>
          <w:highlight w:val="none"/>
        </w:rPr>
      </w:pPr>
      <w:r>
        <w:rPr>
          <w:rFonts w:hint="default" w:ascii="Times New Roman" w:hAnsi="Times New Roman" w:eastAsia="方正仿宋_GBK" w:cs="Times New Roman"/>
          <w:sz w:val="32"/>
          <w:szCs w:val="32"/>
          <w:highlight w:val="none"/>
        </w:rPr>
        <w:t>综上所述，部门专项-党委办公室业务费在绩效评价中表现出色，达到了项目的预期目标，并在多个方面取得了显著的成效。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default" w:ascii="Times New Roman" w:hAnsi="Times New Roman" w:eastAsia="方正仿宋_GBK" w:cs="Times New Roman"/>
          <w:b w:val="0"/>
          <w:bCs w:val="0"/>
          <w:highlight w:val="none"/>
          <w:lang w:eastAsia="zh-CN"/>
        </w:rPr>
      </w:pPr>
      <w:r>
        <w:rPr>
          <w:rFonts w:hint="default" w:ascii="Times New Roman" w:hAnsi="Times New Roman" w:eastAsia="方正仿宋_GBK"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default" w:ascii="Times New Roman" w:hAnsi="Times New Roman" w:eastAsia="方正仿宋_GBK" w:cs="Times New Roman"/>
          <w:b w:val="0"/>
          <w:bCs w:val="0"/>
          <w:highlight w:val="none"/>
          <w:lang w:val="en-US" w:eastAsia="zh-CN"/>
        </w:rPr>
        <w:t>97.1</w:t>
      </w:r>
      <w:r>
        <w:rPr>
          <w:rFonts w:hint="default" w:ascii="Times New Roman" w:hAnsi="Times New Roman" w:eastAsia="方正仿宋_GBK" w:cs="Times New Roman"/>
          <w:b w:val="0"/>
          <w:bCs w:val="0"/>
          <w:highlight w:val="none"/>
        </w:rPr>
        <w:t>分，属于“优”。其中，项目决策类指标权重为20分，得分为</w:t>
      </w:r>
      <w:r>
        <w:rPr>
          <w:rFonts w:hint="default" w:ascii="Times New Roman" w:hAnsi="Times New Roman" w:eastAsia="方正仿宋_GBK" w:cs="Times New Roman"/>
          <w:b w:val="0"/>
          <w:bCs w:val="0"/>
          <w:highlight w:val="none"/>
          <w:lang w:val="en-US" w:eastAsia="zh-CN"/>
        </w:rPr>
        <w:t>20</w:t>
      </w:r>
      <w:r>
        <w:rPr>
          <w:rFonts w:hint="default" w:ascii="Times New Roman" w:hAnsi="Times New Roman" w:eastAsia="方正仿宋_GBK" w:cs="Times New Roman"/>
          <w:b w:val="0"/>
          <w:bCs w:val="0"/>
          <w:highlight w:val="none"/>
        </w:rPr>
        <w:t>分，得分率为</w:t>
      </w:r>
      <w:r>
        <w:rPr>
          <w:rFonts w:hint="default" w:ascii="Times New Roman" w:hAnsi="Times New Roman" w:eastAsia="方正仿宋_GBK" w:cs="Times New Roman"/>
          <w:b w:val="0"/>
          <w:bCs w:val="0"/>
          <w:highlight w:val="none"/>
          <w:lang w:val="en-US" w:eastAsia="zh-CN"/>
        </w:rPr>
        <w:t>100</w:t>
      </w:r>
      <w:r>
        <w:rPr>
          <w:rFonts w:hint="default" w:ascii="Times New Roman" w:hAnsi="Times New Roman" w:eastAsia="方正仿宋_GBK" w:cs="Times New Roman"/>
          <w:b w:val="0"/>
          <w:bCs w:val="0"/>
          <w:highlight w:val="none"/>
        </w:rPr>
        <w:t>%。项目过程类指标权重为20分，得分为</w:t>
      </w:r>
      <w:r>
        <w:rPr>
          <w:rFonts w:hint="default" w:ascii="Times New Roman" w:hAnsi="Times New Roman" w:eastAsia="方正仿宋_GBK" w:cs="Times New Roman"/>
          <w:b w:val="0"/>
          <w:bCs w:val="0"/>
          <w:highlight w:val="none"/>
          <w:lang w:val="en-US" w:eastAsia="zh-CN"/>
        </w:rPr>
        <w:t>20</w:t>
      </w:r>
      <w:r>
        <w:rPr>
          <w:rFonts w:hint="default" w:ascii="Times New Roman" w:hAnsi="Times New Roman" w:eastAsia="方正仿宋_GBK" w:cs="Times New Roman"/>
          <w:b w:val="0"/>
          <w:bCs w:val="0"/>
          <w:highlight w:val="none"/>
        </w:rPr>
        <w:t>分，得分率为</w:t>
      </w:r>
      <w:r>
        <w:rPr>
          <w:rFonts w:hint="default" w:ascii="Times New Roman" w:hAnsi="Times New Roman" w:eastAsia="方正仿宋_GBK" w:cs="Times New Roman"/>
          <w:b w:val="0"/>
          <w:bCs w:val="0"/>
          <w:highlight w:val="none"/>
          <w:lang w:val="en-US" w:eastAsia="zh-CN"/>
        </w:rPr>
        <w:t>100</w:t>
      </w:r>
      <w:r>
        <w:rPr>
          <w:rFonts w:hint="default" w:ascii="Times New Roman" w:hAnsi="Times New Roman" w:eastAsia="方正仿宋_GBK" w:cs="Times New Roman"/>
          <w:b w:val="0"/>
          <w:bCs w:val="0"/>
          <w:highlight w:val="none"/>
        </w:rPr>
        <w:t>%。项目产出类指标权重为40分，得分为</w:t>
      </w:r>
      <w:r>
        <w:rPr>
          <w:rFonts w:hint="default" w:ascii="Times New Roman" w:hAnsi="Times New Roman" w:eastAsia="方正仿宋_GBK" w:cs="Times New Roman"/>
          <w:b w:val="0"/>
          <w:bCs w:val="0"/>
          <w:highlight w:val="none"/>
          <w:lang w:val="en-US" w:eastAsia="zh-CN"/>
        </w:rPr>
        <w:t>37.1</w:t>
      </w:r>
      <w:r>
        <w:rPr>
          <w:rFonts w:hint="default" w:ascii="Times New Roman" w:hAnsi="Times New Roman" w:eastAsia="方正仿宋_GBK" w:cs="Times New Roman"/>
          <w:b w:val="0"/>
          <w:bCs w:val="0"/>
          <w:highlight w:val="none"/>
        </w:rPr>
        <w:t>分，得分率为</w:t>
      </w:r>
      <w:r>
        <w:rPr>
          <w:rFonts w:hint="default" w:ascii="Times New Roman" w:hAnsi="Times New Roman" w:eastAsia="方正仿宋_GBK" w:cs="Times New Roman"/>
          <w:b w:val="0"/>
          <w:bCs w:val="0"/>
          <w:highlight w:val="none"/>
          <w:lang w:val="en-US" w:eastAsia="zh-CN"/>
        </w:rPr>
        <w:t>92.75</w:t>
      </w:r>
      <w:r>
        <w:rPr>
          <w:rFonts w:hint="default" w:ascii="Times New Roman" w:hAnsi="Times New Roman" w:eastAsia="方正仿宋_GBK" w:cs="Times New Roman"/>
          <w:b w:val="0"/>
          <w:bCs w:val="0"/>
          <w:highlight w:val="none"/>
        </w:rPr>
        <w:t>%。项目效益类指标权重为20分，得分为</w:t>
      </w:r>
      <w:r>
        <w:rPr>
          <w:rFonts w:hint="default" w:ascii="Times New Roman" w:hAnsi="Times New Roman" w:eastAsia="方正仿宋_GBK" w:cs="Times New Roman"/>
          <w:b w:val="0"/>
          <w:bCs w:val="0"/>
          <w:highlight w:val="none"/>
          <w:lang w:val="en-US" w:eastAsia="zh-CN"/>
        </w:rPr>
        <w:t>20</w:t>
      </w:r>
      <w:r>
        <w:rPr>
          <w:rFonts w:hint="default" w:ascii="Times New Roman" w:hAnsi="Times New Roman" w:eastAsia="方正仿宋_GBK" w:cs="Times New Roman"/>
          <w:b w:val="0"/>
          <w:bCs w:val="0"/>
          <w:highlight w:val="none"/>
        </w:rPr>
        <w:t>分，得分率为</w:t>
      </w:r>
      <w:r>
        <w:rPr>
          <w:rFonts w:hint="default" w:ascii="Times New Roman" w:hAnsi="Times New Roman" w:eastAsia="方正仿宋_GBK" w:cs="Times New Roman"/>
          <w:b w:val="0"/>
          <w:bCs w:val="0"/>
          <w:highlight w:val="none"/>
          <w:lang w:val="en-US" w:eastAsia="zh-CN"/>
        </w:rPr>
        <w:t>100</w:t>
      </w:r>
      <w:r>
        <w:rPr>
          <w:rFonts w:hint="default" w:ascii="Times New Roman" w:hAnsi="Times New Roman" w:eastAsia="方正仿宋_GBK" w:cs="Times New Roman"/>
          <w:b w:val="0"/>
          <w:bCs w:val="0"/>
          <w:highlight w:val="none"/>
        </w:rPr>
        <w:t>%。具体打分情况详见：附件1综合评分表</w:t>
      </w:r>
      <w:r>
        <w:rPr>
          <w:rFonts w:hint="default" w:ascii="Times New Roman" w:hAnsi="Times New Roman" w:eastAsia="方正仿宋_GBK" w:cs="Times New Roman"/>
          <w:b w:val="0"/>
          <w:bCs w:val="0"/>
          <w:highlight w:val="none"/>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1"/>
                <w:szCs w:val="21"/>
                <w:lang w:val="en-US" w:eastAsia="zh-CN" w:bidi="ar-SA"/>
              </w:rPr>
            </w:pPr>
            <w:r>
              <w:rPr>
                <w:rFonts w:hint="eastAsia" w:eastAsia="仿宋_GB2312" w:cs="Times New Roman"/>
                <w:color w:val="000000"/>
                <w:sz w:val="21"/>
                <w:szCs w:val="21"/>
                <w:lang w:val="en-US" w:eastAsia="zh-CN"/>
              </w:rPr>
              <w:t>37.1</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kern w:val="2"/>
                <w:sz w:val="21"/>
                <w:szCs w:val="21"/>
                <w:lang w:val="en-US" w:eastAsia="zh-CN" w:bidi="ar-SA"/>
              </w:rPr>
            </w:pPr>
            <w:r>
              <w:rPr>
                <w:rFonts w:hint="eastAsia" w:eastAsia="仿宋_GB2312" w:cs="Times New Roman"/>
                <w:b/>
                <w:bCs/>
                <w:color w:val="000000"/>
                <w:sz w:val="21"/>
                <w:szCs w:val="21"/>
                <w:lang w:val="en-US" w:eastAsia="zh-CN"/>
              </w:rPr>
              <w:t>97.1</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1"/>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项目决策类指标包括项目立项、绩效目标和资金投入三方面的内容，由6个三级指标构成，权重分值为20分，实际得分20分，得分率为100%。</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该项目立项符合国家符合党中央关于加强党员教育管理、推进基层党组织建设的相关政策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项目申请、设立过程符合相关要求，</w:t>
      </w:r>
      <w:r>
        <w:rPr>
          <w:rFonts w:hint="default" w:ascii="Times New Roman" w:hAnsi="Times New Roman" w:eastAsia="方正仿宋_GBK" w:cs="Times New Roman"/>
          <w:sz w:val="32"/>
          <w:szCs w:val="32"/>
          <w:lang w:eastAsia="zh-Hans"/>
        </w:rPr>
        <w:t>严格按照审批流程准备符合《中华人民共和国预算法》</w:t>
      </w:r>
      <w:r>
        <w:rPr>
          <w:rFonts w:hint="default" w:ascii="Times New Roman" w:hAnsi="Times New Roman" w:eastAsia="方正仿宋_GBK" w:cs="Times New Roman"/>
          <w:sz w:val="32"/>
          <w:szCs w:val="32"/>
          <w:lang w:eastAsia="zh-CN"/>
        </w:rPr>
        <w:t>、《国务院关于进一步深化预算管理制度改革的意见》文件</w:t>
      </w:r>
      <w:r>
        <w:rPr>
          <w:rFonts w:hint="default" w:ascii="Times New Roman" w:hAnsi="Times New Roman" w:eastAsia="方正仿宋_GBK" w:cs="Times New Roman"/>
          <w:sz w:val="32"/>
          <w:szCs w:val="32"/>
          <w:lang w:eastAsia="zh-Hans"/>
        </w:rPr>
        <w:t>要求；</w:t>
      </w:r>
      <w:r>
        <w:rPr>
          <w:rFonts w:hint="default" w:ascii="Times New Roman" w:hAnsi="Times New Roman" w:eastAsia="方正仿宋_GBK" w:cs="Times New Roman"/>
          <w:sz w:val="32"/>
          <w:szCs w:val="32"/>
          <w:lang w:val="en-US" w:eastAsia="zh-CN"/>
        </w:rPr>
        <w:t>根据决算依据编制工作计划和经费预算，经过与部门项目分管领导沟通、筛选确定经费预算计划，确定最终预算方案。</w:t>
      </w:r>
    </w:p>
    <w:p>
      <w:pPr>
        <w:shd w:val="clea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Hans"/>
        </w:rPr>
        <w:t>绩效目标应紧密围绕</w:t>
      </w:r>
      <w:r>
        <w:rPr>
          <w:rFonts w:hint="default" w:ascii="Times New Roman" w:hAnsi="Times New Roman" w:eastAsia="方正仿宋_GBK" w:cs="Times New Roman"/>
          <w:sz w:val="32"/>
          <w:szCs w:val="32"/>
          <w:lang w:val="en-US" w:eastAsia="zh-CN"/>
        </w:rPr>
        <w:t>市委办公室</w:t>
      </w:r>
      <w:r>
        <w:rPr>
          <w:rFonts w:hint="default" w:ascii="Times New Roman" w:hAnsi="Times New Roman" w:eastAsia="方正仿宋_GBK" w:cs="Times New Roman"/>
          <w:sz w:val="32"/>
          <w:szCs w:val="32"/>
          <w:lang w:val="en-US" w:eastAsia="zh-Hans"/>
        </w:rPr>
        <w:t>发展规划的总体目标和任务来设定。结合实际工作内容</w:t>
      </w:r>
      <w:r>
        <w:rPr>
          <w:rFonts w:hint="default" w:ascii="Times New Roman" w:hAnsi="Times New Roman" w:eastAsia="方正仿宋_GBK" w:cs="Times New Roman"/>
          <w:sz w:val="32"/>
          <w:szCs w:val="32"/>
          <w:lang w:val="en-US" w:eastAsia="zh-CN"/>
        </w:rPr>
        <w:t>设定绩效目标</w:t>
      </w:r>
      <w:r>
        <w:rPr>
          <w:rFonts w:hint="default" w:ascii="Times New Roman" w:hAnsi="Times New Roman" w:eastAsia="方正仿宋_GBK" w:cs="Times New Roman"/>
          <w:sz w:val="32"/>
          <w:szCs w:val="32"/>
          <w:lang w:val="en-US" w:eastAsia="zh-Hans"/>
        </w:rPr>
        <w:t>，绩效目标</w:t>
      </w:r>
      <w:r>
        <w:rPr>
          <w:rFonts w:hint="default" w:ascii="Times New Roman" w:hAnsi="Times New Roman" w:eastAsia="方正仿宋_GBK" w:cs="Times New Roman"/>
          <w:sz w:val="32"/>
          <w:szCs w:val="32"/>
          <w:lang w:val="en-US" w:eastAsia="zh-CN"/>
        </w:rPr>
        <w:t>依据充分，符合客观实际，能反映和考核项目绩效目标与项目实施的相符情况，在充分考虑办公室的人力、物力、财力等资源条件以及项目实施的技术难度、时间跨度等因素的基础上设定，确保目标具有现实可行性。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（1）预算编制科学性</w:t>
      </w:r>
    </w:p>
    <w:p>
      <w:pPr>
        <w:shd w:val="clea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预算目标基于党委办公室的实际工作情况和发展需要，避免过高或过低的预算目标。过高的预算目标可能导致资金浪费，过低的预算目标则无法保障工作的顺利开展。，在制定办公设备更新预算时，根据设备的实际使用年限、损坏程度以及工作对设备性能的要求等因素，合理确定需要更新的设备种类和数量，进而编制出符合实际需求的预算。</w:t>
      </w:r>
    </w:p>
    <w:p>
      <w:pPr>
        <w:shd w:val="clear"/>
        <w:spacing w:line="600" w:lineRule="exact"/>
        <w:ind w:firstLine="640" w:firstLineChars="200"/>
        <w:outlineLvl w:val="0"/>
        <w:rPr>
          <w:rFonts w:hint="default" w:ascii="Times New Roman" w:hAnsi="Times New Roman" w:eastAsia="方正仿宋_GBK" w:cs="Times New Roman"/>
          <w:sz w:val="32"/>
          <w:szCs w:val="32"/>
          <w:highlight w:val="green"/>
          <w:lang w:eastAsia="zh-CN"/>
        </w:rPr>
      </w:pPr>
      <w:r>
        <w:rPr>
          <w:rFonts w:hint="default" w:ascii="Times New Roman" w:hAnsi="Times New Roman" w:eastAsia="方正仿宋_GBK" w:cs="Times New Roman"/>
          <w:sz w:val="32"/>
          <w:szCs w:val="32"/>
          <w:highlight w:val="none"/>
          <w:lang w:val="en-US" w:eastAsia="zh-CN"/>
        </w:rPr>
        <w:t>此项权重分值为4分，得分为4分</w:t>
      </w:r>
      <w:r>
        <w:rPr>
          <w:rFonts w:hint="default" w:ascii="Times New Roman" w:hAnsi="Times New Roman" w:eastAsia="方正仿宋_GBK"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eastAsia="zh-CN"/>
        </w:rPr>
        <w:t>本项目的资金分配遵循了公平、公正、透明的原则，确保了项目资源的合理配置与高效利用在保障重点项目的基础上，兼顾其他一般性项目的资金需求，维持办公室各项工作的均衡发展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green"/>
          <w:lang w:eastAsia="zh-CN"/>
        </w:rPr>
      </w:pPr>
      <w:r>
        <w:rPr>
          <w:rFonts w:hint="default" w:ascii="Times New Roman" w:hAnsi="Times New Roman" w:eastAsia="方正仿宋_GBK" w:cs="Times New Roman"/>
          <w:sz w:val="32"/>
          <w:szCs w:val="32"/>
          <w:highlight w:val="none"/>
          <w:lang w:val="en-US" w:eastAsia="zh-CN"/>
        </w:rPr>
        <w:t>此项权重分值为4分，得分为4分</w:t>
      </w:r>
      <w:r>
        <w:rPr>
          <w:rFonts w:hint="default" w:ascii="Times New Roman" w:hAnsi="Times New Roman" w:eastAsia="方正仿宋_GBK" w:cs="Times New Roman"/>
          <w:sz w:val="32"/>
          <w:szCs w:val="32"/>
          <w:lang w:val="en-US" w:eastAsia="zh-CN"/>
        </w:rPr>
        <w:t>。</w:t>
      </w:r>
    </w:p>
    <w:p>
      <w:pPr>
        <w:pStyle w:val="11"/>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项目过程类指标包括资金管理和组织实施两方面的内容，由5个三级指标构成，权重分值为20分，实际得分20分，得分率为100%。</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本项目总投资40万元，财政资金及时足额到位，到位率100%，预算资金按计划进度执行。</w:t>
      </w:r>
    </w:p>
    <w:p>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预算编制较为详细，项目资金支出总体能够按照预算执行，预算资金支出40万元，预算执行率为100%。</w:t>
      </w:r>
    </w:p>
    <w:p>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eastAsia="zh-CN"/>
        </w:rPr>
        <w:t>本项目的资金使用严格遵循了国家相关法律法规与财务制度，确保了资金的合规性与安全性。</w:t>
      </w:r>
      <w:r>
        <w:rPr>
          <w:rFonts w:hint="default" w:ascii="Times New Roman" w:hAnsi="Times New Roman" w:eastAsia="方正仿宋_GBK" w:cs="Times New Roman"/>
          <w:b w:val="0"/>
          <w:bCs w:val="0"/>
          <w:kern w:val="2"/>
          <w:sz w:val="32"/>
          <w:szCs w:val="32"/>
          <w:highlight w:val="none"/>
          <w:lang w:val="en-US" w:eastAsia="zh-CN" w:bidi="ar-SA"/>
        </w:rPr>
        <w:t>严格按照国家统一的会计准则和财务制度进行会计核算，确保财务信息真实、准确、完整。对档案事业费进行单独核算，设置专门的会计科目和账目，清晰反映资金的收支情况</w:t>
      </w:r>
      <w:r>
        <w:rPr>
          <w:rFonts w:hint="default" w:ascii="Times New Roman" w:hAnsi="Times New Roman" w:eastAsia="方正仿宋_GBK"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方正仿宋_GBK" w:cs="Times New Roman"/>
          <w:sz w:val="32"/>
          <w:szCs w:val="32"/>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本项目拥有一套完善、健全的管理制度体系，管理制度应覆盖</w:t>
      </w:r>
      <w:r>
        <w:rPr>
          <w:rFonts w:hint="eastAsia" w:ascii="Times New Roman" w:hAnsi="Times New Roman" w:eastAsia="方正仿宋_GBK" w:cs="Times New Roman"/>
          <w:sz w:val="32"/>
          <w:szCs w:val="32"/>
          <w:lang w:val="en-US" w:eastAsia="zh-CN"/>
        </w:rPr>
        <w:t>办公室</w:t>
      </w:r>
      <w:r>
        <w:rPr>
          <w:rFonts w:hint="default" w:ascii="Times New Roman" w:hAnsi="Times New Roman" w:eastAsia="方正仿宋_GBK" w:cs="Times New Roman"/>
          <w:sz w:val="32"/>
          <w:szCs w:val="32"/>
          <w:lang w:val="en-US" w:eastAsia="zh-CN"/>
        </w:rPr>
        <w:t>涉及的</w:t>
      </w:r>
      <w:r>
        <w:rPr>
          <w:rFonts w:hint="eastAsia" w:ascii="Times New Roman" w:hAnsi="Times New Roman" w:eastAsia="方正仿宋_GBK" w:cs="Times New Roman"/>
          <w:sz w:val="32"/>
          <w:szCs w:val="32"/>
          <w:lang w:val="en-US" w:eastAsia="zh-CN"/>
        </w:rPr>
        <w:t>部分</w:t>
      </w:r>
      <w:r>
        <w:rPr>
          <w:rFonts w:hint="default" w:ascii="Times New Roman" w:hAnsi="Times New Roman" w:eastAsia="方正仿宋_GBK" w:cs="Times New Roman"/>
          <w:sz w:val="32"/>
          <w:szCs w:val="32"/>
          <w:lang w:val="en-US" w:eastAsia="zh-CN"/>
        </w:rPr>
        <w:t>业务领域，包括预算编制、资金审批、支出管理、资产管理、绩效评价等。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此项权重分值为4分，得分为4分。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此项权重分值为4分，得分为4分。</w:t>
      </w:r>
    </w:p>
    <w:p>
      <w:pPr>
        <w:pStyle w:val="13"/>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项目产出类指标包括产出数量、产出质量、产出时效、产出成本四方面的内容，由</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个三级指标构成，权重分为40分，实际得分</w:t>
      </w:r>
      <w:r>
        <w:rPr>
          <w:rFonts w:hint="eastAsia" w:ascii="Times New Roman" w:hAnsi="Times New Roman" w:eastAsia="方正仿宋_GBK" w:cs="Times New Roman"/>
          <w:sz w:val="32"/>
          <w:szCs w:val="32"/>
          <w:lang w:val="en-US" w:eastAsia="zh-CN"/>
        </w:rPr>
        <w:t>37.1</w:t>
      </w:r>
      <w:r>
        <w:rPr>
          <w:rFonts w:hint="default" w:ascii="Times New Roman" w:hAnsi="Times New Roman" w:eastAsia="方正仿宋_GBK" w:cs="Times New Roman"/>
          <w:sz w:val="32"/>
          <w:szCs w:val="32"/>
          <w:lang w:val="en-US" w:eastAsia="zh-CN"/>
        </w:rPr>
        <w:t>分，得分率为</w:t>
      </w:r>
      <w:r>
        <w:rPr>
          <w:rFonts w:hint="eastAsia" w:ascii="Times New Roman" w:hAnsi="Times New Roman" w:eastAsia="方正仿宋_GBK" w:cs="Times New Roman"/>
          <w:sz w:val="32"/>
          <w:szCs w:val="32"/>
          <w:lang w:val="en-US" w:eastAsia="zh-CN"/>
        </w:rPr>
        <w:t>92.75</w:t>
      </w:r>
      <w:r>
        <w:rPr>
          <w:rFonts w:hint="default" w:ascii="Times New Roman" w:hAnsi="Times New Roman" w:eastAsia="方正仿宋_GBK" w:cs="Times New Roman"/>
          <w:sz w:val="32"/>
          <w:szCs w:val="32"/>
          <w:lang w:val="en-US" w:eastAsia="zh-CN"/>
        </w:rPr>
        <w:t>%。具体产出指标完成情况如下：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fldChar w:fldCharType="begin"/>
      </w:r>
      <w:r>
        <w:rPr>
          <w:rFonts w:hint="default" w:ascii="Times New Roman" w:hAnsi="Times New Roman" w:eastAsia="方正仿宋_GBK" w:cs="Times New Roman"/>
          <w:sz w:val="32"/>
          <w:szCs w:val="32"/>
          <w:lang w:val="en-US" w:eastAsia="zh-CN"/>
        </w:rPr>
        <w:instrText xml:space="preserve"> = 1 \* GB3 </w:instrText>
      </w:r>
      <w:r>
        <w:rPr>
          <w:rFonts w:hint="default" w:ascii="Times New Roman" w:hAnsi="Times New Roman" w:eastAsia="方正仿宋_GBK" w:cs="Times New Roman"/>
          <w:sz w:val="32"/>
          <w:szCs w:val="32"/>
          <w:lang w:val="en-US" w:eastAsia="zh-CN"/>
        </w:rPr>
        <w:fldChar w:fldCharType="separate"/>
      </w:r>
      <w:r>
        <w:rPr>
          <w:rFonts w:hint="default" w:ascii="Times New Roman" w:hAnsi="Times New Roman" w:eastAsia="方正仿宋_GBK" w:cs="Times New Roman"/>
          <w:sz w:val="32"/>
          <w:szCs w:val="32"/>
          <w:lang w:val="en-US" w:eastAsia="zh-CN"/>
        </w:rPr>
        <w:t>①</w:t>
      </w:r>
      <w:r>
        <w:rPr>
          <w:rFonts w:hint="default" w:ascii="Times New Roman" w:hAnsi="Times New Roman" w:eastAsia="方正仿宋_GBK" w:cs="Times New Roman"/>
          <w:sz w:val="32"/>
          <w:szCs w:val="32"/>
          <w:lang w:val="en-US" w:eastAsia="zh-CN"/>
        </w:rPr>
        <w:fldChar w:fldCharType="end"/>
      </w:r>
      <w:r>
        <w:rPr>
          <w:rFonts w:hint="default" w:ascii="Times New Roman" w:hAnsi="Times New Roman" w:eastAsia="方正仿宋_GBK" w:cs="Times New Roman"/>
          <w:sz w:val="32"/>
          <w:szCs w:val="32"/>
          <w:lang w:val="en-US" w:eastAsia="zh-CN"/>
        </w:rPr>
        <w:t>数量指标：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指标1</w:t>
      </w:r>
      <w:r>
        <w:rPr>
          <w:rFonts w:hint="eastAsia" w:ascii="Times New Roman" w:hAnsi="Times New Roman" w:eastAsia="方正仿宋_GBK" w:cs="Times New Roman"/>
          <w:sz w:val="32"/>
          <w:szCs w:val="32"/>
          <w:lang w:val="en-US" w:eastAsia="zh-CN"/>
        </w:rPr>
        <w:t>：保障办公人员数量</w:t>
      </w:r>
      <w:r>
        <w:rPr>
          <w:rFonts w:hint="default" w:ascii="Times New Roman" w:hAnsi="Times New Roman" w:eastAsia="方正仿宋_GBK" w:cs="Times New Roman"/>
          <w:sz w:val="32"/>
          <w:szCs w:val="32"/>
          <w:lang w:val="en-US" w:eastAsia="zh-CN"/>
        </w:rPr>
        <w:t>，指标值：=45人，实际完成值：45人，指标完成率</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指标</w:t>
      </w:r>
      <w:r>
        <w:rPr>
          <w:rFonts w:hint="eastAsia" w:ascii="Times New Roman" w:hAnsi="Times New Roman" w:eastAsia="方正仿宋_GBK" w:cs="Times New Roman"/>
          <w:sz w:val="32"/>
          <w:szCs w:val="32"/>
          <w:lang w:val="en-US" w:eastAsia="zh-CN"/>
        </w:rPr>
        <w:t>2：各领域安全风险隐患排查次数</w:t>
      </w:r>
      <w:r>
        <w:rPr>
          <w:rFonts w:hint="default" w:ascii="Times New Roman" w:hAnsi="Times New Roman" w:eastAsia="方正仿宋_GBK" w:cs="Times New Roman"/>
          <w:sz w:val="32"/>
          <w:szCs w:val="32"/>
          <w:lang w:val="en-US" w:eastAsia="zh-CN"/>
        </w:rPr>
        <w:t>，指标值：&gt;=12次，实际完成值：</w:t>
      </w:r>
      <w:r>
        <w:rPr>
          <w:rFonts w:hint="eastAsia" w:ascii="Times New Roman" w:hAnsi="Times New Roman" w:eastAsia="方正仿宋_GBK" w:cs="Times New Roman"/>
          <w:sz w:val="32"/>
          <w:szCs w:val="32"/>
          <w:lang w:val="en-US" w:eastAsia="zh-CN"/>
        </w:rPr>
        <w:t>5次</w:t>
      </w:r>
      <w:r>
        <w:rPr>
          <w:rFonts w:hint="default" w:ascii="Times New Roman" w:hAnsi="Times New Roman" w:eastAsia="方正仿宋_GBK" w:cs="Times New Roman"/>
          <w:sz w:val="32"/>
          <w:szCs w:val="32"/>
          <w:lang w:val="en-US" w:eastAsia="zh-CN"/>
        </w:rPr>
        <w:t>，指标完成率</w:t>
      </w:r>
      <w:r>
        <w:rPr>
          <w:rFonts w:hint="eastAsia" w:ascii="Times New Roman" w:hAnsi="Times New Roman" w:eastAsia="方正仿宋_GBK" w:cs="Times New Roman"/>
          <w:sz w:val="32"/>
          <w:szCs w:val="32"/>
          <w:lang w:val="en-US" w:eastAsia="zh-CN"/>
        </w:rPr>
        <w:t>41.67</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偏差原因：</w:t>
      </w:r>
      <w:r>
        <w:rPr>
          <w:rFonts w:hint="eastAsia" w:ascii="Times New Roman" w:hAnsi="Times New Roman" w:eastAsia="方正仿宋_GBK" w:cs="Times New Roman"/>
          <w:sz w:val="32"/>
          <w:szCs w:val="32"/>
          <w:lang w:val="en-US" w:eastAsia="zh-CN"/>
        </w:rPr>
        <w:t>2024年下半年督查办工作重心改变，全年只出具5次在各领域安全排查报告。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此项权重分值为</w:t>
      </w:r>
      <w:r>
        <w:rPr>
          <w:rFonts w:hint="eastAsia"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lang w:val="en-US" w:eastAsia="zh-CN"/>
        </w:rPr>
        <w:t>分，得分为</w:t>
      </w:r>
      <w:r>
        <w:rPr>
          <w:rFonts w:hint="eastAsia" w:ascii="Times New Roman" w:hAnsi="Times New Roman" w:eastAsia="方正仿宋_GBK" w:cs="Times New Roman"/>
          <w:sz w:val="32"/>
          <w:szCs w:val="32"/>
          <w:lang w:val="en-US" w:eastAsia="zh-CN"/>
        </w:rPr>
        <w:t>7.1</w:t>
      </w:r>
      <w:r>
        <w:rPr>
          <w:rFonts w:hint="default" w:ascii="Times New Roman" w:hAnsi="Times New Roman" w:eastAsia="方正仿宋_GBK" w:cs="Times New Roman"/>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fldChar w:fldCharType="begin"/>
      </w:r>
      <w:r>
        <w:rPr>
          <w:rFonts w:hint="default" w:ascii="Times New Roman" w:hAnsi="Times New Roman" w:eastAsia="方正仿宋_GBK" w:cs="Times New Roman"/>
          <w:sz w:val="32"/>
          <w:szCs w:val="32"/>
          <w:lang w:val="en-US" w:eastAsia="zh-CN"/>
        </w:rPr>
        <w:instrText xml:space="preserve"> = 2 \* GB3 </w:instrText>
      </w:r>
      <w:r>
        <w:rPr>
          <w:rFonts w:hint="default" w:ascii="Times New Roman" w:hAnsi="Times New Roman" w:eastAsia="方正仿宋_GBK" w:cs="Times New Roman"/>
          <w:sz w:val="32"/>
          <w:szCs w:val="32"/>
          <w:lang w:val="en-US" w:eastAsia="zh-CN"/>
        </w:rPr>
        <w:fldChar w:fldCharType="separate"/>
      </w:r>
      <w:r>
        <w:rPr>
          <w:rFonts w:hint="default" w:ascii="Times New Roman" w:hAnsi="Times New Roman" w:eastAsia="方正仿宋_GBK" w:cs="Times New Roman"/>
          <w:sz w:val="32"/>
          <w:szCs w:val="32"/>
          <w:lang w:val="en-US" w:eastAsia="zh-CN"/>
        </w:rPr>
        <w:t>②</w:t>
      </w:r>
      <w:r>
        <w:rPr>
          <w:rFonts w:hint="default" w:ascii="Times New Roman" w:hAnsi="Times New Roman" w:eastAsia="方正仿宋_GBK" w:cs="Times New Roman"/>
          <w:sz w:val="32"/>
          <w:szCs w:val="32"/>
          <w:lang w:val="en-US" w:eastAsia="zh-CN"/>
        </w:rPr>
        <w:fldChar w:fldCharType="end"/>
      </w:r>
      <w:r>
        <w:rPr>
          <w:rFonts w:hint="default" w:ascii="Times New Roman" w:hAnsi="Times New Roman" w:eastAsia="方正仿宋_GBK" w:cs="Times New Roman"/>
          <w:sz w:val="32"/>
          <w:szCs w:val="32"/>
          <w:lang w:val="en-US" w:eastAsia="zh-CN"/>
        </w:rPr>
        <w:t>质量指标：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指标1</w:t>
      </w:r>
      <w:r>
        <w:rPr>
          <w:rFonts w:hint="eastAsia" w:ascii="Times New Roman" w:hAnsi="Times New Roman" w:eastAsia="方正仿宋_GBK" w:cs="Times New Roman"/>
          <w:sz w:val="32"/>
          <w:szCs w:val="32"/>
          <w:lang w:val="en-US" w:eastAsia="zh-CN"/>
        </w:rPr>
        <w:t>：各领域安全风险隐患排查准确率</w:t>
      </w:r>
      <w:r>
        <w:rPr>
          <w:rFonts w:hint="default" w:ascii="Times New Roman" w:hAnsi="Times New Roman" w:eastAsia="方正仿宋_GBK" w:cs="Times New Roman"/>
          <w:sz w:val="32"/>
          <w:szCs w:val="32"/>
          <w:lang w:val="en-US" w:eastAsia="zh-CN"/>
        </w:rPr>
        <w:t>，指标值：=</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，实际完成值：</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，指标完成率</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此项权重分值为10分，得分为10分。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fldChar w:fldCharType="begin"/>
      </w:r>
      <w:r>
        <w:rPr>
          <w:rFonts w:hint="default" w:ascii="Times New Roman" w:hAnsi="Times New Roman" w:eastAsia="方正仿宋_GBK" w:cs="Times New Roman"/>
          <w:sz w:val="32"/>
          <w:szCs w:val="32"/>
          <w:lang w:val="en-US" w:eastAsia="zh-CN"/>
        </w:rPr>
        <w:instrText xml:space="preserve"> = 3 \* GB3 </w:instrText>
      </w:r>
      <w:r>
        <w:rPr>
          <w:rFonts w:hint="default" w:ascii="Times New Roman" w:hAnsi="Times New Roman" w:eastAsia="方正仿宋_GBK" w:cs="Times New Roman"/>
          <w:sz w:val="32"/>
          <w:szCs w:val="32"/>
          <w:lang w:val="en-US" w:eastAsia="zh-CN"/>
        </w:rPr>
        <w:fldChar w:fldCharType="separate"/>
      </w:r>
      <w:r>
        <w:rPr>
          <w:rFonts w:hint="default" w:ascii="Times New Roman" w:hAnsi="Times New Roman" w:eastAsia="方正仿宋_GBK" w:cs="Times New Roman"/>
          <w:sz w:val="32"/>
          <w:szCs w:val="32"/>
          <w:lang w:val="en-US" w:eastAsia="zh-CN"/>
        </w:rPr>
        <w:t>③</w:t>
      </w:r>
      <w:r>
        <w:rPr>
          <w:rFonts w:hint="default" w:ascii="Times New Roman" w:hAnsi="Times New Roman" w:eastAsia="方正仿宋_GBK" w:cs="Times New Roman"/>
          <w:sz w:val="32"/>
          <w:szCs w:val="32"/>
          <w:lang w:val="en-US" w:eastAsia="zh-CN"/>
        </w:rPr>
        <w:fldChar w:fldCharType="end"/>
      </w:r>
      <w:r>
        <w:rPr>
          <w:rFonts w:hint="default" w:ascii="Times New Roman" w:hAnsi="Times New Roman" w:eastAsia="方正仿宋_GBK" w:cs="Times New Roman"/>
          <w:sz w:val="32"/>
          <w:szCs w:val="32"/>
          <w:lang w:val="en-US" w:eastAsia="zh-CN"/>
        </w:rPr>
        <w:t>时效指标：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指标1</w:t>
      </w:r>
      <w:r>
        <w:rPr>
          <w:rFonts w:hint="eastAsia" w:ascii="Times New Roman" w:hAnsi="Times New Roman" w:eastAsia="方正仿宋_GBK" w:cs="Times New Roman"/>
          <w:sz w:val="32"/>
          <w:szCs w:val="32"/>
          <w:lang w:val="en-US" w:eastAsia="zh-CN"/>
        </w:rPr>
        <w:t>：公用经费支付及时率</w:t>
      </w:r>
      <w:r>
        <w:rPr>
          <w:rFonts w:hint="default" w:ascii="Times New Roman" w:hAnsi="Times New Roman" w:eastAsia="方正仿宋_GBK" w:cs="Times New Roman"/>
          <w:sz w:val="32"/>
          <w:szCs w:val="32"/>
          <w:lang w:val="en-US" w:eastAsia="zh-CN"/>
        </w:rPr>
        <w:t>，指标值：=</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，实际完成值：</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，指标完成率</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此项权重分值为</w:t>
      </w:r>
      <w:r>
        <w:rPr>
          <w:rFonts w:hint="eastAsia"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lang w:val="en-US" w:eastAsia="zh-CN"/>
        </w:rPr>
        <w:t>分，得分为</w:t>
      </w:r>
      <w:r>
        <w:rPr>
          <w:rFonts w:hint="eastAsia"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fldChar w:fldCharType="begin"/>
      </w:r>
      <w:r>
        <w:rPr>
          <w:rFonts w:hint="default" w:ascii="Times New Roman" w:hAnsi="Times New Roman" w:eastAsia="方正仿宋_GBK" w:cs="Times New Roman"/>
          <w:sz w:val="32"/>
          <w:szCs w:val="32"/>
          <w:lang w:val="en-US" w:eastAsia="zh-CN"/>
        </w:rPr>
        <w:instrText xml:space="preserve"> = 4 \* GB3 </w:instrText>
      </w:r>
      <w:r>
        <w:rPr>
          <w:rFonts w:hint="default" w:ascii="Times New Roman" w:hAnsi="Times New Roman" w:eastAsia="方正仿宋_GBK" w:cs="Times New Roman"/>
          <w:sz w:val="32"/>
          <w:szCs w:val="32"/>
          <w:lang w:val="en-US" w:eastAsia="zh-CN"/>
        </w:rPr>
        <w:fldChar w:fldCharType="separate"/>
      </w:r>
      <w:r>
        <w:rPr>
          <w:rFonts w:hint="default" w:ascii="Times New Roman" w:hAnsi="Times New Roman" w:eastAsia="方正仿宋_GBK" w:cs="Times New Roman"/>
          <w:sz w:val="32"/>
          <w:szCs w:val="32"/>
          <w:lang w:val="en-US" w:eastAsia="zh-CN"/>
        </w:rPr>
        <w:t>④</w:t>
      </w:r>
      <w:r>
        <w:rPr>
          <w:rFonts w:hint="default" w:ascii="Times New Roman" w:hAnsi="Times New Roman" w:eastAsia="方正仿宋_GBK" w:cs="Times New Roman"/>
          <w:sz w:val="32"/>
          <w:szCs w:val="32"/>
          <w:lang w:val="en-US" w:eastAsia="zh-CN"/>
        </w:rPr>
        <w:fldChar w:fldCharType="end"/>
      </w:r>
      <w:r>
        <w:rPr>
          <w:rFonts w:hint="default" w:ascii="Times New Roman" w:hAnsi="Times New Roman" w:eastAsia="方正仿宋_GBK" w:cs="Times New Roman"/>
          <w:sz w:val="32"/>
          <w:szCs w:val="32"/>
          <w:lang w:val="en-US" w:eastAsia="zh-CN"/>
        </w:rPr>
        <w:t>成本指标：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指标1</w:t>
      </w:r>
      <w:r>
        <w:rPr>
          <w:rFonts w:hint="eastAsia" w:ascii="Times New Roman" w:hAnsi="Times New Roman" w:eastAsia="方正仿宋_GBK" w:cs="Times New Roman"/>
          <w:sz w:val="32"/>
          <w:szCs w:val="32"/>
          <w:lang w:val="en-US" w:eastAsia="zh-CN"/>
        </w:rPr>
        <w:t>：人均运转经费成本</w:t>
      </w:r>
      <w:r>
        <w:rPr>
          <w:rFonts w:hint="default" w:ascii="Times New Roman" w:hAnsi="Times New Roman" w:eastAsia="方正仿宋_GBK" w:cs="Times New Roman"/>
          <w:sz w:val="32"/>
          <w:szCs w:val="32"/>
          <w:lang w:val="en-US" w:eastAsia="zh-CN"/>
        </w:rPr>
        <w:t>，指标值：&lt;=0.89万元/人，实际完成值：</w:t>
      </w:r>
      <w:r>
        <w:rPr>
          <w:rFonts w:hint="eastAsia" w:ascii="Times New Roman" w:hAnsi="Times New Roman" w:eastAsia="方正仿宋_GBK" w:cs="Times New Roman"/>
          <w:sz w:val="32"/>
          <w:szCs w:val="32"/>
          <w:lang w:val="en-US" w:eastAsia="zh-CN"/>
        </w:rPr>
        <w:t>0.89万元/人</w:t>
      </w:r>
      <w:r>
        <w:rPr>
          <w:rFonts w:hint="default" w:ascii="Times New Roman" w:hAnsi="Times New Roman" w:eastAsia="方正仿宋_GBK" w:cs="Times New Roman"/>
          <w:sz w:val="32"/>
          <w:szCs w:val="32"/>
          <w:lang w:val="en-US" w:eastAsia="zh-CN"/>
        </w:rPr>
        <w:t>，指标完成率</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此项权重分值为</w:t>
      </w:r>
      <w:r>
        <w:rPr>
          <w:rFonts w:hint="eastAsia"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lang w:val="en-US" w:eastAsia="zh-CN"/>
        </w:rPr>
        <w:t>分，得分为</w:t>
      </w:r>
      <w:r>
        <w:rPr>
          <w:rFonts w:hint="eastAsia"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lang w:val="en-US" w:eastAsia="zh-CN"/>
        </w:rPr>
        <w:t>分</w:t>
      </w:r>
      <w:r>
        <w:rPr>
          <w:rFonts w:hint="eastAsia" w:ascii="Times New Roman" w:hAnsi="Times New Roman" w:eastAsia="方正仿宋_GBK" w:cs="Times New Roman"/>
          <w:sz w:val="32"/>
          <w:szCs w:val="32"/>
          <w:lang w:val="en-US" w:eastAsia="zh-CN"/>
        </w:rPr>
        <w:t>。</w:t>
      </w:r>
    </w:p>
    <w:p>
      <w:pPr>
        <w:pStyle w:val="13"/>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w:t>
      </w:r>
      <w:r>
        <w:rPr>
          <w:rFonts w:hint="default" w:ascii="Times New Roman" w:hAnsi="Times New Roman" w:eastAsia="方正仿宋_GBK" w:cs="Times New Roman"/>
          <w:sz w:val="32"/>
          <w:szCs w:val="32"/>
          <w:lang w:val="en-US" w:eastAsia="zh-CN"/>
        </w:rPr>
        <w:t>由</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个三级指标构成，权重分为20分，实际得分</w:t>
      </w:r>
      <w:r>
        <w:rPr>
          <w:rFonts w:hint="eastAsia" w:ascii="Times New Roman" w:hAnsi="Times New Roman" w:eastAsia="方正仿宋_GBK" w:cs="Times New Roman"/>
          <w:sz w:val="32"/>
          <w:szCs w:val="32"/>
          <w:lang w:val="en-US" w:eastAsia="zh-CN"/>
        </w:rPr>
        <w:t>20</w:t>
      </w:r>
      <w:r>
        <w:rPr>
          <w:rFonts w:hint="default" w:ascii="Times New Roman" w:hAnsi="Times New Roman" w:eastAsia="方正仿宋_GBK" w:cs="Times New Roman"/>
          <w:sz w:val="32"/>
          <w:szCs w:val="32"/>
          <w:lang w:val="en-US" w:eastAsia="zh-CN"/>
        </w:rPr>
        <w:t>分，得分率为</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eastAsia="zh-CN"/>
        </w:rPr>
        <w:t>：有效提高宣传政策知晓率</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此项权重分值为</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分，得分为</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服务单位</w:t>
      </w:r>
      <w:r>
        <w:rPr>
          <w:rFonts w:hint="eastAsia" w:ascii="Times New Roman" w:hAnsi="Times New Roman" w:eastAsia="仿宋_GB2312" w:cs="Times New Roman"/>
          <w:sz w:val="32"/>
          <w:szCs w:val="32"/>
          <w:highlight w:val="none"/>
          <w:lang w:eastAsia="zh-CN"/>
        </w:rPr>
        <w:t>满意度</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98%</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此项权重分值为</w:t>
      </w:r>
      <w:r>
        <w:rPr>
          <w:rFonts w:hint="eastAsia"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分，得分为</w:t>
      </w:r>
      <w:r>
        <w:rPr>
          <w:rFonts w:hint="eastAsia"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分</w:t>
      </w:r>
      <w:r>
        <w:rPr>
          <w:rFonts w:hint="eastAsia" w:eastAsia="仿宋_GB2312" w:cs="Times New Roman"/>
          <w:sz w:val="32"/>
          <w:szCs w:val="32"/>
          <w:lang w:val="en-US" w:eastAsia="zh-CN"/>
        </w:rPr>
        <w:t>。</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Fonts w:hint="default" w:ascii="Times New Roman" w:hAnsi="Times New Roman" w:eastAsia="方正仿宋_GBK" w:cs="Times New Roman"/>
          <w:spacing w:val="-6"/>
          <w:sz w:val="32"/>
          <w:szCs w:val="32"/>
          <w:lang w:val="en-US" w:eastAsia="zh-CN"/>
        </w:rPr>
      </w:pPr>
      <w:r>
        <w:rPr>
          <w:rFonts w:hint="default" w:ascii="Times New Roman" w:hAnsi="Times New Roman" w:eastAsia="方正仿宋_GBK" w:cs="Times New Roman"/>
          <w:spacing w:val="-6"/>
          <w:sz w:val="32"/>
          <w:szCs w:val="32"/>
          <w:lang w:val="en-US" w:eastAsia="zh-CN"/>
        </w:rPr>
        <w:t>部门专项-党委办公室业务费项目年初预算</w:t>
      </w:r>
      <w:r>
        <w:rPr>
          <w:rFonts w:hint="eastAsia" w:ascii="Times New Roman" w:hAnsi="Times New Roman" w:eastAsia="方正仿宋_GBK" w:cs="Times New Roman"/>
          <w:spacing w:val="-6"/>
          <w:sz w:val="32"/>
          <w:szCs w:val="32"/>
          <w:lang w:val="en-US" w:eastAsia="zh-CN"/>
        </w:rPr>
        <w:t>40</w:t>
      </w:r>
      <w:r>
        <w:rPr>
          <w:rFonts w:hint="default" w:ascii="Times New Roman" w:hAnsi="Times New Roman" w:eastAsia="方正仿宋_GBK" w:cs="Times New Roman"/>
          <w:spacing w:val="-6"/>
          <w:sz w:val="32"/>
          <w:szCs w:val="32"/>
          <w:lang w:val="en-US" w:eastAsia="zh-CN"/>
        </w:rPr>
        <w:t>万元，全年预算</w:t>
      </w:r>
      <w:r>
        <w:rPr>
          <w:rFonts w:hint="eastAsia" w:ascii="Times New Roman" w:hAnsi="Times New Roman" w:eastAsia="方正仿宋_GBK" w:cs="Times New Roman"/>
          <w:spacing w:val="-6"/>
          <w:sz w:val="32"/>
          <w:szCs w:val="32"/>
          <w:lang w:val="en-US" w:eastAsia="zh-CN"/>
        </w:rPr>
        <w:t>40</w:t>
      </w:r>
      <w:r>
        <w:rPr>
          <w:rFonts w:hint="default" w:ascii="Times New Roman" w:hAnsi="Times New Roman" w:eastAsia="方正仿宋_GBK" w:cs="Times New Roman"/>
          <w:spacing w:val="-6"/>
          <w:sz w:val="32"/>
          <w:szCs w:val="32"/>
          <w:lang w:val="en-US" w:eastAsia="zh-CN"/>
        </w:rPr>
        <w:t>万元，实际支出</w:t>
      </w:r>
      <w:r>
        <w:rPr>
          <w:rFonts w:hint="eastAsia" w:ascii="Times New Roman" w:hAnsi="Times New Roman" w:eastAsia="方正仿宋_GBK" w:cs="Times New Roman"/>
          <w:spacing w:val="-6"/>
          <w:sz w:val="32"/>
          <w:szCs w:val="32"/>
          <w:lang w:val="en-US" w:eastAsia="zh-CN"/>
        </w:rPr>
        <w:t>40</w:t>
      </w:r>
      <w:r>
        <w:rPr>
          <w:rFonts w:hint="default" w:ascii="Times New Roman" w:hAnsi="Times New Roman" w:eastAsia="方正仿宋_GBK" w:cs="Times New Roman"/>
          <w:spacing w:val="-6"/>
          <w:sz w:val="32"/>
          <w:szCs w:val="32"/>
          <w:lang w:val="en-US" w:eastAsia="zh-CN"/>
        </w:rPr>
        <w:t>万元，预算执行率为</w:t>
      </w:r>
      <w:r>
        <w:rPr>
          <w:rFonts w:hint="eastAsia" w:ascii="Times New Roman" w:hAnsi="Times New Roman" w:eastAsia="方正仿宋_GBK" w:cs="Times New Roman"/>
          <w:spacing w:val="-6"/>
          <w:sz w:val="32"/>
          <w:szCs w:val="32"/>
          <w:lang w:val="en-US" w:eastAsia="zh-CN"/>
        </w:rPr>
        <w:t>100</w:t>
      </w:r>
      <w:r>
        <w:rPr>
          <w:rFonts w:hint="default" w:ascii="Times New Roman" w:hAnsi="Times New Roman" w:eastAsia="方正仿宋_GBK" w:cs="Times New Roman"/>
          <w:spacing w:val="-6"/>
          <w:sz w:val="32"/>
          <w:szCs w:val="32"/>
          <w:lang w:val="en-US" w:eastAsia="zh-CN"/>
        </w:rPr>
        <w:t>%，项目绩效指标总体完成率为</w:t>
      </w:r>
      <w:r>
        <w:rPr>
          <w:rFonts w:hint="eastAsia" w:eastAsia="方正仿宋_GBK" w:cs="Times New Roman"/>
          <w:spacing w:val="-6"/>
          <w:sz w:val="32"/>
          <w:szCs w:val="32"/>
          <w:lang w:val="en-US" w:eastAsia="zh-CN"/>
        </w:rPr>
        <w:t>91.67</w:t>
      </w:r>
      <w:r>
        <w:rPr>
          <w:rFonts w:hint="default" w:ascii="Times New Roman" w:hAnsi="Times New Roman" w:eastAsia="方正仿宋_GBK" w:cs="Times New Roman"/>
          <w:spacing w:val="-6"/>
          <w:sz w:val="32"/>
          <w:szCs w:val="32"/>
          <w:lang w:val="en-US" w:eastAsia="zh-CN"/>
        </w:rPr>
        <w:t>%，</w:t>
      </w:r>
      <w:r>
        <w:rPr>
          <w:rFonts w:hint="default" w:ascii="Times New Roman" w:hAnsi="Times New Roman" w:eastAsia="方正仿宋_GBK" w:cs="Times New Roman"/>
          <w:spacing w:val="-6"/>
          <w:sz w:val="32"/>
          <w:szCs w:val="32"/>
          <w:lang w:val="en-US" w:eastAsia="zh-Hans"/>
        </w:rPr>
        <w:t>总体</w:t>
      </w:r>
      <w:r>
        <w:rPr>
          <w:rFonts w:hint="default" w:ascii="Times New Roman" w:hAnsi="Times New Roman" w:eastAsia="方正仿宋_GBK" w:cs="Times New Roman"/>
          <w:spacing w:val="-6"/>
          <w:sz w:val="32"/>
          <w:szCs w:val="32"/>
          <w:lang w:val="en-US" w:eastAsia="zh-CN"/>
        </w:rPr>
        <w:t>偏差率为</w:t>
      </w:r>
      <w:r>
        <w:rPr>
          <w:rFonts w:hint="eastAsia" w:ascii="Times New Roman" w:hAnsi="Times New Roman" w:eastAsia="方正仿宋_GBK" w:cs="Times New Roman"/>
          <w:spacing w:val="-6"/>
          <w:sz w:val="32"/>
          <w:szCs w:val="32"/>
          <w:lang w:val="en-US" w:eastAsia="zh-CN"/>
        </w:rPr>
        <w:t>8.</w:t>
      </w:r>
      <w:r>
        <w:rPr>
          <w:rFonts w:hint="eastAsia" w:eastAsia="方正仿宋_GBK" w:cs="Times New Roman"/>
          <w:spacing w:val="-6"/>
          <w:sz w:val="32"/>
          <w:szCs w:val="32"/>
          <w:lang w:val="en-US" w:eastAsia="zh-CN"/>
        </w:rPr>
        <w:t>33</w:t>
      </w:r>
      <w:r>
        <w:rPr>
          <w:rFonts w:hint="default" w:ascii="Times New Roman" w:hAnsi="Times New Roman" w:eastAsia="方正仿宋_GBK" w:cs="Times New Roman"/>
          <w:spacing w:val="-6"/>
          <w:sz w:val="32"/>
          <w:szCs w:val="32"/>
          <w:lang w:val="en-US" w:eastAsia="zh-CN"/>
        </w:rPr>
        <w:t>%</w:t>
      </w:r>
      <w:r>
        <w:rPr>
          <w:rFonts w:hint="eastAsia" w:ascii="Times New Roman" w:hAnsi="Times New Roman" w:eastAsia="方正仿宋_GBK" w:cs="Times New Roman"/>
          <w:spacing w:val="-6"/>
          <w:sz w:val="32"/>
          <w:szCs w:val="32"/>
          <w:lang w:val="en-US" w:eastAsia="zh-CN"/>
        </w:rPr>
        <w:t>，</w:t>
      </w:r>
      <w:r>
        <w:rPr>
          <w:rFonts w:hint="default" w:ascii="Times New Roman" w:hAnsi="Times New Roman" w:eastAsia="方正仿宋_GBK" w:cs="Times New Roman"/>
          <w:spacing w:val="-6"/>
          <w:sz w:val="32"/>
          <w:szCs w:val="32"/>
          <w:lang w:val="en-US" w:eastAsia="zh-Hans"/>
        </w:rPr>
        <w:t>偏差</w:t>
      </w:r>
      <w:r>
        <w:rPr>
          <w:rFonts w:hint="default" w:ascii="Times New Roman" w:hAnsi="Times New Roman" w:eastAsia="方正仿宋_GBK" w:cs="Times New Roman"/>
          <w:spacing w:val="-6"/>
          <w:sz w:val="32"/>
          <w:szCs w:val="32"/>
          <w:lang w:val="en-US" w:eastAsia="zh-CN"/>
        </w:rPr>
        <w:t>原因</w:t>
      </w:r>
      <w:r>
        <w:rPr>
          <w:rFonts w:hint="eastAsia" w:ascii="Times New Roman" w:hAnsi="Times New Roman" w:eastAsia="方正仿宋_GBK" w:cs="Times New Roman"/>
          <w:spacing w:val="-6"/>
          <w:sz w:val="32"/>
          <w:szCs w:val="32"/>
          <w:lang w:val="en-US" w:eastAsia="zh-CN"/>
        </w:rPr>
        <w:t>：2024年下半年督查办工作重心改变，全年只出具5次在各领域安全排查报告。</w:t>
      </w:r>
      <w:r>
        <w:rPr>
          <w:rFonts w:hint="default" w:ascii="Times New Roman" w:hAnsi="Times New Roman" w:eastAsia="方正仿宋_GBK" w:cs="Times New Roman"/>
          <w:spacing w:val="-6"/>
          <w:sz w:val="32"/>
          <w:szCs w:val="32"/>
          <w:lang w:val="en-US" w:eastAsia="zh-Hans"/>
        </w:rPr>
        <w:t>改进</w:t>
      </w:r>
      <w:r>
        <w:rPr>
          <w:rFonts w:hint="default" w:ascii="Times New Roman" w:hAnsi="Times New Roman" w:eastAsia="方正仿宋_GBK" w:cs="Times New Roman"/>
          <w:spacing w:val="-6"/>
          <w:sz w:val="32"/>
          <w:szCs w:val="32"/>
          <w:lang w:val="en-US" w:eastAsia="zh-CN"/>
        </w:rPr>
        <w:t>措施</w:t>
      </w:r>
      <w:r>
        <w:rPr>
          <w:rFonts w:hint="eastAsia" w:ascii="Times New Roman" w:hAnsi="Times New Roman" w:eastAsia="方正仿宋_GBK" w:cs="Times New Roman"/>
          <w:spacing w:val="-6"/>
          <w:sz w:val="32"/>
          <w:szCs w:val="32"/>
          <w:lang w:val="en-US" w:eastAsia="zh-CN"/>
        </w:rPr>
        <w:t>：结合工作实际及时</w:t>
      </w:r>
      <w:r>
        <w:rPr>
          <w:rFonts w:hint="default" w:ascii="Times New Roman" w:hAnsi="Times New Roman" w:eastAsia="方正仿宋_GBK" w:cs="Times New Roman"/>
          <w:spacing w:val="-6"/>
          <w:sz w:val="32"/>
          <w:szCs w:val="32"/>
          <w:lang w:val="en-US" w:eastAsia="zh-CN"/>
        </w:rPr>
        <w:t>精准设置绩效目标值。</w:t>
      </w:r>
    </w:p>
    <w:p>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加强组织领导，明确职责分工，切实落实到人，形成合力。将财政拨付资金纳入绩效自评范围，对绩效目标预期完成情况、项目实施情况、资金管理情况、项目管理情况，进行绩效自评，做到突出重点、适时适当、及时纠正、定期“回头看”。</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绩效理念尚未牢固树立，需加强对项目绩效整体工作的学习和认识。并根据本单位的实际情况，认真分析、完善制度、控制非必要性支出，进一步提升项目支出水平。</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进一步加强对绩效管理工作的组织领导，提高对预算绩效管理工作重要性的认识，针对管理层，开展战略绩效管理培训，重点讲解绩效与组织战略的关联、绩效管理在企业决策中的重要性；对普通员工，举办基础绩效管理知识讲座，通过案例分析、情景模拟等方式，帮助员工理解绩效对个人职业发展的意义。总结经验查找问题，抓紧研究制定更全面更完善的绩效评价管理办法。结合食品安全考核建立绩效工作考核制度，加大全局对全面实施预算绩效管理和绩效管理工作的学习力度，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花钱必问效，无效必问责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的理念深入工作每个环节。</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Hans"/>
        </w:rPr>
      </w:pPr>
      <w:r>
        <w:rPr>
          <w:rFonts w:hint="default" w:ascii="Times New Roman" w:hAnsi="Times New Roman" w:eastAsia="方正仿宋_GBK" w:cs="Times New Roman"/>
          <w:sz w:val="32"/>
          <w:szCs w:val="32"/>
          <w:lang w:val="en-US" w:eastAsia="zh-Hans"/>
        </w:rPr>
        <w:t>本项目无其他需说明的问题。</w:t>
      </w: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default" w:ascii="Times New Roman" w:hAnsi="Times New Roman" w:eastAsia="仿宋_GB2312" w:cs="Times New Roman"/>
          <w:sz w:val="32"/>
          <w:szCs w:val="32"/>
        </w:rPr>
      </w:pPr>
    </w:p>
    <w:p>
      <w:pPr>
        <w:pStyle w:val="14"/>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871" w:right="1531" w:bottom="1984" w:left="1531" w:header="851" w:footer="992" w:gutter="0"/>
          <w:pgNumType w:fmt="decimal"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lang w:val="en-US" w:eastAsia="zh-CN"/>
        </w:rPr>
        <w:t>部门专项-党委办公室业务费项目绩</w:t>
      </w:r>
      <w:r>
        <w:rPr>
          <w:rFonts w:hint="eastAsia" w:ascii="仿宋_GB2312" w:hAnsi="仿宋_GB2312" w:eastAsia="仿宋_GB2312" w:cs="仿宋_GB2312"/>
          <w:b/>
          <w:bCs/>
          <w:sz w:val="28"/>
          <w:szCs w:val="40"/>
        </w:rPr>
        <w:t>效评价指标体系及综合评分表</w:t>
      </w:r>
      <w:bookmarkEnd w:id="1"/>
      <w:bookmarkEnd w:id="2"/>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76"/>
        <w:gridCol w:w="962"/>
        <w:gridCol w:w="992"/>
        <w:gridCol w:w="1997"/>
        <w:gridCol w:w="6174"/>
        <w:gridCol w:w="929"/>
        <w:gridCol w:w="105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227"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79"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787"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433"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36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41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227"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79"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787"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433"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36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41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227"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79"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787"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433"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36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41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227"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79"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787"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433"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366"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41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227"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79"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787"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433"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366"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41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227"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79"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787"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433"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36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41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27"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79"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787"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433"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36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41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227"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79"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787"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433"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366"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41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27"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79"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787"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433"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36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41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227"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79"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787"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433"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366"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41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37" w:hRule="atLeast"/>
          <w:jc w:val="center"/>
        </w:trPr>
        <w:tc>
          <w:tcPr>
            <w:tcW w:w="227"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79"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787"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433"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366"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41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227"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79"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787"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433"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366"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41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67" w:hRule="atLeast"/>
          <w:jc w:val="center"/>
        </w:trPr>
        <w:tc>
          <w:tcPr>
            <w:tcW w:w="227"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79"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787"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433"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366"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41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7.1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38" w:hRule="atLeast"/>
          <w:jc w:val="center"/>
        </w:trPr>
        <w:tc>
          <w:tcPr>
            <w:tcW w:w="227"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79"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787"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433"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66"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41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61" w:hRule="atLeast"/>
          <w:jc w:val="center"/>
        </w:trPr>
        <w:tc>
          <w:tcPr>
            <w:tcW w:w="227"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79"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787"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433"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366"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41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91" w:hRule="atLeast"/>
          <w:jc w:val="center"/>
        </w:trPr>
        <w:tc>
          <w:tcPr>
            <w:tcW w:w="227"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79"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787"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433"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366"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41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227"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79"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787"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433"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36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41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227"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79"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1"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787"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433"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366"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41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bl>
    <w:p>
      <w:pPr>
        <w:rPr>
          <w:rFonts w:hint="default" w:ascii="Times New Roman" w:hAnsi="Times New Roman" w:cs="Times New Roman"/>
        </w:rPr>
        <w:sectPr>
          <w:pgSz w:w="16838" w:h="11906" w:orient="landscape"/>
          <w:pgMar w:top="1800" w:right="1440" w:bottom="1558" w:left="1440" w:header="851" w:footer="992" w:gutter="0"/>
          <w:pgNumType w:fmt="decimal"/>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4"/>
        <w:gridCol w:w="1105"/>
        <w:gridCol w:w="739"/>
        <w:gridCol w:w="1823"/>
        <w:gridCol w:w="765"/>
        <w:gridCol w:w="840"/>
        <w:gridCol w:w="690"/>
        <w:gridCol w:w="630"/>
        <w:gridCol w:w="975"/>
        <w:gridCol w:w="998"/>
        <w:gridCol w:w="739"/>
        <w:gridCol w:w="739"/>
        <w:gridCol w:w="740"/>
        <w:gridCol w:w="2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部门专项-党委办公室业务费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48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中共库尔勒市委员会办公室</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55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中共库尔勒市委员会办公室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资金来源</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p>
        </w:tc>
        <w:tc>
          <w:tcPr>
            <w:tcW w:w="14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执行率</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w:t>
            </w:r>
          </w:p>
        </w:tc>
        <w:tc>
          <w:tcPr>
            <w:tcW w:w="1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4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100.00%</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w:t>
            </w:r>
          </w:p>
        </w:tc>
        <w:tc>
          <w:tcPr>
            <w:tcW w:w="1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56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7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05"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75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w:t>
            </w:r>
          </w:p>
        </w:tc>
        <w:tc>
          <w:tcPr>
            <w:tcW w:w="55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5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目标1：保障办公人员45人，各领域安全风险隐患排查次数不少于12次。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目标2：通过项目实施有效提高宣传政策知晓率。</w:t>
            </w:r>
          </w:p>
        </w:tc>
        <w:tc>
          <w:tcPr>
            <w:tcW w:w="55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已保障了办公室45人的正常办公运转，在各领域安全风险隐患排查5次。项目经费主要保障以服务市委为中心，自觉对标对表“五个坚持”，履职尽责、担当作为，真正做到紧紧围绕大局、时时聚焦大局、处处服务大局，全力建设让党放心、让人民满意的模范机关，打造市委“坚强前哨”和“巩固后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指标值设置依据</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上年完成值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指标分值权重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指标赋分规则</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佐证资料</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指标实际完成值</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完成率</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指标得分</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1" w:hRule="atLeast"/>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产出指标</w:t>
            </w:r>
          </w:p>
        </w:tc>
        <w:tc>
          <w:tcPr>
            <w:tcW w:w="739"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数量指标</w:t>
            </w:r>
          </w:p>
        </w:tc>
        <w:tc>
          <w:tcPr>
            <w:tcW w:w="18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保障办公人员数量</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=45人</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历史标准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45人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=45人</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100%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数量指标</w:t>
            </w: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各领域安全风险隐患排查次数</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&gt;=12次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历史标准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12次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=5次</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41.67%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4.17</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原因：2024年下半年督查办工作重心改变，全年只出具5次在各领域安全排查报告。整改措施：结合工作实际及时做好项目绩效设立。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739"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质量指标</w:t>
            </w: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各领域安全风险隐患排查准确率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历史标准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100%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p>
        </w:tc>
        <w:tc>
          <w:tcPr>
            <w:tcW w:w="739"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宋体" w:hAnsi="宋体" w:eastAsia="宋体" w:cs="宋体"/>
                <w:i w:val="0"/>
                <w:iCs w:val="0"/>
                <w:color w:val="000000"/>
                <w:kern w:val="0"/>
                <w:sz w:val="20"/>
                <w:szCs w:val="20"/>
                <w:u w:val="none"/>
                <w:lang w:val="en-US" w:eastAsia="zh-CN" w:bidi="ar"/>
              </w:rPr>
              <w:t>时效指标</w:t>
            </w: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公用经费支付及时率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历史标准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原始凭证</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100%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成本指标</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人均运转经费成本</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&lt;=0.89万元/人</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历史标准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0.67万元/人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原始凭证</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=0.89万元/人</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100%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效益指标</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有效提高宣传政策知晓率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&gt;=95%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历史标准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100%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服务单位满意度</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&gt;=98%</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历史标准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cs="宋体"/>
                <w:i w:val="0"/>
                <w:iCs w:val="0"/>
                <w:color w:val="000000"/>
                <w:kern w:val="0"/>
                <w:sz w:val="20"/>
                <w:szCs w:val="20"/>
                <w:u w:val="none"/>
                <w:lang w:val="en-US" w:eastAsia="zh-CN" w:bidi="ar"/>
              </w:rPr>
              <w:t>100</w:t>
            </w:r>
            <w:r>
              <w:rPr>
                <w:rFonts w:hint="eastAsia" w:ascii="宋体" w:hAnsi="宋体" w:eastAsia="宋体" w:cs="宋体"/>
                <w:i w:val="0"/>
                <w:iCs w:val="0"/>
                <w:color w:val="000000"/>
                <w:kern w:val="0"/>
                <w:sz w:val="20"/>
                <w:szCs w:val="20"/>
                <w:u w:val="none"/>
                <w:lang w:val="en-US" w:eastAsia="zh-CN" w:bidi="ar"/>
              </w:rPr>
              <w:t>%</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771" w:type="dxa"/>
            <w:gridSpan w:val="4"/>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40"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690"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630"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75"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98"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739"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739" w:type="dxa"/>
            <w:tcBorders>
              <w:top w:val="single" w:color="000000" w:sz="4" w:space="0"/>
              <w:left w:val="single" w:color="000000" w:sz="4" w:space="0"/>
              <w:bottom w:val="single" w:color="auto" w:sz="4" w:space="0"/>
              <w:right w:val="single" w:color="000000" w:sz="4" w:space="0"/>
            </w:tcBorders>
            <w:shd w:val="clear" w:color="auto" w:fill="auto"/>
            <w:vAlign w:val="center"/>
          </w:tcPr>
          <w:p/>
        </w:tc>
        <w:tc>
          <w:tcPr>
            <w:tcW w:w="74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94.17分</w:t>
            </w:r>
          </w:p>
        </w:tc>
        <w:tc>
          <w:tcPr>
            <w:tcW w:w="2287"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2209" w:type="dxa"/>
            <w:gridSpan w:val="2"/>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965" w:type="dxa"/>
            <w:gridSpan w:val="12"/>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部门专项-党委办公室业务费</w:t>
            </w:r>
          </w:p>
        </w:tc>
      </w:tr>
    </w:tbl>
    <w:p>
      <w:pPr>
        <w:rPr>
          <w:rFonts w:hint="default" w:ascii="Times New Roman" w:hAnsi="Times New Roman" w:cs="Times New Roman"/>
        </w:rPr>
      </w:pPr>
    </w:p>
    <w:sectPr>
      <w:pgSz w:w="16838" w:h="11906" w:orient="landscape"/>
      <w:pgMar w:top="1800" w:right="1440" w:bottom="1558"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posOffset>4759960</wp:posOffset>
              </wp:positionH>
              <wp:positionV relativeFrom="paragraph">
                <wp:posOffset>-333375</wp:posOffset>
              </wp:positionV>
              <wp:extent cx="855980" cy="4794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855980" cy="4794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374.8pt;margin-top:-26.25pt;height:37.75pt;width:67.4pt;mso-position-horizontal-relative:margin;z-index:251659264;mso-width-relative:page;mso-height-relative:page;" filled="f" stroked="f" coordsize="21600,21600" o:gfxdata="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6+NlHNoAAAAKAQAADwAAAAAAAAABACAAAAAiAAAAZHJzL2Rv&#10;d25yZXYueG1sUEsBAhQAFAAAAAgAh07iQGS/Bxg4AgAAYQQAAA4AAAAAAAAAAQAgAAAAKQEAAGRy&#10;cy9lMm9Eb2MueG1sUEsFBgAAAAAGAAYAWQEAANMFAAAAAA==&#10;">
              <v:fill on="f" focussize="0,0"/>
              <v:stroke on="f" weight="0.5pt"/>
              <v:imagedata o:title=""/>
              <o:lock v:ext="edit" aspectratio="f"/>
              <v:textbox inset="0mm,0mm,0mm,0mm">
                <w:txbxContent>
                  <w:p>
                    <w:pPr>
                      <w:pStyle w:val="8"/>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NDhhZjQ3YWJiYzJkODA2MTlmMmVlZjg5YTNjMTIifQ=="/>
  </w:docVars>
  <w:rsids>
    <w:rsidRoot w:val="FF6C4049"/>
    <w:rsid w:val="006F7242"/>
    <w:rsid w:val="007B168A"/>
    <w:rsid w:val="008B2CFE"/>
    <w:rsid w:val="00F26FF6"/>
    <w:rsid w:val="01610122"/>
    <w:rsid w:val="02510197"/>
    <w:rsid w:val="0374573B"/>
    <w:rsid w:val="03EC461B"/>
    <w:rsid w:val="0461077D"/>
    <w:rsid w:val="05CF2EEA"/>
    <w:rsid w:val="07397B77"/>
    <w:rsid w:val="0771223A"/>
    <w:rsid w:val="0AD007F3"/>
    <w:rsid w:val="0E3C619F"/>
    <w:rsid w:val="0FF7679A"/>
    <w:rsid w:val="100F38EC"/>
    <w:rsid w:val="11170296"/>
    <w:rsid w:val="12C66037"/>
    <w:rsid w:val="12CD1ABC"/>
    <w:rsid w:val="13471461"/>
    <w:rsid w:val="13B90F01"/>
    <w:rsid w:val="14FF0E96"/>
    <w:rsid w:val="155E4C4D"/>
    <w:rsid w:val="181066D2"/>
    <w:rsid w:val="1C671E73"/>
    <w:rsid w:val="1D322C47"/>
    <w:rsid w:val="23616034"/>
    <w:rsid w:val="23696C97"/>
    <w:rsid w:val="24480FA2"/>
    <w:rsid w:val="25227A45"/>
    <w:rsid w:val="26AC3A6A"/>
    <w:rsid w:val="29107B63"/>
    <w:rsid w:val="2B9D7E25"/>
    <w:rsid w:val="2C7C7A3B"/>
    <w:rsid w:val="2C8823AD"/>
    <w:rsid w:val="2F364819"/>
    <w:rsid w:val="2FD63906"/>
    <w:rsid w:val="37215DAE"/>
    <w:rsid w:val="38CA40DD"/>
    <w:rsid w:val="395F2B56"/>
    <w:rsid w:val="3BBA0580"/>
    <w:rsid w:val="3BECE841"/>
    <w:rsid w:val="3CDE204C"/>
    <w:rsid w:val="3D363C36"/>
    <w:rsid w:val="3E9C3F6D"/>
    <w:rsid w:val="3FF7797D"/>
    <w:rsid w:val="44AD2A3F"/>
    <w:rsid w:val="46690BD8"/>
    <w:rsid w:val="486A6364"/>
    <w:rsid w:val="492407D4"/>
    <w:rsid w:val="49F70BF1"/>
    <w:rsid w:val="4B4340EE"/>
    <w:rsid w:val="4D912990"/>
    <w:rsid w:val="4FD16F83"/>
    <w:rsid w:val="503D507A"/>
    <w:rsid w:val="51FA74D0"/>
    <w:rsid w:val="52AA4A52"/>
    <w:rsid w:val="55CE68C9"/>
    <w:rsid w:val="58451DA5"/>
    <w:rsid w:val="59943D66"/>
    <w:rsid w:val="59E051FD"/>
    <w:rsid w:val="59E6355E"/>
    <w:rsid w:val="5B821531"/>
    <w:rsid w:val="5BFF6039"/>
    <w:rsid w:val="5D061A32"/>
    <w:rsid w:val="5D76A616"/>
    <w:rsid w:val="5D7F20B9"/>
    <w:rsid w:val="5D9D1B47"/>
    <w:rsid w:val="5DAC7D0E"/>
    <w:rsid w:val="5F805C6C"/>
    <w:rsid w:val="5F98B5AF"/>
    <w:rsid w:val="5FFE8511"/>
    <w:rsid w:val="5FFEACE2"/>
    <w:rsid w:val="609D5BF6"/>
    <w:rsid w:val="61073070"/>
    <w:rsid w:val="61B9080E"/>
    <w:rsid w:val="61DF3FED"/>
    <w:rsid w:val="642B176B"/>
    <w:rsid w:val="643EE26D"/>
    <w:rsid w:val="656019A0"/>
    <w:rsid w:val="65F242EE"/>
    <w:rsid w:val="666D7E19"/>
    <w:rsid w:val="68376930"/>
    <w:rsid w:val="68F91E38"/>
    <w:rsid w:val="6B3158B9"/>
    <w:rsid w:val="6BA02A3F"/>
    <w:rsid w:val="6C1E5A53"/>
    <w:rsid w:val="6F5C41AC"/>
    <w:rsid w:val="6FAF6C78"/>
    <w:rsid w:val="716167CC"/>
    <w:rsid w:val="718A7AD1"/>
    <w:rsid w:val="71F0141D"/>
    <w:rsid w:val="729D7681"/>
    <w:rsid w:val="72A44BC2"/>
    <w:rsid w:val="7317C656"/>
    <w:rsid w:val="734ED73F"/>
    <w:rsid w:val="73C82B32"/>
    <w:rsid w:val="73F94DAE"/>
    <w:rsid w:val="74220495"/>
    <w:rsid w:val="747D1B6F"/>
    <w:rsid w:val="749E5641"/>
    <w:rsid w:val="76271066"/>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8695</Words>
  <Characters>8947</Characters>
  <Lines>58</Lines>
  <Paragraphs>16</Paragraphs>
  <TotalTime>2</TotalTime>
  <ScaleCrop>false</ScaleCrop>
  <LinksUpToDate>false</LinksUpToDate>
  <CharactersWithSpaces>8959</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cp:lastPrinted>2025-04-29T09:49:00Z</cp:lastPrinted>
  <dcterms:modified xsi:type="dcterms:W3CDTF">2025-09-02T03:42:15Z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9D4EFFE0F8D541D0BCBC8E33DADEDD23_13</vt:lpwstr>
  </property>
  <property fmtid="{D5CDD505-2E9C-101B-9397-08002B2CF9AE}" pid="4" name="KSOTemplateDocerSaveRecord">
    <vt:lpwstr>eyJoZGlkIjoiZjJhNzgxZjM1OGI0YjU2ZTI3YjhjN2QyMmY1MTVlMGUifQ==</vt:lpwstr>
  </property>
</Properties>
</file>