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A3F51">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43241D33">
      <w:pPr>
        <w:spacing w:line="540" w:lineRule="exact"/>
        <w:jc w:val="center"/>
        <w:rPr>
          <w:rFonts w:ascii="方正小标宋_GBK" w:hAnsi="华文中宋" w:eastAsia="方正小标宋_GBK" w:cs="宋体"/>
          <w:b/>
          <w:kern w:val="0"/>
          <w:sz w:val="48"/>
          <w:szCs w:val="48"/>
        </w:rPr>
      </w:pPr>
    </w:p>
    <w:p w14:paraId="4036F529">
      <w:pPr>
        <w:spacing w:line="540" w:lineRule="exact"/>
        <w:jc w:val="center"/>
        <w:rPr>
          <w:rFonts w:ascii="方正小标宋_GBK" w:hAnsi="华文中宋" w:eastAsia="方正小标宋_GBK" w:cs="宋体"/>
          <w:b/>
          <w:kern w:val="0"/>
          <w:sz w:val="48"/>
          <w:szCs w:val="48"/>
        </w:rPr>
      </w:pPr>
    </w:p>
    <w:p w14:paraId="61A44441">
      <w:pPr>
        <w:spacing w:line="540" w:lineRule="exact"/>
        <w:jc w:val="center"/>
        <w:rPr>
          <w:rFonts w:ascii="方正小标宋_GBK" w:hAnsi="华文中宋" w:eastAsia="方正小标宋_GBK" w:cs="宋体"/>
          <w:b/>
          <w:kern w:val="0"/>
          <w:sz w:val="48"/>
          <w:szCs w:val="48"/>
        </w:rPr>
      </w:pPr>
    </w:p>
    <w:p w14:paraId="327668A9">
      <w:pPr>
        <w:spacing w:line="540" w:lineRule="exact"/>
        <w:jc w:val="center"/>
        <w:rPr>
          <w:rFonts w:ascii="方正小标宋_GBK" w:hAnsi="华文中宋" w:eastAsia="方正小标宋_GBK" w:cs="宋体"/>
          <w:b/>
          <w:kern w:val="0"/>
          <w:sz w:val="48"/>
          <w:szCs w:val="48"/>
        </w:rPr>
      </w:pPr>
    </w:p>
    <w:p w14:paraId="79E1B1A7">
      <w:pPr>
        <w:spacing w:line="540" w:lineRule="exact"/>
        <w:jc w:val="center"/>
        <w:rPr>
          <w:rFonts w:ascii="方正小标宋_GBK" w:hAnsi="华文中宋" w:eastAsia="方正小标宋_GBK" w:cs="宋体"/>
          <w:b/>
          <w:kern w:val="0"/>
          <w:sz w:val="48"/>
          <w:szCs w:val="48"/>
        </w:rPr>
      </w:pPr>
    </w:p>
    <w:p w14:paraId="00FBE548">
      <w:pPr>
        <w:spacing w:line="540" w:lineRule="exact"/>
        <w:jc w:val="center"/>
        <w:rPr>
          <w:rFonts w:ascii="方正小标宋_GBK" w:hAnsi="华文中宋" w:eastAsia="方正小标宋_GBK" w:cs="宋体"/>
          <w:b/>
          <w:kern w:val="0"/>
          <w:sz w:val="48"/>
          <w:szCs w:val="48"/>
        </w:rPr>
      </w:pPr>
    </w:p>
    <w:p w14:paraId="659C6BA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10CC2BC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27C9EFDF">
      <w:pPr>
        <w:spacing w:line="540" w:lineRule="exact"/>
        <w:jc w:val="center"/>
        <w:rPr>
          <w:rFonts w:ascii="华文中宋" w:hAnsi="华文中宋" w:eastAsia="华文中宋" w:cs="宋体"/>
          <w:b/>
          <w:kern w:val="0"/>
          <w:sz w:val="52"/>
          <w:szCs w:val="52"/>
        </w:rPr>
      </w:pPr>
    </w:p>
    <w:p w14:paraId="64D81583">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14:paraId="7814DF65">
      <w:pPr>
        <w:spacing w:line="700" w:lineRule="exact"/>
        <w:jc w:val="left"/>
        <w:rPr>
          <w:rFonts w:hAnsi="宋体" w:eastAsia="仿宋_GB2312" w:cs="宋体"/>
          <w:kern w:val="0"/>
          <w:sz w:val="36"/>
          <w:szCs w:val="36"/>
        </w:rPr>
      </w:pPr>
    </w:p>
    <w:p w14:paraId="6F1781FB">
      <w:pPr>
        <w:spacing w:line="700" w:lineRule="exact"/>
        <w:jc w:val="left"/>
        <w:rPr>
          <w:rFonts w:hAnsi="宋体" w:eastAsia="仿宋_GB2312" w:cs="宋体"/>
          <w:kern w:val="0"/>
          <w:sz w:val="36"/>
          <w:szCs w:val="36"/>
        </w:rPr>
      </w:pPr>
    </w:p>
    <w:p w14:paraId="6728B7D7">
      <w:pPr>
        <w:spacing w:line="700" w:lineRule="exact"/>
        <w:jc w:val="left"/>
        <w:rPr>
          <w:rFonts w:hAnsi="宋体" w:eastAsia="仿宋_GB2312" w:cs="宋体"/>
          <w:kern w:val="0"/>
          <w:sz w:val="36"/>
          <w:szCs w:val="36"/>
        </w:rPr>
      </w:pPr>
    </w:p>
    <w:p w14:paraId="2F24DDD2">
      <w:pPr>
        <w:spacing w:line="700" w:lineRule="exact"/>
        <w:jc w:val="left"/>
        <w:rPr>
          <w:rFonts w:hAnsi="宋体" w:eastAsia="仿宋_GB2312" w:cs="宋体"/>
          <w:kern w:val="0"/>
          <w:sz w:val="36"/>
          <w:szCs w:val="36"/>
        </w:rPr>
      </w:pPr>
    </w:p>
    <w:p w14:paraId="59146380">
      <w:pPr>
        <w:spacing w:line="700" w:lineRule="exact"/>
        <w:jc w:val="left"/>
        <w:rPr>
          <w:rFonts w:hAnsi="宋体" w:eastAsia="仿宋_GB2312" w:cs="宋体"/>
          <w:kern w:val="0"/>
          <w:sz w:val="36"/>
          <w:szCs w:val="36"/>
        </w:rPr>
      </w:pPr>
    </w:p>
    <w:p w14:paraId="67A9C791">
      <w:pPr>
        <w:spacing w:line="700" w:lineRule="exact"/>
        <w:jc w:val="left"/>
        <w:rPr>
          <w:rFonts w:hAnsi="宋体" w:eastAsia="仿宋_GB2312" w:cs="宋体"/>
          <w:kern w:val="0"/>
          <w:sz w:val="36"/>
          <w:szCs w:val="36"/>
        </w:rPr>
      </w:pPr>
    </w:p>
    <w:p w14:paraId="6642C02A">
      <w:pPr>
        <w:spacing w:line="700" w:lineRule="exact"/>
        <w:jc w:val="left"/>
        <w:rPr>
          <w:rFonts w:hAnsi="宋体" w:eastAsia="仿宋_GB2312" w:cs="宋体"/>
          <w:kern w:val="0"/>
          <w:sz w:val="36"/>
          <w:szCs w:val="36"/>
        </w:rPr>
      </w:pPr>
    </w:p>
    <w:p w14:paraId="38A02564">
      <w:pPr>
        <w:spacing w:line="700" w:lineRule="exact"/>
        <w:jc w:val="left"/>
        <w:rPr>
          <w:rFonts w:hAnsi="宋体" w:eastAsia="仿宋_GB2312" w:cs="宋体"/>
          <w:kern w:val="0"/>
          <w:sz w:val="36"/>
          <w:szCs w:val="36"/>
        </w:rPr>
      </w:pPr>
    </w:p>
    <w:p w14:paraId="283FB3B7">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中共库尔勒市委员会机构编制委员会办公室</w:t>
      </w:r>
    </w:p>
    <w:p w14:paraId="2F82718E">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14:paraId="53D12B93">
      <w:pPr>
        <w:spacing w:line="700" w:lineRule="exact"/>
        <w:jc w:val="left"/>
        <w:rPr>
          <w:rFonts w:hAnsi="宋体" w:eastAsia="仿宋_GB2312" w:cs="宋体"/>
          <w:kern w:val="0"/>
          <w:sz w:val="36"/>
          <w:szCs w:val="36"/>
        </w:rPr>
      </w:pPr>
    </w:p>
    <w:p w14:paraId="6E7F6C8E">
      <w:pPr>
        <w:spacing w:line="700" w:lineRule="exact"/>
        <w:jc w:val="left"/>
        <w:rPr>
          <w:rFonts w:hAnsi="宋体" w:eastAsia="仿宋_GB2312" w:cs="宋体"/>
          <w:kern w:val="0"/>
          <w:sz w:val="36"/>
          <w:szCs w:val="36"/>
        </w:rPr>
      </w:pPr>
    </w:p>
    <w:p w14:paraId="2AEE7EAF">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14:paraId="3ECB09BF">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14:paraId="4838218D">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（一）执行党中央和自治区、自治州党委关于行政管理体制改革和机构改革，以及机构编制管理的方针政策和法律法规。</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（二）负责机关和事业单位机构编制管理工作。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（三）负责机关和事业单位登记管理工作。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（四）负责机关和事业单位机构编制执行情况监督检查。</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（五）指导机关和事业单位机构编制实名制管理、统计、上报工作。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（六）完成市党委交办的其他任务。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中共库尔勒市委员会机构编制委员会办公室部门包括本级机关及0个直属事业单位，机关内设0个科室。</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中共库尔勒市委员会机构编制委员会办公室部门编制数14，实有人数21人，其中：在职13人，增加3人；退休8人，增加0人；离休0人，增加0人。</w:t>
      </w:r>
      <w:bookmarkStart w:id="0" w:name="_Hlk43849111"/>
      <w:bookmarkEnd w:id="0"/>
    </w:p>
    <w:p w14:paraId="080CAA78">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14:paraId="06335D18">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目标1：进一步增强监督实效，促进机构设置、编制年审、人员调动等各项业务有序开展；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目标2：进一步做好事业单位法人年审及统一社会信用代码证发放工作；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3：持续做好全市159事业单位法人登记工作；完成全市80家党群机关赋码工作。扎实开展全市26个乡镇街道权责、属地管“两个清单”的制定工作。按照自治区、自治州党委和市委关于党政机构改革和事业单位改革的决策部署和工作要求，稳步开展两项机构改革工作，确保工作完成率达到90%以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一是发挥好市委编委参谋助手作用。坚决贯彻落实二十届中央编委第一次、第二次会议和全区、全州组织部长、编办主任会议精神，制定《2024年度库尔勒市委编办工作要点》，切实把准机构编制工作政治方向。</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是稳妥有序推进库尔勒市机构改革。按照自治区机构改革动员部署会议精神和自治州关于县（市）机构改革的工作要求，构建起系统完备、科学规范、运行高效的机构职能体系，进一步深化行政执法体制改革，调整完善乡镇（街道）机构设置和管理体制，坚持科学规范从严管理机构编制资源，优化调整和规范议事协调机构，进一步深化事业单位改革。</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三是厘清职责边界提效能。牵头制定《库尔勒市乡镇（街道）权责清单》《库尔勒市市乡属地管理清单》，明确乡镇（街道）法定职责事项，厘清市乡两级权责关系边界。</w:t>
      </w:r>
    </w:p>
    <w:p w14:paraId="20105C6B">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14:paraId="3DA4175F">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中共库尔勒市委员会机构编制委员会办公室年初预算安排200.43万元，其中财政拨款200.43万元，其他资金0.00万元，主要用于13名在职人员的工资、津贴、补贴、社保、绩效、公积金等以及8名退休人员的工资、医疗费等。人员保障性经费能够依规、按时、足额发放或缴纳，提升了部门人员工作积极性和服务质量。同时，保障了部门全年正常运转，为部门正常履职和开展综合性事务管理提供有效支撑，确保了公用保障性经费按照财政安排和相关工作要求及时支出。年中调整15.44万元，调整后全年预算184.99万元，预算调整率7.70%，调整预算的主要原因为年初预算含职业年金，2024年无人员退休，职业年金无支出，医社保、公积金基数降低。</w:t>
      </w:r>
    </w:p>
    <w:p w14:paraId="53900E50">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14:paraId="10B80D07">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2024年我部门坚持围绕我部门工作,加强对预算编制环节的控制，对编制依据、编制程序、编制方法等按照本级政府财政部门作出规定执行，确保预算编制合理、程序适当、方法科学。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预算编制“一上”上报财政相关部门审核下达一上控制数；根据下达的预算控制数，细化编制预算，形成本部门预算草案，并报送本级财政部门（“二上”），将市人代会审议批准的预算下达（“二上”）。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我部门按要求及时制定并报批部门预算支出计划，严格落实预算执行定期分析机制，靠前抓好支出执行，坚持严肃财经纪律，硬化预算约束，持续树牢厉行节约理念，严控一般性支出，努力降低行政运行成本。运用预算执行和其他有关资料监控预算执行情况。预算执行进度、执行差异及对预算目标的影响及时向部门领导汇报，促进预算目标的全面完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严格按照财政要求，落实预算绩效管理全过程，预算收入包括本级财政安排给本部门的预算拨款收入，收入主要来源是财政拨款。结合管理服务目标及资源调配能力，经过综合计算和全面平衡，对当年或者超过一个年度的管理服务和财务事项进行相关经费、额度的测算和安排的过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基本支出，是指部门为保障其机构正常运转、完成日常工作任务所发生的支出，包括人员经费和公用经费；所称项目支出，是指部门为完成其特定的工作任务和事业发展目标所发生的支出。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部门预算编制、执行的具体办法，由本级政府财政部门依法作出规定。</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落实绩效“双监控”，预算执行过程中，以年度支出计划为基础，定期分析预算执行和绩效目标落实情况，并依托财政预算绩效管理平台分5月、8月对预算执行动态进行实时监控，发现问题及时纠偏，确保绩效目标落地落实。</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184.99万元，包括工资福利支出165.44万元，商品和服务支出13.23万元，对个人和家庭的补助5.60万元，资本性支出0.72万元。其中：“三公”经费支出0.82万元，比上年减少1.13万元，主要原因是2023年支付的车辆维修费多是支付往年维修欠款，2024年支付本年度维修费用，所以费用减少；会议费支出0.00万元，比上年增加0.00万元，主要原因是单位无会议费支出；培训费支出0.90万元，比上年增加0.35万元，主要原因是2024年10月开展乡镇（街道）履职事项清单工作，外出培训频次增多，导致培训费增多。</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本部门无专项资金支出。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本部门无专项资金支出。</w:t>
      </w:r>
    </w:p>
    <w:p w14:paraId="3AD12F94">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14:paraId="6EE27232">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2024年市委编办总支出184.99万元，预算执行率100%，其中：一般公共服务支出131.75万元；教育支出0.89万元；社会保障和就业支出29.46万元；卫生健康支出9.46万元；住房保障支出13.43万元。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2024年市委编办基本支出184.99万元，占总支出的100％，其中：一般公共服务支出131.75万元；教育支出0.89万元；社会保障和就业支出29.46万元；卫生健康支出9.46万元；住房保障支出13.43万元。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本部门无项目支出。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年初我部门设置部门整体绩效目标中包括一级指标1个（履职效能），二级指标2个，三级指标4个，指标完成情况分析如下：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党群机关赋码数量，指标值：=80个，年中监控完成值：80个，自评完成值：80个，指标完成率100.00%，偏差0%。指标成效分析：通过党群机关赋码，为政府部门间信息共享、业务协同以及信息资源整合奠定了技术基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指标2：事业单位法人登记数量，指标值：=159个，年中监控完成值：159个，自评完成值：159个，指标完成率100.00%，偏差0%。指标成效分析：通过如实登记事业单位法人，使单位有清晰的定位和发展方向。</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行政机关权责清单制定数量，指标值：=26个，年中监控完成值：26个，自评完成值：26个，指标完成率100.00%，偏差0%。指标成效分析：通过行政机关权责清单制定，进一步厘清政府与市场、政府与社会、政府部门之间等的关系，加快形成权界清晰、分工合理、权责一致、运转高效、法治保障的政府职能体系。</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2.质量指标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保障改革工作完成率，指标值：&gt;=90%，年中监控完成值：90.00%，自评完成值：100.00%，指标完成率100.00%。指标成效分析：通过调整完善了乡镇（街道）机构设置和管理体制，坚持科学规范从严管理机构编制资源，优化调整和规范议事协调机构，进一步深化事业单位改革。</w:t>
      </w:r>
    </w:p>
    <w:p w14:paraId="74BF7B05">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14:paraId="1A094E6B">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14:paraId="24374C45">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14:paraId="378C67CB">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（1）预算绩效观念不深入。</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（2）预算绩效规范管理有盲点。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14:paraId="3600F1C6">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14:paraId="45E21F76">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加强宣传引导,强化绩效观念。党的十八届三中全会作出的《关于全面深化改革若干重大问题的决定》中对政府绩效管理和财政预算管理提出了明确要求，新修订的《预算法》以及新修订的《行政单位财务规则》也对预算绩效管理作出了具体规定，尽快建立并完善预算绩效管理机制也是深化全面从严治党、推进法治型、服务型、节约型政府建设的有效途径和重要举措。采取专题培训、分类指导等多种形式，组织预算单位和工作人员学习预算绩效管理的法律法规、规范要求，让绩效理念深入人心、让绩效管理人员熟知政策、知行合一。</w:t>
      </w:r>
      <w:r>
        <w:rPr>
          <w:rFonts w:hint="eastAsia" w:ascii="仿宋_GB2312" w:hAnsi="宋体" w:eastAsia="仿宋_GB2312"/>
          <w:bCs/>
          <w:sz w:val="32"/>
          <w:szCs w:val="32"/>
        </w:rPr>
        <w:br w:type="textWrapping"/>
      </w:r>
      <w:r>
        <w:rPr>
          <w:rFonts w:hint="eastAsia" w:ascii="仿宋_GB2312" w:hAnsi="宋体" w:eastAsia="仿宋_GB2312"/>
          <w:bCs/>
          <w:sz w:val="32"/>
          <w:szCs w:val="32"/>
        </w:rPr>
        <w:t>（2）完善指标体系,规范评价标准。准确把握预算绩效管理的制度规定，积极探索适用于不同部门、不同项目的绩效指标，逐步建立涵盖各类各项支出、符合目标内容、突出绩效特色、细化量化、便于考核的统一规范的绩效评价指标体系，以及覆盖全部预算支出结果绩效评价的规范标准，尽快形成“预算编制有目标、预算执行有监控、预算完成有评价、评价结果有反馈、反馈结果有应用”的全过程预算绩效管理机制。</w:t>
      </w:r>
    </w:p>
    <w:p w14:paraId="05D0DEF3"/>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95F3760"/>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57</Words>
  <Characters>328</Characters>
  <Lines>2</Lines>
  <Paragraphs>1</Paragraphs>
  <TotalTime>8</TotalTime>
  <ScaleCrop>false</ScaleCrop>
  <LinksUpToDate>false</LinksUpToDate>
  <CharactersWithSpaces>384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2025-08-15T07:00:39Z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D0612F474753490398CC8402484C9E73_13</vt:lpwstr>
  </property>
</Properties>
</file>